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43343E"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CA0382" w:rsidRPr="00BC2A0C" w:rsidTr="00F05234">
        <w:trPr>
          <w:cantSplit/>
        </w:trPr>
        <w:tc>
          <w:tcPr>
            <w:tcW w:w="9358" w:type="dxa"/>
            <w:gridSpan w:val="9"/>
            <w:tcBorders>
              <w:bottom w:val="single" w:sz="4" w:space="0" w:color="800000"/>
            </w:tcBorders>
          </w:tcPr>
          <w:p w:rsidR="00CA0382" w:rsidRPr="00BC2A0C" w:rsidRDefault="00CA0382" w:rsidP="00F05234">
            <w:pPr>
              <w:pStyle w:val="TabTitolo"/>
            </w:pPr>
            <w:r w:rsidRPr="007C3BBD">
              <w:t>La previsione del Fondo Monetario Internazionale (a)(b)</w:t>
            </w:r>
          </w:p>
        </w:tc>
      </w:tr>
      <w:tr w:rsidR="00CA0382" w:rsidRPr="00BC2A0C" w:rsidTr="00F05234">
        <w:trPr>
          <w:cantSplit/>
        </w:trPr>
        <w:tc>
          <w:tcPr>
            <w:tcW w:w="3402" w:type="dxa"/>
            <w:tcBorders>
              <w:top w:val="single" w:sz="4" w:space="0" w:color="800000"/>
              <w:bottom w:val="single" w:sz="4" w:space="0" w:color="800000"/>
            </w:tcBorders>
          </w:tcPr>
          <w:p w:rsidR="00CA0382" w:rsidRPr="00BC2A0C" w:rsidRDefault="00CA0382" w:rsidP="00F05234">
            <w:pPr>
              <w:pStyle w:val="TabIntestazioni"/>
            </w:pPr>
          </w:p>
        </w:tc>
        <w:tc>
          <w:tcPr>
            <w:tcW w:w="510" w:type="dxa"/>
            <w:tcBorders>
              <w:top w:val="single" w:sz="4" w:space="0" w:color="800000"/>
              <w:bottom w:val="single" w:sz="4" w:space="0" w:color="800000"/>
            </w:tcBorders>
          </w:tcPr>
          <w:p w:rsidR="00CA0382" w:rsidRPr="003234B1" w:rsidRDefault="00CA0382" w:rsidP="00F05234">
            <w:pPr>
              <w:pStyle w:val="TabIntestazioni"/>
            </w:pPr>
            <w:r w:rsidRPr="003234B1">
              <w:t>201</w:t>
            </w:r>
            <w:r>
              <w:t>8</w:t>
            </w:r>
          </w:p>
        </w:tc>
        <w:tc>
          <w:tcPr>
            <w:tcW w:w="510" w:type="dxa"/>
            <w:tcBorders>
              <w:top w:val="single" w:sz="4" w:space="0" w:color="800000"/>
              <w:bottom w:val="single" w:sz="4" w:space="0" w:color="800000"/>
            </w:tcBorders>
          </w:tcPr>
          <w:p w:rsidR="00CA0382" w:rsidRPr="003234B1" w:rsidRDefault="00CA0382" w:rsidP="00F05234">
            <w:pPr>
              <w:pStyle w:val="TabIntestazioni"/>
            </w:pPr>
            <w:r w:rsidRPr="003234B1">
              <w:t>201</w:t>
            </w:r>
            <w:r>
              <w:t>9</w:t>
            </w:r>
          </w:p>
        </w:tc>
        <w:tc>
          <w:tcPr>
            <w:tcW w:w="510" w:type="dxa"/>
            <w:tcBorders>
              <w:top w:val="single" w:sz="4" w:space="0" w:color="800000"/>
              <w:bottom w:val="single" w:sz="4" w:space="0" w:color="800000"/>
            </w:tcBorders>
          </w:tcPr>
          <w:p w:rsidR="00CA0382" w:rsidRPr="003234B1" w:rsidRDefault="00CA0382" w:rsidP="00F05234">
            <w:pPr>
              <w:pStyle w:val="TabIntestazioni"/>
            </w:pPr>
            <w:r w:rsidRPr="003234B1">
              <w:t>20</w:t>
            </w:r>
            <w:r>
              <w:t>20</w:t>
            </w:r>
          </w:p>
        </w:tc>
        <w:tc>
          <w:tcPr>
            <w:tcW w:w="340" w:type="dxa"/>
            <w:tcBorders>
              <w:top w:val="single" w:sz="4" w:space="0" w:color="800000"/>
              <w:bottom w:val="single" w:sz="4" w:space="0" w:color="800000"/>
            </w:tcBorders>
          </w:tcPr>
          <w:p w:rsidR="00CA0382" w:rsidRPr="00BC2A0C" w:rsidRDefault="00CA0382" w:rsidP="00F05234">
            <w:pPr>
              <w:pStyle w:val="TabIntestazioni"/>
            </w:pPr>
          </w:p>
        </w:tc>
        <w:tc>
          <w:tcPr>
            <w:tcW w:w="2552" w:type="dxa"/>
            <w:tcBorders>
              <w:top w:val="single" w:sz="4" w:space="0" w:color="800000"/>
              <w:bottom w:val="single" w:sz="4" w:space="0" w:color="800000"/>
            </w:tcBorders>
          </w:tcPr>
          <w:p w:rsidR="00CA0382" w:rsidRPr="00BC2A0C" w:rsidRDefault="00CA0382" w:rsidP="00F05234">
            <w:pPr>
              <w:pStyle w:val="TabIntestazioni"/>
            </w:pPr>
          </w:p>
        </w:tc>
        <w:tc>
          <w:tcPr>
            <w:tcW w:w="510" w:type="dxa"/>
            <w:tcBorders>
              <w:top w:val="single" w:sz="4" w:space="0" w:color="800000"/>
              <w:bottom w:val="single" w:sz="4" w:space="0" w:color="800000"/>
            </w:tcBorders>
          </w:tcPr>
          <w:p w:rsidR="00CA0382" w:rsidRPr="003234B1" w:rsidRDefault="00CA0382" w:rsidP="00F05234">
            <w:pPr>
              <w:pStyle w:val="TabIntestazioni"/>
            </w:pPr>
            <w:r w:rsidRPr="003234B1">
              <w:t>201</w:t>
            </w:r>
            <w:r>
              <w:t>8</w:t>
            </w:r>
          </w:p>
        </w:tc>
        <w:tc>
          <w:tcPr>
            <w:tcW w:w="510" w:type="dxa"/>
            <w:tcBorders>
              <w:top w:val="single" w:sz="4" w:space="0" w:color="800000"/>
              <w:bottom w:val="single" w:sz="4" w:space="0" w:color="800000"/>
            </w:tcBorders>
          </w:tcPr>
          <w:p w:rsidR="00CA0382" w:rsidRPr="003234B1" w:rsidRDefault="00CA0382" w:rsidP="00F05234">
            <w:pPr>
              <w:pStyle w:val="TabIntestazioni"/>
            </w:pPr>
            <w:r w:rsidRPr="003234B1">
              <w:t>201</w:t>
            </w:r>
            <w:r>
              <w:t>9</w:t>
            </w:r>
          </w:p>
        </w:tc>
        <w:tc>
          <w:tcPr>
            <w:tcW w:w="514" w:type="dxa"/>
            <w:tcBorders>
              <w:top w:val="single" w:sz="4" w:space="0" w:color="800000"/>
              <w:bottom w:val="single" w:sz="4" w:space="0" w:color="800000"/>
            </w:tcBorders>
          </w:tcPr>
          <w:p w:rsidR="00CA0382" w:rsidRPr="003234B1" w:rsidRDefault="00CA0382" w:rsidP="00F05234">
            <w:pPr>
              <w:pStyle w:val="TabIntestazioni"/>
            </w:pPr>
            <w:r w:rsidRPr="003234B1">
              <w:t>20</w:t>
            </w:r>
            <w:r>
              <w:t>20</w:t>
            </w:r>
          </w:p>
        </w:tc>
      </w:tr>
      <w:tr w:rsidR="00CA0382" w:rsidRPr="00BC2A0C" w:rsidTr="00F05234">
        <w:trPr>
          <w:cantSplit/>
          <w:trHeight w:val="255"/>
        </w:trPr>
        <w:tc>
          <w:tcPr>
            <w:tcW w:w="9358" w:type="dxa"/>
            <w:gridSpan w:val="9"/>
            <w:shd w:val="clear" w:color="auto" w:fill="F2F2F2" w:themeFill="background1" w:themeFillShade="F2"/>
          </w:tcPr>
          <w:p w:rsidR="00CA0382" w:rsidRPr="00997C5D" w:rsidRDefault="00CA0382" w:rsidP="00F05234">
            <w:pPr>
              <w:pStyle w:val="TabIntestaSup"/>
            </w:pPr>
            <w:r>
              <w:t>Prodotto</w:t>
            </w:r>
          </w:p>
        </w:tc>
      </w:tr>
      <w:tr w:rsidR="00CA0382" w:rsidRPr="00BC2A0C" w:rsidTr="00F05234">
        <w:trPr>
          <w:cantSplit/>
          <w:trHeight w:val="255"/>
        </w:trPr>
        <w:tc>
          <w:tcPr>
            <w:tcW w:w="3402" w:type="dxa"/>
          </w:tcPr>
          <w:p w:rsidR="00CA0382" w:rsidRPr="00BC2A0C" w:rsidRDefault="00CA0382" w:rsidP="00F05234">
            <w:pPr>
              <w:pStyle w:val="TabEtichette"/>
            </w:pPr>
            <w:r w:rsidRPr="00BC2A0C">
              <w:t>Prodotto mondiale</w:t>
            </w:r>
          </w:p>
        </w:tc>
        <w:tc>
          <w:tcPr>
            <w:tcW w:w="510" w:type="dxa"/>
          </w:tcPr>
          <w:p w:rsidR="00CA0382" w:rsidRPr="00642B29" w:rsidRDefault="00CA0382" w:rsidP="00F05234">
            <w:pPr>
              <w:pStyle w:val="TabNumeri"/>
            </w:pPr>
            <w:r w:rsidRPr="00642B29">
              <w:t xml:space="preserve">3,6 </w:t>
            </w:r>
          </w:p>
        </w:tc>
        <w:tc>
          <w:tcPr>
            <w:tcW w:w="510" w:type="dxa"/>
          </w:tcPr>
          <w:p w:rsidR="00CA0382" w:rsidRPr="00642B29" w:rsidRDefault="00CA0382" w:rsidP="00F05234">
            <w:pPr>
              <w:pStyle w:val="TabNumeri"/>
            </w:pPr>
            <w:r w:rsidRPr="00642B29">
              <w:t xml:space="preserve">3,2 </w:t>
            </w:r>
          </w:p>
        </w:tc>
        <w:tc>
          <w:tcPr>
            <w:tcW w:w="510" w:type="dxa"/>
          </w:tcPr>
          <w:p w:rsidR="00CA0382" w:rsidRPr="00642B29" w:rsidRDefault="00CA0382" w:rsidP="00F05234">
            <w:pPr>
              <w:pStyle w:val="TabNumeri"/>
            </w:pPr>
            <w:r w:rsidRPr="00642B29">
              <w:t xml:space="preserve">3,5 </w:t>
            </w:r>
          </w:p>
        </w:tc>
        <w:tc>
          <w:tcPr>
            <w:tcW w:w="340" w:type="dxa"/>
          </w:tcPr>
          <w:p w:rsidR="00CA0382" w:rsidRPr="00BC2A0C" w:rsidRDefault="00CA0382" w:rsidP="00F05234">
            <w:pPr>
              <w:pStyle w:val="TabEtichette"/>
            </w:pPr>
          </w:p>
        </w:tc>
        <w:tc>
          <w:tcPr>
            <w:tcW w:w="2552" w:type="dxa"/>
          </w:tcPr>
          <w:p w:rsidR="00CA0382" w:rsidRPr="00903CBB" w:rsidRDefault="00CA0382" w:rsidP="00F05234">
            <w:pPr>
              <w:pStyle w:val="TabEtichette"/>
            </w:pPr>
            <w:r w:rsidRPr="00903CBB">
              <w:t>Stati Uniti</w:t>
            </w:r>
          </w:p>
        </w:tc>
        <w:tc>
          <w:tcPr>
            <w:tcW w:w="510" w:type="dxa"/>
          </w:tcPr>
          <w:p w:rsidR="00CA0382" w:rsidRPr="00D23E31" w:rsidRDefault="00CA0382" w:rsidP="00F05234">
            <w:pPr>
              <w:pStyle w:val="TabNumeri"/>
            </w:pPr>
            <w:r w:rsidRPr="00D23E31">
              <w:t xml:space="preserve">2,9 </w:t>
            </w:r>
          </w:p>
        </w:tc>
        <w:tc>
          <w:tcPr>
            <w:tcW w:w="510" w:type="dxa"/>
          </w:tcPr>
          <w:p w:rsidR="00CA0382" w:rsidRPr="00D23E31" w:rsidRDefault="00CA0382" w:rsidP="00F05234">
            <w:pPr>
              <w:pStyle w:val="TabNumeri"/>
            </w:pPr>
            <w:r w:rsidRPr="00D23E31">
              <w:t xml:space="preserve">2,6 </w:t>
            </w:r>
          </w:p>
        </w:tc>
        <w:tc>
          <w:tcPr>
            <w:tcW w:w="514" w:type="dxa"/>
          </w:tcPr>
          <w:p w:rsidR="00CA0382" w:rsidRPr="00D23E31" w:rsidRDefault="00CA0382" w:rsidP="00F05234">
            <w:pPr>
              <w:pStyle w:val="TabNumeri"/>
            </w:pPr>
            <w:r w:rsidRPr="00D23E31">
              <w:t xml:space="preserve">1,9 </w:t>
            </w:r>
          </w:p>
        </w:tc>
      </w:tr>
      <w:tr w:rsidR="00CA0382" w:rsidRPr="00BC2A0C" w:rsidTr="00F05234">
        <w:trPr>
          <w:cantSplit/>
          <w:trHeight w:val="255"/>
        </w:trPr>
        <w:tc>
          <w:tcPr>
            <w:tcW w:w="3402" w:type="dxa"/>
            <w:shd w:val="clear" w:color="auto" w:fill="F2F2F2" w:themeFill="background1" w:themeFillShade="F2"/>
          </w:tcPr>
          <w:p w:rsidR="00CA0382" w:rsidRPr="00BC2A0C" w:rsidRDefault="00CA0382" w:rsidP="00F05234">
            <w:pPr>
              <w:pStyle w:val="TabEtichette"/>
            </w:pPr>
            <w:r w:rsidRPr="00B85524">
              <w:t>Economie avanzate</w:t>
            </w:r>
          </w:p>
        </w:tc>
        <w:tc>
          <w:tcPr>
            <w:tcW w:w="510" w:type="dxa"/>
            <w:shd w:val="clear" w:color="auto" w:fill="F2F2F2" w:themeFill="background1" w:themeFillShade="F2"/>
          </w:tcPr>
          <w:p w:rsidR="00CA0382" w:rsidRPr="00642B29" w:rsidRDefault="00CA0382" w:rsidP="00F05234">
            <w:pPr>
              <w:pStyle w:val="TabNumeri"/>
            </w:pPr>
            <w:r w:rsidRPr="00642B29">
              <w:t xml:space="preserve">2,2 </w:t>
            </w:r>
          </w:p>
        </w:tc>
        <w:tc>
          <w:tcPr>
            <w:tcW w:w="510" w:type="dxa"/>
            <w:shd w:val="clear" w:color="auto" w:fill="F2F2F2" w:themeFill="background1" w:themeFillShade="F2"/>
          </w:tcPr>
          <w:p w:rsidR="00CA0382" w:rsidRPr="00642B29" w:rsidRDefault="00CA0382" w:rsidP="00F05234">
            <w:pPr>
              <w:pStyle w:val="TabNumeri"/>
            </w:pPr>
            <w:r w:rsidRPr="00642B29">
              <w:t xml:space="preserve">1,9 </w:t>
            </w:r>
          </w:p>
        </w:tc>
        <w:tc>
          <w:tcPr>
            <w:tcW w:w="510" w:type="dxa"/>
            <w:shd w:val="clear" w:color="auto" w:fill="F2F2F2" w:themeFill="background1" w:themeFillShade="F2"/>
          </w:tcPr>
          <w:p w:rsidR="00CA0382" w:rsidRPr="00642B29" w:rsidRDefault="00CA0382" w:rsidP="00F05234">
            <w:pPr>
              <w:pStyle w:val="TabNumeri"/>
            </w:pPr>
            <w:r w:rsidRPr="00642B29">
              <w:t xml:space="preserve">1,7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903CBB" w:rsidRDefault="00CA0382" w:rsidP="00F05234">
            <w:pPr>
              <w:pStyle w:val="TabEtichette"/>
            </w:pPr>
            <w:r w:rsidRPr="00903CBB">
              <w:t>Cina</w:t>
            </w:r>
          </w:p>
        </w:tc>
        <w:tc>
          <w:tcPr>
            <w:tcW w:w="510" w:type="dxa"/>
            <w:shd w:val="clear" w:color="auto" w:fill="F2F2F2" w:themeFill="background1" w:themeFillShade="F2"/>
          </w:tcPr>
          <w:p w:rsidR="00CA0382" w:rsidRPr="00D23E31" w:rsidRDefault="00CA0382" w:rsidP="00F05234">
            <w:pPr>
              <w:pStyle w:val="TabNumeri"/>
            </w:pPr>
            <w:r w:rsidRPr="00D23E31">
              <w:t xml:space="preserve">6,6 </w:t>
            </w:r>
          </w:p>
        </w:tc>
        <w:tc>
          <w:tcPr>
            <w:tcW w:w="510" w:type="dxa"/>
            <w:shd w:val="clear" w:color="auto" w:fill="F2F2F2" w:themeFill="background1" w:themeFillShade="F2"/>
          </w:tcPr>
          <w:p w:rsidR="00CA0382" w:rsidRPr="00D23E31" w:rsidRDefault="00CA0382" w:rsidP="00F05234">
            <w:pPr>
              <w:pStyle w:val="TabNumeri"/>
            </w:pPr>
            <w:r w:rsidRPr="00D23E31">
              <w:t xml:space="preserve">6,2 </w:t>
            </w:r>
          </w:p>
        </w:tc>
        <w:tc>
          <w:tcPr>
            <w:tcW w:w="514" w:type="dxa"/>
            <w:shd w:val="clear" w:color="auto" w:fill="F2F2F2" w:themeFill="background1" w:themeFillShade="F2"/>
          </w:tcPr>
          <w:p w:rsidR="00CA0382" w:rsidRPr="00D23E31" w:rsidRDefault="00CA0382" w:rsidP="00F05234">
            <w:pPr>
              <w:pStyle w:val="TabNumeri"/>
            </w:pPr>
            <w:r w:rsidRPr="00D23E31">
              <w:t xml:space="preserve">6,0 </w:t>
            </w:r>
          </w:p>
        </w:tc>
      </w:tr>
      <w:tr w:rsidR="00CA0382" w:rsidRPr="00BC2A0C" w:rsidTr="00F05234">
        <w:trPr>
          <w:cantSplit/>
          <w:trHeight w:val="255"/>
        </w:trPr>
        <w:tc>
          <w:tcPr>
            <w:tcW w:w="3402" w:type="dxa"/>
          </w:tcPr>
          <w:p w:rsidR="00CA0382" w:rsidRPr="00BC2A0C" w:rsidRDefault="00CA0382" w:rsidP="00F05234">
            <w:pPr>
              <w:pStyle w:val="TabEtichette"/>
            </w:pPr>
            <w:r w:rsidRPr="00BC2A0C">
              <w:t>Economie emergenti e in sviluppo</w:t>
            </w:r>
          </w:p>
        </w:tc>
        <w:tc>
          <w:tcPr>
            <w:tcW w:w="510" w:type="dxa"/>
          </w:tcPr>
          <w:p w:rsidR="00CA0382" w:rsidRPr="00642B29" w:rsidRDefault="00CA0382" w:rsidP="00F05234">
            <w:pPr>
              <w:pStyle w:val="TabNumeri"/>
            </w:pPr>
            <w:r w:rsidRPr="00642B29">
              <w:t xml:space="preserve">4,5 </w:t>
            </w:r>
          </w:p>
        </w:tc>
        <w:tc>
          <w:tcPr>
            <w:tcW w:w="510" w:type="dxa"/>
          </w:tcPr>
          <w:p w:rsidR="00CA0382" w:rsidRPr="00642B29" w:rsidRDefault="00CA0382" w:rsidP="00F05234">
            <w:pPr>
              <w:pStyle w:val="TabNumeri"/>
            </w:pPr>
            <w:r w:rsidRPr="00642B29">
              <w:t xml:space="preserve">4,1 </w:t>
            </w:r>
          </w:p>
        </w:tc>
        <w:tc>
          <w:tcPr>
            <w:tcW w:w="510" w:type="dxa"/>
          </w:tcPr>
          <w:p w:rsidR="00CA0382" w:rsidRPr="00642B29" w:rsidRDefault="00CA0382" w:rsidP="00F05234">
            <w:pPr>
              <w:pStyle w:val="TabNumeri"/>
            </w:pPr>
            <w:r w:rsidRPr="00642B29">
              <w:t xml:space="preserve">4,7 </w:t>
            </w:r>
          </w:p>
        </w:tc>
        <w:tc>
          <w:tcPr>
            <w:tcW w:w="340" w:type="dxa"/>
          </w:tcPr>
          <w:p w:rsidR="00CA0382" w:rsidRPr="00BC2A0C" w:rsidRDefault="00CA0382" w:rsidP="00F05234">
            <w:pPr>
              <w:pStyle w:val="TabEtichette"/>
            </w:pPr>
          </w:p>
        </w:tc>
        <w:tc>
          <w:tcPr>
            <w:tcW w:w="2552" w:type="dxa"/>
          </w:tcPr>
          <w:p w:rsidR="00CA0382" w:rsidRPr="00903CBB" w:rsidRDefault="00CA0382" w:rsidP="00F05234">
            <w:pPr>
              <w:pStyle w:val="TabEtichette"/>
            </w:pPr>
            <w:r w:rsidRPr="00903CBB">
              <w:t>Giappone</w:t>
            </w:r>
          </w:p>
        </w:tc>
        <w:tc>
          <w:tcPr>
            <w:tcW w:w="510" w:type="dxa"/>
          </w:tcPr>
          <w:p w:rsidR="00CA0382" w:rsidRPr="00D23E31" w:rsidRDefault="00CA0382" w:rsidP="00F05234">
            <w:pPr>
              <w:pStyle w:val="TabNumeri"/>
            </w:pPr>
            <w:r w:rsidRPr="00D23E31">
              <w:t xml:space="preserve">0,8 </w:t>
            </w:r>
          </w:p>
        </w:tc>
        <w:tc>
          <w:tcPr>
            <w:tcW w:w="510" w:type="dxa"/>
          </w:tcPr>
          <w:p w:rsidR="00CA0382" w:rsidRPr="00D23E31" w:rsidRDefault="00CA0382" w:rsidP="00F05234">
            <w:pPr>
              <w:pStyle w:val="TabNumeri"/>
            </w:pPr>
            <w:r w:rsidRPr="00D23E31">
              <w:t xml:space="preserve">0,9 </w:t>
            </w:r>
          </w:p>
        </w:tc>
        <w:tc>
          <w:tcPr>
            <w:tcW w:w="514" w:type="dxa"/>
          </w:tcPr>
          <w:p w:rsidR="00CA0382" w:rsidRPr="00D23E31" w:rsidRDefault="00CA0382" w:rsidP="00F05234">
            <w:pPr>
              <w:pStyle w:val="TabNumeri"/>
            </w:pPr>
            <w:r w:rsidRPr="00D23E31">
              <w:t xml:space="preserve">0,4 </w:t>
            </w:r>
          </w:p>
        </w:tc>
      </w:tr>
      <w:tr w:rsidR="00CA0382" w:rsidRPr="00BC2A0C" w:rsidTr="00F05234">
        <w:trPr>
          <w:cantSplit/>
          <w:trHeight w:val="255"/>
        </w:trPr>
        <w:tc>
          <w:tcPr>
            <w:tcW w:w="3402" w:type="dxa"/>
            <w:shd w:val="clear" w:color="auto" w:fill="F2F2F2" w:themeFill="background1" w:themeFillShade="F2"/>
          </w:tcPr>
          <w:p w:rsidR="00CA0382" w:rsidRPr="00C103CD" w:rsidRDefault="00CA0382" w:rsidP="00F05234">
            <w:pPr>
              <w:pStyle w:val="TabEtichette"/>
            </w:pPr>
            <w:r>
              <w:t xml:space="preserve">  Europa e</w:t>
            </w:r>
            <w:r w:rsidRPr="00C103CD">
              <w:t>mergente e in sviluppo</w:t>
            </w:r>
          </w:p>
        </w:tc>
        <w:tc>
          <w:tcPr>
            <w:tcW w:w="510" w:type="dxa"/>
            <w:shd w:val="clear" w:color="auto" w:fill="F2F2F2" w:themeFill="background1" w:themeFillShade="F2"/>
          </w:tcPr>
          <w:p w:rsidR="00CA0382" w:rsidRPr="00642B29" w:rsidRDefault="00CA0382" w:rsidP="00F05234">
            <w:pPr>
              <w:pStyle w:val="TabNumeri"/>
            </w:pPr>
            <w:r w:rsidRPr="00642B29">
              <w:t xml:space="preserve">3,6 </w:t>
            </w:r>
          </w:p>
        </w:tc>
        <w:tc>
          <w:tcPr>
            <w:tcW w:w="510" w:type="dxa"/>
            <w:shd w:val="clear" w:color="auto" w:fill="F2F2F2" w:themeFill="background1" w:themeFillShade="F2"/>
          </w:tcPr>
          <w:p w:rsidR="00CA0382" w:rsidRPr="00642B29" w:rsidRDefault="00CA0382" w:rsidP="00F05234">
            <w:pPr>
              <w:pStyle w:val="TabNumeri"/>
            </w:pPr>
            <w:r w:rsidRPr="00642B29">
              <w:t xml:space="preserve">1,0 </w:t>
            </w:r>
          </w:p>
        </w:tc>
        <w:tc>
          <w:tcPr>
            <w:tcW w:w="510" w:type="dxa"/>
            <w:shd w:val="clear" w:color="auto" w:fill="F2F2F2" w:themeFill="background1" w:themeFillShade="F2"/>
          </w:tcPr>
          <w:p w:rsidR="00CA0382" w:rsidRPr="00642B29" w:rsidRDefault="00CA0382" w:rsidP="00F05234">
            <w:pPr>
              <w:pStyle w:val="TabNumeri"/>
            </w:pPr>
            <w:r w:rsidRPr="00642B29">
              <w:t xml:space="preserve">2,3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903CBB" w:rsidRDefault="00CA0382" w:rsidP="00F05234">
            <w:pPr>
              <w:pStyle w:val="TabEtichette"/>
            </w:pPr>
            <w:r w:rsidRPr="00903CBB">
              <w:t>Area dell'euro</w:t>
            </w:r>
          </w:p>
        </w:tc>
        <w:tc>
          <w:tcPr>
            <w:tcW w:w="510" w:type="dxa"/>
            <w:shd w:val="clear" w:color="auto" w:fill="F2F2F2" w:themeFill="background1" w:themeFillShade="F2"/>
          </w:tcPr>
          <w:p w:rsidR="00CA0382" w:rsidRPr="00D23E31" w:rsidRDefault="00CA0382" w:rsidP="00F05234">
            <w:pPr>
              <w:pStyle w:val="TabNumeri"/>
            </w:pPr>
            <w:r w:rsidRPr="00D23E31">
              <w:t xml:space="preserve">1,9 </w:t>
            </w:r>
          </w:p>
        </w:tc>
        <w:tc>
          <w:tcPr>
            <w:tcW w:w="510" w:type="dxa"/>
            <w:shd w:val="clear" w:color="auto" w:fill="F2F2F2" w:themeFill="background1" w:themeFillShade="F2"/>
          </w:tcPr>
          <w:p w:rsidR="00CA0382" w:rsidRPr="00D23E31" w:rsidRDefault="00CA0382" w:rsidP="00F05234">
            <w:pPr>
              <w:pStyle w:val="TabNumeri"/>
            </w:pPr>
            <w:r w:rsidRPr="00D23E31">
              <w:t xml:space="preserve">1,3 </w:t>
            </w:r>
          </w:p>
        </w:tc>
        <w:tc>
          <w:tcPr>
            <w:tcW w:w="514" w:type="dxa"/>
            <w:shd w:val="clear" w:color="auto" w:fill="F2F2F2" w:themeFill="background1" w:themeFillShade="F2"/>
          </w:tcPr>
          <w:p w:rsidR="00CA0382" w:rsidRPr="00D23E31" w:rsidRDefault="00CA0382" w:rsidP="00F05234">
            <w:pPr>
              <w:pStyle w:val="TabNumeri"/>
            </w:pPr>
            <w:r w:rsidRPr="00D23E31">
              <w:t xml:space="preserve">1,6 </w:t>
            </w:r>
          </w:p>
        </w:tc>
      </w:tr>
      <w:tr w:rsidR="00CA0382" w:rsidRPr="00BC2A0C" w:rsidTr="00F05234">
        <w:trPr>
          <w:cantSplit/>
          <w:trHeight w:val="255"/>
        </w:trPr>
        <w:tc>
          <w:tcPr>
            <w:tcW w:w="3402" w:type="dxa"/>
          </w:tcPr>
          <w:p w:rsidR="00CA0382" w:rsidRPr="00C103CD" w:rsidRDefault="00CA0382" w:rsidP="00F05234">
            <w:pPr>
              <w:pStyle w:val="TabEtichette"/>
            </w:pPr>
            <w:r w:rsidRPr="00C103CD">
              <w:t xml:space="preserve">  Comunità di Stati Indipendenti</w:t>
            </w:r>
          </w:p>
        </w:tc>
        <w:tc>
          <w:tcPr>
            <w:tcW w:w="510" w:type="dxa"/>
          </w:tcPr>
          <w:p w:rsidR="00CA0382" w:rsidRPr="00642B29" w:rsidRDefault="00CA0382" w:rsidP="00F05234">
            <w:pPr>
              <w:pStyle w:val="TabNumeri"/>
            </w:pPr>
            <w:r w:rsidRPr="00642B29">
              <w:t xml:space="preserve">2,7 </w:t>
            </w:r>
          </w:p>
        </w:tc>
        <w:tc>
          <w:tcPr>
            <w:tcW w:w="510" w:type="dxa"/>
          </w:tcPr>
          <w:p w:rsidR="00CA0382" w:rsidRPr="00642B29" w:rsidRDefault="00CA0382" w:rsidP="00F05234">
            <w:pPr>
              <w:pStyle w:val="TabNumeri"/>
            </w:pPr>
            <w:r w:rsidRPr="00642B29">
              <w:t xml:space="preserve">1,9 </w:t>
            </w:r>
          </w:p>
        </w:tc>
        <w:tc>
          <w:tcPr>
            <w:tcW w:w="510" w:type="dxa"/>
          </w:tcPr>
          <w:p w:rsidR="00CA0382" w:rsidRPr="00642B29" w:rsidRDefault="00CA0382" w:rsidP="00F05234">
            <w:pPr>
              <w:pStyle w:val="TabNumeri"/>
            </w:pPr>
            <w:r w:rsidRPr="00642B29">
              <w:t xml:space="preserve">2,4 </w:t>
            </w:r>
          </w:p>
        </w:tc>
        <w:tc>
          <w:tcPr>
            <w:tcW w:w="340" w:type="dxa"/>
          </w:tcPr>
          <w:p w:rsidR="00CA0382" w:rsidRPr="00BC2A0C" w:rsidRDefault="00CA0382" w:rsidP="00F05234">
            <w:pPr>
              <w:pStyle w:val="TabEtichette"/>
            </w:pPr>
          </w:p>
        </w:tc>
        <w:tc>
          <w:tcPr>
            <w:tcW w:w="2552" w:type="dxa"/>
          </w:tcPr>
          <w:p w:rsidR="00CA0382" w:rsidRPr="00903CBB" w:rsidRDefault="00CA0382" w:rsidP="00F05234">
            <w:pPr>
              <w:pStyle w:val="TabEtichette"/>
            </w:pPr>
            <w:r w:rsidRPr="00903CBB">
              <w:t xml:space="preserve">  Germania</w:t>
            </w:r>
          </w:p>
        </w:tc>
        <w:tc>
          <w:tcPr>
            <w:tcW w:w="510" w:type="dxa"/>
          </w:tcPr>
          <w:p w:rsidR="00CA0382" w:rsidRPr="00D23E31" w:rsidRDefault="00CA0382" w:rsidP="00F05234">
            <w:pPr>
              <w:pStyle w:val="TabNumeri"/>
            </w:pPr>
            <w:r w:rsidRPr="00D23E31">
              <w:t xml:space="preserve">1,4 </w:t>
            </w:r>
          </w:p>
        </w:tc>
        <w:tc>
          <w:tcPr>
            <w:tcW w:w="510" w:type="dxa"/>
          </w:tcPr>
          <w:p w:rsidR="00CA0382" w:rsidRPr="00D23E31" w:rsidRDefault="00CA0382" w:rsidP="00F05234">
            <w:pPr>
              <w:pStyle w:val="TabNumeri"/>
            </w:pPr>
            <w:r w:rsidRPr="00D23E31">
              <w:t xml:space="preserve">0,7 </w:t>
            </w:r>
          </w:p>
        </w:tc>
        <w:tc>
          <w:tcPr>
            <w:tcW w:w="514" w:type="dxa"/>
          </w:tcPr>
          <w:p w:rsidR="00CA0382" w:rsidRPr="00D23E31" w:rsidRDefault="00CA0382" w:rsidP="00F05234">
            <w:pPr>
              <w:pStyle w:val="TabNumeri"/>
            </w:pPr>
            <w:r w:rsidRPr="00D23E31">
              <w:t xml:space="preserve">1,7 </w:t>
            </w:r>
          </w:p>
        </w:tc>
      </w:tr>
      <w:tr w:rsidR="00CA0382" w:rsidRPr="00BC2A0C" w:rsidTr="00F05234">
        <w:trPr>
          <w:cantSplit/>
          <w:trHeight w:val="255"/>
        </w:trPr>
        <w:tc>
          <w:tcPr>
            <w:tcW w:w="3402" w:type="dxa"/>
            <w:shd w:val="clear" w:color="auto" w:fill="F2F2F2" w:themeFill="background1" w:themeFillShade="F2"/>
          </w:tcPr>
          <w:p w:rsidR="00CA0382" w:rsidRPr="00C103CD" w:rsidRDefault="00CA0382" w:rsidP="00F05234">
            <w:pPr>
              <w:pStyle w:val="TabEtichette"/>
            </w:pPr>
            <w:r w:rsidRPr="00C103CD">
              <w:t xml:space="preserve">  Paesi Asiatici in </w:t>
            </w:r>
            <w:r>
              <w:t>s</w:t>
            </w:r>
            <w:r w:rsidRPr="00C103CD">
              <w:t>viluppo</w:t>
            </w:r>
            <w:r>
              <w:t xml:space="preserve"> e emergenti</w:t>
            </w:r>
          </w:p>
        </w:tc>
        <w:tc>
          <w:tcPr>
            <w:tcW w:w="510" w:type="dxa"/>
            <w:shd w:val="clear" w:color="auto" w:fill="F2F2F2" w:themeFill="background1" w:themeFillShade="F2"/>
          </w:tcPr>
          <w:p w:rsidR="00CA0382" w:rsidRPr="00642B29" w:rsidRDefault="00CA0382" w:rsidP="00F05234">
            <w:pPr>
              <w:pStyle w:val="TabNumeri"/>
            </w:pPr>
            <w:r w:rsidRPr="00642B29">
              <w:t xml:space="preserve">6,4 </w:t>
            </w:r>
          </w:p>
        </w:tc>
        <w:tc>
          <w:tcPr>
            <w:tcW w:w="510" w:type="dxa"/>
            <w:shd w:val="clear" w:color="auto" w:fill="F2F2F2" w:themeFill="background1" w:themeFillShade="F2"/>
          </w:tcPr>
          <w:p w:rsidR="00CA0382" w:rsidRPr="00642B29" w:rsidRDefault="00CA0382" w:rsidP="00F05234">
            <w:pPr>
              <w:pStyle w:val="TabNumeri"/>
            </w:pPr>
            <w:r w:rsidRPr="00642B29">
              <w:t xml:space="preserve">6,2 </w:t>
            </w:r>
          </w:p>
        </w:tc>
        <w:tc>
          <w:tcPr>
            <w:tcW w:w="510" w:type="dxa"/>
            <w:shd w:val="clear" w:color="auto" w:fill="F2F2F2" w:themeFill="background1" w:themeFillShade="F2"/>
          </w:tcPr>
          <w:p w:rsidR="00CA0382" w:rsidRPr="00642B29" w:rsidRDefault="00CA0382" w:rsidP="00F05234">
            <w:pPr>
              <w:pStyle w:val="TabNumeri"/>
            </w:pPr>
            <w:r w:rsidRPr="00642B29">
              <w:t xml:space="preserve">6,2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903CBB" w:rsidRDefault="00CA0382" w:rsidP="00F05234">
            <w:pPr>
              <w:pStyle w:val="TabEtichette"/>
            </w:pPr>
            <w:r w:rsidRPr="00903CBB">
              <w:t xml:space="preserve">  Francia</w:t>
            </w:r>
          </w:p>
        </w:tc>
        <w:tc>
          <w:tcPr>
            <w:tcW w:w="510" w:type="dxa"/>
            <w:shd w:val="clear" w:color="auto" w:fill="F2F2F2" w:themeFill="background1" w:themeFillShade="F2"/>
          </w:tcPr>
          <w:p w:rsidR="00CA0382" w:rsidRPr="00D23E31" w:rsidRDefault="00CA0382" w:rsidP="00F05234">
            <w:pPr>
              <w:pStyle w:val="TabNumeri"/>
            </w:pPr>
            <w:r w:rsidRPr="00D23E31">
              <w:t xml:space="preserve">1,7 </w:t>
            </w:r>
          </w:p>
        </w:tc>
        <w:tc>
          <w:tcPr>
            <w:tcW w:w="510" w:type="dxa"/>
            <w:shd w:val="clear" w:color="auto" w:fill="F2F2F2" w:themeFill="background1" w:themeFillShade="F2"/>
          </w:tcPr>
          <w:p w:rsidR="00CA0382" w:rsidRPr="00D23E31" w:rsidRDefault="00CA0382" w:rsidP="00F05234">
            <w:pPr>
              <w:pStyle w:val="TabNumeri"/>
            </w:pPr>
            <w:r w:rsidRPr="00D23E31">
              <w:t xml:space="preserve">1,3 </w:t>
            </w:r>
          </w:p>
        </w:tc>
        <w:tc>
          <w:tcPr>
            <w:tcW w:w="514" w:type="dxa"/>
            <w:shd w:val="clear" w:color="auto" w:fill="F2F2F2" w:themeFill="background1" w:themeFillShade="F2"/>
          </w:tcPr>
          <w:p w:rsidR="00CA0382" w:rsidRPr="00D23E31" w:rsidRDefault="00CA0382" w:rsidP="00F05234">
            <w:pPr>
              <w:pStyle w:val="TabNumeri"/>
            </w:pPr>
            <w:r w:rsidRPr="00D23E31">
              <w:t xml:space="preserve">1,4 </w:t>
            </w:r>
          </w:p>
        </w:tc>
      </w:tr>
      <w:tr w:rsidR="00CA0382" w:rsidRPr="00BC2A0C" w:rsidTr="00F05234">
        <w:trPr>
          <w:cantSplit/>
          <w:trHeight w:val="255"/>
        </w:trPr>
        <w:tc>
          <w:tcPr>
            <w:tcW w:w="3402" w:type="dxa"/>
          </w:tcPr>
          <w:p w:rsidR="00CA0382" w:rsidRPr="00C103CD" w:rsidRDefault="00CA0382" w:rsidP="00F05234">
            <w:pPr>
              <w:pStyle w:val="TabEtichette"/>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10" w:type="dxa"/>
          </w:tcPr>
          <w:p w:rsidR="00CA0382" w:rsidRPr="00642B29" w:rsidRDefault="00CA0382" w:rsidP="00F05234">
            <w:pPr>
              <w:pStyle w:val="TabNumeri"/>
            </w:pPr>
            <w:r w:rsidRPr="00642B29">
              <w:t xml:space="preserve">1,6 </w:t>
            </w:r>
          </w:p>
        </w:tc>
        <w:tc>
          <w:tcPr>
            <w:tcW w:w="510" w:type="dxa"/>
          </w:tcPr>
          <w:p w:rsidR="00CA0382" w:rsidRPr="00642B29" w:rsidRDefault="00CA0382" w:rsidP="00F05234">
            <w:pPr>
              <w:pStyle w:val="TabNumeri"/>
            </w:pPr>
            <w:r w:rsidRPr="00642B29">
              <w:t xml:space="preserve">1,0 </w:t>
            </w:r>
          </w:p>
        </w:tc>
        <w:tc>
          <w:tcPr>
            <w:tcW w:w="510" w:type="dxa"/>
          </w:tcPr>
          <w:p w:rsidR="00CA0382" w:rsidRPr="00642B29" w:rsidRDefault="00CA0382" w:rsidP="00F05234">
            <w:pPr>
              <w:pStyle w:val="TabNumeri"/>
            </w:pPr>
            <w:r w:rsidRPr="00642B29">
              <w:t xml:space="preserve">3,0 </w:t>
            </w:r>
          </w:p>
        </w:tc>
        <w:tc>
          <w:tcPr>
            <w:tcW w:w="340" w:type="dxa"/>
          </w:tcPr>
          <w:p w:rsidR="00CA0382" w:rsidRPr="00BC2A0C" w:rsidRDefault="00CA0382" w:rsidP="00F05234">
            <w:pPr>
              <w:pStyle w:val="TabEtichette"/>
            </w:pPr>
          </w:p>
        </w:tc>
        <w:tc>
          <w:tcPr>
            <w:tcW w:w="2552" w:type="dxa"/>
          </w:tcPr>
          <w:p w:rsidR="00CA0382" w:rsidRPr="00903CBB" w:rsidRDefault="00CA0382" w:rsidP="00F05234">
            <w:pPr>
              <w:pStyle w:val="TabEtichette"/>
            </w:pPr>
            <w:r w:rsidRPr="00903CBB">
              <w:t>Russia</w:t>
            </w:r>
          </w:p>
        </w:tc>
        <w:tc>
          <w:tcPr>
            <w:tcW w:w="510" w:type="dxa"/>
          </w:tcPr>
          <w:p w:rsidR="00CA0382" w:rsidRPr="00D23E31" w:rsidRDefault="00CA0382" w:rsidP="00F05234">
            <w:pPr>
              <w:pStyle w:val="TabNumeri"/>
            </w:pPr>
            <w:r w:rsidRPr="00D23E31">
              <w:t xml:space="preserve">2,3 </w:t>
            </w:r>
          </w:p>
        </w:tc>
        <w:tc>
          <w:tcPr>
            <w:tcW w:w="510" w:type="dxa"/>
          </w:tcPr>
          <w:p w:rsidR="00CA0382" w:rsidRPr="00D23E31" w:rsidRDefault="00CA0382" w:rsidP="00F05234">
            <w:pPr>
              <w:pStyle w:val="TabNumeri"/>
            </w:pPr>
            <w:r w:rsidRPr="00D23E31">
              <w:t xml:space="preserve">1,2 </w:t>
            </w:r>
          </w:p>
        </w:tc>
        <w:tc>
          <w:tcPr>
            <w:tcW w:w="514" w:type="dxa"/>
          </w:tcPr>
          <w:p w:rsidR="00CA0382" w:rsidRPr="00D23E31" w:rsidRDefault="00CA0382" w:rsidP="00F05234">
            <w:pPr>
              <w:pStyle w:val="TabNumeri"/>
            </w:pPr>
            <w:r w:rsidRPr="00D23E31">
              <w:t xml:space="preserve">1,9 </w:t>
            </w:r>
          </w:p>
        </w:tc>
      </w:tr>
      <w:tr w:rsidR="00CA0382" w:rsidRPr="00BC2A0C" w:rsidTr="00F05234">
        <w:trPr>
          <w:cantSplit/>
          <w:trHeight w:val="255"/>
        </w:trPr>
        <w:tc>
          <w:tcPr>
            <w:tcW w:w="3402" w:type="dxa"/>
            <w:shd w:val="clear" w:color="auto" w:fill="F2F2F2" w:themeFill="background1" w:themeFillShade="F2"/>
          </w:tcPr>
          <w:p w:rsidR="00CA0382" w:rsidRPr="00C103CD" w:rsidRDefault="00CA0382" w:rsidP="00F05234">
            <w:pPr>
              <w:pStyle w:val="TabEtichette"/>
            </w:pPr>
            <w:r w:rsidRPr="00C103CD">
              <w:t xml:space="preserve">  Africa Sub-Sahariana</w:t>
            </w:r>
          </w:p>
        </w:tc>
        <w:tc>
          <w:tcPr>
            <w:tcW w:w="510" w:type="dxa"/>
            <w:shd w:val="clear" w:color="auto" w:fill="F2F2F2" w:themeFill="background1" w:themeFillShade="F2"/>
          </w:tcPr>
          <w:p w:rsidR="00CA0382" w:rsidRPr="00642B29" w:rsidRDefault="00CA0382" w:rsidP="00F05234">
            <w:pPr>
              <w:pStyle w:val="TabNumeri"/>
            </w:pPr>
            <w:r w:rsidRPr="00642B29">
              <w:t xml:space="preserve">3,1 </w:t>
            </w:r>
          </w:p>
        </w:tc>
        <w:tc>
          <w:tcPr>
            <w:tcW w:w="510" w:type="dxa"/>
            <w:shd w:val="clear" w:color="auto" w:fill="F2F2F2" w:themeFill="background1" w:themeFillShade="F2"/>
          </w:tcPr>
          <w:p w:rsidR="00CA0382" w:rsidRPr="00642B29" w:rsidRDefault="00CA0382" w:rsidP="00F05234">
            <w:pPr>
              <w:pStyle w:val="TabNumeri"/>
            </w:pPr>
            <w:r w:rsidRPr="00642B29">
              <w:t xml:space="preserve">3,4 </w:t>
            </w:r>
          </w:p>
        </w:tc>
        <w:tc>
          <w:tcPr>
            <w:tcW w:w="510" w:type="dxa"/>
            <w:shd w:val="clear" w:color="auto" w:fill="F2F2F2" w:themeFill="background1" w:themeFillShade="F2"/>
          </w:tcPr>
          <w:p w:rsidR="00CA0382" w:rsidRPr="00642B29" w:rsidRDefault="00CA0382" w:rsidP="00F05234">
            <w:pPr>
              <w:pStyle w:val="TabNumeri"/>
            </w:pPr>
            <w:r w:rsidRPr="00642B29">
              <w:t xml:space="preserve">3,6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903CBB" w:rsidRDefault="00CA0382" w:rsidP="00F05234">
            <w:pPr>
              <w:pStyle w:val="TabEtichette"/>
            </w:pPr>
            <w:r w:rsidRPr="00903CBB">
              <w:t>India</w:t>
            </w:r>
          </w:p>
        </w:tc>
        <w:tc>
          <w:tcPr>
            <w:tcW w:w="510" w:type="dxa"/>
            <w:shd w:val="clear" w:color="auto" w:fill="F2F2F2" w:themeFill="background1" w:themeFillShade="F2"/>
          </w:tcPr>
          <w:p w:rsidR="00CA0382" w:rsidRPr="00D23E31" w:rsidRDefault="00CA0382" w:rsidP="00F05234">
            <w:pPr>
              <w:pStyle w:val="TabNumeri"/>
            </w:pPr>
            <w:r w:rsidRPr="00D23E31">
              <w:t xml:space="preserve">6,8 </w:t>
            </w:r>
          </w:p>
        </w:tc>
        <w:tc>
          <w:tcPr>
            <w:tcW w:w="510" w:type="dxa"/>
            <w:shd w:val="clear" w:color="auto" w:fill="F2F2F2" w:themeFill="background1" w:themeFillShade="F2"/>
          </w:tcPr>
          <w:p w:rsidR="00CA0382" w:rsidRPr="00D23E31" w:rsidRDefault="00CA0382" w:rsidP="00F05234">
            <w:pPr>
              <w:pStyle w:val="TabNumeri"/>
            </w:pPr>
            <w:r w:rsidRPr="00D23E31">
              <w:t xml:space="preserve">7,0 </w:t>
            </w:r>
          </w:p>
        </w:tc>
        <w:tc>
          <w:tcPr>
            <w:tcW w:w="514" w:type="dxa"/>
            <w:shd w:val="clear" w:color="auto" w:fill="F2F2F2" w:themeFill="background1" w:themeFillShade="F2"/>
          </w:tcPr>
          <w:p w:rsidR="00CA0382" w:rsidRPr="00D23E31" w:rsidRDefault="00CA0382" w:rsidP="00F05234">
            <w:pPr>
              <w:pStyle w:val="TabNumeri"/>
            </w:pPr>
            <w:r w:rsidRPr="00D23E31">
              <w:t xml:space="preserve">7,2 </w:t>
            </w:r>
          </w:p>
        </w:tc>
      </w:tr>
      <w:tr w:rsidR="00CA0382" w:rsidRPr="00BC2A0C" w:rsidTr="00F05234">
        <w:trPr>
          <w:cantSplit/>
          <w:trHeight w:val="255"/>
        </w:trPr>
        <w:tc>
          <w:tcPr>
            <w:tcW w:w="3402" w:type="dxa"/>
          </w:tcPr>
          <w:p w:rsidR="00CA0382" w:rsidRDefault="00CA0382" w:rsidP="00F05234">
            <w:pPr>
              <w:pStyle w:val="TabEtichette"/>
            </w:pPr>
            <w:r w:rsidRPr="00C103CD">
              <w:t xml:space="preserve">  America Latina e Caraibi</w:t>
            </w:r>
          </w:p>
        </w:tc>
        <w:tc>
          <w:tcPr>
            <w:tcW w:w="510" w:type="dxa"/>
          </w:tcPr>
          <w:p w:rsidR="00CA0382" w:rsidRPr="00642B29" w:rsidRDefault="00CA0382" w:rsidP="00F05234">
            <w:pPr>
              <w:pStyle w:val="TabNumeri"/>
            </w:pPr>
            <w:r w:rsidRPr="00642B29">
              <w:t xml:space="preserve">1,0 </w:t>
            </w:r>
          </w:p>
        </w:tc>
        <w:tc>
          <w:tcPr>
            <w:tcW w:w="510" w:type="dxa"/>
          </w:tcPr>
          <w:p w:rsidR="00CA0382" w:rsidRPr="00642B29" w:rsidRDefault="00CA0382" w:rsidP="00F05234">
            <w:pPr>
              <w:pStyle w:val="TabNumeri"/>
            </w:pPr>
            <w:r w:rsidRPr="00642B29">
              <w:t xml:space="preserve">0,6 </w:t>
            </w:r>
          </w:p>
        </w:tc>
        <w:tc>
          <w:tcPr>
            <w:tcW w:w="510" w:type="dxa"/>
          </w:tcPr>
          <w:p w:rsidR="00CA0382" w:rsidRDefault="00CA0382" w:rsidP="00F05234">
            <w:pPr>
              <w:pStyle w:val="TabNumeri"/>
            </w:pPr>
            <w:r w:rsidRPr="00642B29">
              <w:t xml:space="preserve">2,3 </w:t>
            </w:r>
          </w:p>
        </w:tc>
        <w:tc>
          <w:tcPr>
            <w:tcW w:w="340" w:type="dxa"/>
          </w:tcPr>
          <w:p w:rsidR="00CA0382" w:rsidRPr="00BC2A0C" w:rsidRDefault="00CA0382" w:rsidP="00F05234">
            <w:pPr>
              <w:pStyle w:val="TabEtichette"/>
            </w:pPr>
          </w:p>
        </w:tc>
        <w:tc>
          <w:tcPr>
            <w:tcW w:w="2552" w:type="dxa"/>
          </w:tcPr>
          <w:p w:rsidR="00CA0382" w:rsidRPr="00903CBB" w:rsidRDefault="00CA0382" w:rsidP="00F05234">
            <w:pPr>
              <w:pStyle w:val="TabEtichette"/>
            </w:pPr>
            <w:r w:rsidRPr="00903CBB">
              <w:t>Brasile</w:t>
            </w:r>
          </w:p>
        </w:tc>
        <w:tc>
          <w:tcPr>
            <w:tcW w:w="510" w:type="dxa"/>
          </w:tcPr>
          <w:p w:rsidR="00CA0382" w:rsidRPr="00D23E31" w:rsidRDefault="00CA0382" w:rsidP="00F05234">
            <w:pPr>
              <w:pStyle w:val="TabNumeri"/>
            </w:pPr>
            <w:r w:rsidRPr="00D23E31">
              <w:t xml:space="preserve">1,1 </w:t>
            </w:r>
          </w:p>
        </w:tc>
        <w:tc>
          <w:tcPr>
            <w:tcW w:w="510" w:type="dxa"/>
          </w:tcPr>
          <w:p w:rsidR="00CA0382" w:rsidRPr="00D23E31" w:rsidRDefault="00CA0382" w:rsidP="00F05234">
            <w:pPr>
              <w:pStyle w:val="TabNumeri"/>
            </w:pPr>
            <w:r w:rsidRPr="00D23E31">
              <w:t xml:space="preserve">0,8 </w:t>
            </w:r>
          </w:p>
        </w:tc>
        <w:tc>
          <w:tcPr>
            <w:tcW w:w="514" w:type="dxa"/>
          </w:tcPr>
          <w:p w:rsidR="00CA0382" w:rsidRPr="00D23E31" w:rsidRDefault="00CA0382" w:rsidP="00F05234">
            <w:pPr>
              <w:pStyle w:val="TabNumeri"/>
            </w:pPr>
            <w:r w:rsidRPr="00D23E31">
              <w:t xml:space="preserve">2,4 </w:t>
            </w:r>
          </w:p>
        </w:tc>
      </w:tr>
      <w:tr w:rsidR="00CA0382" w:rsidRPr="00BC2A0C" w:rsidTr="00F05234">
        <w:trPr>
          <w:cantSplit/>
          <w:trHeight w:val="255"/>
        </w:trPr>
        <w:tc>
          <w:tcPr>
            <w:tcW w:w="3402" w:type="dxa"/>
            <w:shd w:val="clear" w:color="auto" w:fill="F2F2F2" w:themeFill="background1" w:themeFillShade="F2"/>
          </w:tcPr>
          <w:p w:rsidR="00CA0382" w:rsidRPr="007C2916" w:rsidRDefault="00CA0382" w:rsidP="00F05234">
            <w:pPr>
              <w:pStyle w:val="TabEtichette"/>
            </w:pPr>
          </w:p>
        </w:tc>
        <w:tc>
          <w:tcPr>
            <w:tcW w:w="510" w:type="dxa"/>
            <w:shd w:val="clear" w:color="auto" w:fill="F2F2F2" w:themeFill="background1" w:themeFillShade="F2"/>
          </w:tcPr>
          <w:p w:rsidR="00CA0382" w:rsidRPr="003234B1" w:rsidRDefault="00CA0382" w:rsidP="00F05234">
            <w:pPr>
              <w:pStyle w:val="TabNumeri"/>
            </w:pPr>
          </w:p>
        </w:tc>
        <w:tc>
          <w:tcPr>
            <w:tcW w:w="510" w:type="dxa"/>
            <w:shd w:val="clear" w:color="auto" w:fill="F2F2F2" w:themeFill="background1" w:themeFillShade="F2"/>
          </w:tcPr>
          <w:p w:rsidR="00CA0382" w:rsidRPr="003234B1" w:rsidRDefault="00CA0382" w:rsidP="00F05234">
            <w:pPr>
              <w:pStyle w:val="TabNumeri"/>
            </w:pPr>
          </w:p>
        </w:tc>
        <w:tc>
          <w:tcPr>
            <w:tcW w:w="510" w:type="dxa"/>
            <w:shd w:val="clear" w:color="auto" w:fill="F2F2F2" w:themeFill="background1" w:themeFillShade="F2"/>
          </w:tcPr>
          <w:p w:rsidR="00CA0382" w:rsidRPr="003234B1" w:rsidRDefault="00CA0382" w:rsidP="00F05234">
            <w:pPr>
              <w:pStyle w:val="TabNumeri"/>
            </w:pP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Default="00CA0382" w:rsidP="00F05234">
            <w:pPr>
              <w:pStyle w:val="TabEtichette"/>
            </w:pPr>
            <w:r w:rsidRPr="00903CBB">
              <w:t>Messico</w:t>
            </w:r>
          </w:p>
        </w:tc>
        <w:tc>
          <w:tcPr>
            <w:tcW w:w="510" w:type="dxa"/>
            <w:shd w:val="clear" w:color="auto" w:fill="F2F2F2" w:themeFill="background1" w:themeFillShade="F2"/>
          </w:tcPr>
          <w:p w:rsidR="00CA0382" w:rsidRPr="00D23E31" w:rsidRDefault="00CA0382" w:rsidP="00F05234">
            <w:pPr>
              <w:pStyle w:val="TabNumeri"/>
            </w:pPr>
            <w:r w:rsidRPr="00D23E31">
              <w:t xml:space="preserve">2,0 </w:t>
            </w:r>
          </w:p>
        </w:tc>
        <w:tc>
          <w:tcPr>
            <w:tcW w:w="510" w:type="dxa"/>
            <w:shd w:val="clear" w:color="auto" w:fill="F2F2F2" w:themeFill="background1" w:themeFillShade="F2"/>
          </w:tcPr>
          <w:p w:rsidR="00CA0382" w:rsidRPr="00D23E31" w:rsidRDefault="00CA0382" w:rsidP="00F05234">
            <w:pPr>
              <w:pStyle w:val="TabNumeri"/>
            </w:pPr>
            <w:r w:rsidRPr="00D23E31">
              <w:t xml:space="preserve">0,9 </w:t>
            </w:r>
          </w:p>
        </w:tc>
        <w:tc>
          <w:tcPr>
            <w:tcW w:w="514" w:type="dxa"/>
            <w:shd w:val="clear" w:color="auto" w:fill="F2F2F2" w:themeFill="background1" w:themeFillShade="F2"/>
          </w:tcPr>
          <w:p w:rsidR="00CA0382" w:rsidRDefault="00CA0382" w:rsidP="00F05234">
            <w:pPr>
              <w:pStyle w:val="TabNumeri"/>
            </w:pPr>
            <w:r w:rsidRPr="00D23E31">
              <w:t xml:space="preserve">1,9 </w:t>
            </w:r>
          </w:p>
        </w:tc>
      </w:tr>
      <w:tr w:rsidR="00CA0382" w:rsidRPr="00BC2A0C" w:rsidTr="00F05234">
        <w:trPr>
          <w:cantSplit/>
          <w:trHeight w:val="255"/>
        </w:trPr>
        <w:tc>
          <w:tcPr>
            <w:tcW w:w="9358" w:type="dxa"/>
            <w:gridSpan w:val="9"/>
          </w:tcPr>
          <w:p w:rsidR="00CA0382" w:rsidRPr="009100D8" w:rsidRDefault="00CA0382" w:rsidP="00F05234">
            <w:pPr>
              <w:pStyle w:val="TabIntestaSup"/>
            </w:pPr>
            <w:r>
              <w:t>Commercio mondiale e tassi di interesse</w:t>
            </w:r>
          </w:p>
        </w:tc>
      </w:tr>
      <w:tr w:rsidR="00CA0382" w:rsidRPr="00BC2A0C" w:rsidTr="00F05234">
        <w:trPr>
          <w:cantSplit/>
          <w:trHeight w:val="255"/>
        </w:trPr>
        <w:tc>
          <w:tcPr>
            <w:tcW w:w="3402" w:type="dxa"/>
            <w:shd w:val="clear" w:color="auto" w:fill="F2F2F2" w:themeFill="background1" w:themeFillShade="F2"/>
          </w:tcPr>
          <w:p w:rsidR="00CA0382" w:rsidRPr="00BC2A0C" w:rsidRDefault="00CA0382" w:rsidP="00F05234">
            <w:pPr>
              <w:pStyle w:val="TabEtichette"/>
            </w:pPr>
            <w:r w:rsidRPr="00BC2A0C">
              <w:t>Commercio mondiale(c)</w:t>
            </w:r>
          </w:p>
        </w:tc>
        <w:tc>
          <w:tcPr>
            <w:tcW w:w="510" w:type="dxa"/>
            <w:shd w:val="clear" w:color="auto" w:fill="F2F2F2" w:themeFill="background1" w:themeFillShade="F2"/>
          </w:tcPr>
          <w:p w:rsidR="00CA0382" w:rsidRPr="00901440" w:rsidRDefault="00CA0382" w:rsidP="00F05234">
            <w:pPr>
              <w:pStyle w:val="TabNumeri"/>
            </w:pPr>
            <w:r w:rsidRPr="00901440">
              <w:t xml:space="preserve">3,7 </w:t>
            </w:r>
          </w:p>
        </w:tc>
        <w:tc>
          <w:tcPr>
            <w:tcW w:w="510" w:type="dxa"/>
            <w:shd w:val="clear" w:color="auto" w:fill="F2F2F2" w:themeFill="background1" w:themeFillShade="F2"/>
          </w:tcPr>
          <w:p w:rsidR="00CA0382" w:rsidRPr="00901440" w:rsidRDefault="00CA0382" w:rsidP="00F05234">
            <w:pPr>
              <w:pStyle w:val="TabNumeri"/>
            </w:pPr>
            <w:r w:rsidRPr="00901440">
              <w:t xml:space="preserve">2,5 </w:t>
            </w:r>
          </w:p>
        </w:tc>
        <w:tc>
          <w:tcPr>
            <w:tcW w:w="510" w:type="dxa"/>
            <w:shd w:val="clear" w:color="auto" w:fill="F2F2F2" w:themeFill="background1" w:themeFillShade="F2"/>
          </w:tcPr>
          <w:p w:rsidR="00CA0382" w:rsidRPr="00901440" w:rsidRDefault="00CA0382" w:rsidP="00F05234">
            <w:pPr>
              <w:pStyle w:val="TabNumeri"/>
            </w:pPr>
            <w:r w:rsidRPr="00901440">
              <w:t xml:space="preserve">3,7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BC2A0C" w:rsidRDefault="00CA0382" w:rsidP="00F05234">
            <w:pPr>
              <w:pStyle w:val="TabEtichette"/>
            </w:pPr>
            <w:proofErr w:type="spellStart"/>
            <w:r>
              <w:t>Libor</w:t>
            </w:r>
            <w:proofErr w:type="spellEnd"/>
            <w:r>
              <w:t xml:space="preserve"> su depositi in </w:t>
            </w:r>
            <w:r w:rsidRPr="00BC2A0C">
              <w:t>Dollari Usa</w:t>
            </w:r>
            <w:r>
              <w:t xml:space="preserve"> (f)</w:t>
            </w:r>
          </w:p>
        </w:tc>
        <w:tc>
          <w:tcPr>
            <w:tcW w:w="510" w:type="dxa"/>
            <w:shd w:val="clear" w:color="auto" w:fill="F2F2F2" w:themeFill="background1" w:themeFillShade="F2"/>
          </w:tcPr>
          <w:p w:rsidR="00CA0382" w:rsidRPr="00C448AA" w:rsidRDefault="00CA0382" w:rsidP="00F05234">
            <w:pPr>
              <w:pStyle w:val="TabNumeri"/>
            </w:pPr>
            <w:r w:rsidRPr="00C448AA">
              <w:t xml:space="preserve">2,5 </w:t>
            </w:r>
          </w:p>
        </w:tc>
        <w:tc>
          <w:tcPr>
            <w:tcW w:w="510" w:type="dxa"/>
            <w:shd w:val="clear" w:color="auto" w:fill="F2F2F2" w:themeFill="background1" w:themeFillShade="F2"/>
          </w:tcPr>
          <w:p w:rsidR="00CA0382" w:rsidRPr="00C448AA" w:rsidRDefault="00CA0382" w:rsidP="00F05234">
            <w:pPr>
              <w:pStyle w:val="TabNumeri"/>
            </w:pPr>
            <w:r w:rsidRPr="00C448AA">
              <w:t xml:space="preserve">2,4 </w:t>
            </w:r>
          </w:p>
        </w:tc>
        <w:tc>
          <w:tcPr>
            <w:tcW w:w="514" w:type="dxa"/>
            <w:shd w:val="clear" w:color="auto" w:fill="F2F2F2" w:themeFill="background1" w:themeFillShade="F2"/>
          </w:tcPr>
          <w:p w:rsidR="00CA0382" w:rsidRPr="00C448AA" w:rsidRDefault="00CA0382" w:rsidP="00F05234">
            <w:pPr>
              <w:pStyle w:val="TabNumeri"/>
            </w:pPr>
            <w:r w:rsidRPr="00C448AA">
              <w:t xml:space="preserve">2,3 </w:t>
            </w:r>
          </w:p>
        </w:tc>
      </w:tr>
      <w:tr w:rsidR="00CA0382" w:rsidRPr="00BC2A0C" w:rsidTr="00F05234">
        <w:trPr>
          <w:cantSplit/>
          <w:trHeight w:val="255"/>
        </w:trPr>
        <w:tc>
          <w:tcPr>
            <w:tcW w:w="3402" w:type="dxa"/>
          </w:tcPr>
          <w:p w:rsidR="00CA0382" w:rsidRPr="003F3E03" w:rsidRDefault="00CA0382" w:rsidP="00F05234">
            <w:pPr>
              <w:pStyle w:val="TabEtichette"/>
            </w:pPr>
            <w:r w:rsidRPr="003F3E03">
              <w:t xml:space="preserve">  Economie avanzate</w:t>
            </w:r>
          </w:p>
        </w:tc>
        <w:tc>
          <w:tcPr>
            <w:tcW w:w="510" w:type="dxa"/>
          </w:tcPr>
          <w:p w:rsidR="00CA0382" w:rsidRPr="00901440" w:rsidRDefault="00CA0382" w:rsidP="00F05234">
            <w:pPr>
              <w:pStyle w:val="TabNumeri"/>
            </w:pPr>
            <w:r w:rsidRPr="00901440">
              <w:t xml:space="preserve">3,1 </w:t>
            </w:r>
          </w:p>
        </w:tc>
        <w:tc>
          <w:tcPr>
            <w:tcW w:w="510" w:type="dxa"/>
          </w:tcPr>
          <w:p w:rsidR="00CA0382" w:rsidRPr="00901440" w:rsidRDefault="00CA0382" w:rsidP="00F05234">
            <w:pPr>
              <w:pStyle w:val="TabNumeri"/>
            </w:pPr>
            <w:r w:rsidRPr="00901440">
              <w:t xml:space="preserve">2,2 </w:t>
            </w:r>
          </w:p>
        </w:tc>
        <w:tc>
          <w:tcPr>
            <w:tcW w:w="510" w:type="dxa"/>
          </w:tcPr>
          <w:p w:rsidR="00CA0382" w:rsidRPr="00901440" w:rsidRDefault="00CA0382" w:rsidP="00F05234">
            <w:pPr>
              <w:pStyle w:val="TabNumeri"/>
            </w:pPr>
            <w:r w:rsidRPr="00901440">
              <w:t xml:space="preserve">3,1 </w:t>
            </w:r>
          </w:p>
        </w:tc>
        <w:tc>
          <w:tcPr>
            <w:tcW w:w="340" w:type="dxa"/>
          </w:tcPr>
          <w:p w:rsidR="00CA0382" w:rsidRPr="00BC2A0C" w:rsidRDefault="00CA0382" w:rsidP="00F05234">
            <w:pPr>
              <w:pStyle w:val="TabEtichette"/>
            </w:pPr>
          </w:p>
        </w:tc>
        <w:tc>
          <w:tcPr>
            <w:tcW w:w="2552" w:type="dxa"/>
          </w:tcPr>
          <w:p w:rsidR="00CA0382" w:rsidRPr="00BC2A0C" w:rsidRDefault="00CA0382" w:rsidP="00F05234">
            <w:pPr>
              <w:pStyle w:val="TabEtichette"/>
            </w:pPr>
            <w:proofErr w:type="spellStart"/>
            <w:r>
              <w:t>Libor</w:t>
            </w:r>
            <w:proofErr w:type="spellEnd"/>
            <w:r>
              <w:t xml:space="preserve"> su depositi in </w:t>
            </w:r>
            <w:r w:rsidRPr="00BC2A0C">
              <w:t>Euro</w:t>
            </w:r>
            <w:r>
              <w:t xml:space="preserve"> (f)</w:t>
            </w:r>
          </w:p>
        </w:tc>
        <w:tc>
          <w:tcPr>
            <w:tcW w:w="510" w:type="dxa"/>
          </w:tcPr>
          <w:p w:rsidR="00CA0382" w:rsidRPr="00C448AA" w:rsidRDefault="00CA0382" w:rsidP="00F05234">
            <w:pPr>
              <w:pStyle w:val="TabNumeri"/>
            </w:pPr>
            <w:r w:rsidRPr="00C448AA">
              <w:t xml:space="preserve">-0,3 </w:t>
            </w:r>
          </w:p>
        </w:tc>
        <w:tc>
          <w:tcPr>
            <w:tcW w:w="510" w:type="dxa"/>
          </w:tcPr>
          <w:p w:rsidR="00CA0382" w:rsidRPr="00C448AA" w:rsidRDefault="00CA0382" w:rsidP="00F05234">
            <w:pPr>
              <w:pStyle w:val="TabNumeri"/>
            </w:pPr>
            <w:r w:rsidRPr="00C448AA">
              <w:t xml:space="preserve">-0,3 </w:t>
            </w:r>
          </w:p>
        </w:tc>
        <w:tc>
          <w:tcPr>
            <w:tcW w:w="514" w:type="dxa"/>
          </w:tcPr>
          <w:p w:rsidR="00CA0382" w:rsidRPr="00C448AA" w:rsidRDefault="00CA0382" w:rsidP="00F05234">
            <w:pPr>
              <w:pStyle w:val="TabNumeri"/>
            </w:pPr>
            <w:r w:rsidRPr="00C448AA">
              <w:t xml:space="preserve">-0,3 </w:t>
            </w:r>
          </w:p>
        </w:tc>
      </w:tr>
      <w:tr w:rsidR="00CA0382" w:rsidRPr="00BC2A0C" w:rsidTr="00F05234">
        <w:trPr>
          <w:cantSplit/>
          <w:trHeight w:val="255"/>
        </w:trPr>
        <w:tc>
          <w:tcPr>
            <w:tcW w:w="3402" w:type="dxa"/>
            <w:shd w:val="clear" w:color="auto" w:fill="F2F2F2" w:themeFill="background1" w:themeFillShade="F2"/>
          </w:tcPr>
          <w:p w:rsidR="00CA0382" w:rsidRDefault="00CA0382" w:rsidP="00F05234">
            <w:pPr>
              <w:pStyle w:val="TabEtichette"/>
            </w:pPr>
            <w:r w:rsidRPr="003F3E03">
              <w:t xml:space="preserve">  Economie emergenti e in sviluppo</w:t>
            </w:r>
          </w:p>
        </w:tc>
        <w:tc>
          <w:tcPr>
            <w:tcW w:w="510" w:type="dxa"/>
            <w:shd w:val="clear" w:color="auto" w:fill="F2F2F2" w:themeFill="background1" w:themeFillShade="F2"/>
          </w:tcPr>
          <w:p w:rsidR="00CA0382" w:rsidRPr="00901440" w:rsidRDefault="00CA0382" w:rsidP="00F05234">
            <w:pPr>
              <w:pStyle w:val="TabNumeri"/>
            </w:pPr>
            <w:r w:rsidRPr="00901440">
              <w:t xml:space="preserve">4,7 </w:t>
            </w:r>
          </w:p>
        </w:tc>
        <w:tc>
          <w:tcPr>
            <w:tcW w:w="510" w:type="dxa"/>
            <w:shd w:val="clear" w:color="auto" w:fill="F2F2F2" w:themeFill="background1" w:themeFillShade="F2"/>
          </w:tcPr>
          <w:p w:rsidR="00CA0382" w:rsidRPr="00901440" w:rsidRDefault="00CA0382" w:rsidP="00F05234">
            <w:pPr>
              <w:pStyle w:val="TabNumeri"/>
            </w:pPr>
            <w:r w:rsidRPr="00901440">
              <w:t xml:space="preserve">2,9 </w:t>
            </w:r>
          </w:p>
        </w:tc>
        <w:tc>
          <w:tcPr>
            <w:tcW w:w="510" w:type="dxa"/>
            <w:shd w:val="clear" w:color="auto" w:fill="F2F2F2" w:themeFill="background1" w:themeFillShade="F2"/>
          </w:tcPr>
          <w:p w:rsidR="00CA0382" w:rsidRDefault="00CA0382" w:rsidP="00F05234">
            <w:pPr>
              <w:pStyle w:val="TabNumeri"/>
            </w:pPr>
            <w:r w:rsidRPr="00901440">
              <w:t xml:space="preserve">4,8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BC2A0C" w:rsidRDefault="00CA0382" w:rsidP="00F05234">
            <w:pPr>
              <w:pStyle w:val="TabEtichette"/>
            </w:pPr>
            <w:proofErr w:type="spellStart"/>
            <w:r>
              <w:t>Libor</w:t>
            </w:r>
            <w:proofErr w:type="spellEnd"/>
            <w:r>
              <w:t xml:space="preserve"> su depositi in </w:t>
            </w:r>
            <w:r w:rsidRPr="00BC2A0C">
              <w:t xml:space="preserve">Yen </w:t>
            </w:r>
            <w:r>
              <w:t>(f)</w:t>
            </w:r>
          </w:p>
        </w:tc>
        <w:tc>
          <w:tcPr>
            <w:tcW w:w="510" w:type="dxa"/>
            <w:shd w:val="clear" w:color="auto" w:fill="F2F2F2" w:themeFill="background1" w:themeFillShade="F2"/>
          </w:tcPr>
          <w:p w:rsidR="00CA0382" w:rsidRPr="00C448AA" w:rsidRDefault="00CA0382" w:rsidP="00F05234">
            <w:pPr>
              <w:pStyle w:val="TabNumeri"/>
            </w:pPr>
            <w:r w:rsidRPr="00C448AA">
              <w:t xml:space="preserve">0,0 </w:t>
            </w:r>
          </w:p>
        </w:tc>
        <w:tc>
          <w:tcPr>
            <w:tcW w:w="510" w:type="dxa"/>
            <w:shd w:val="clear" w:color="auto" w:fill="F2F2F2" w:themeFill="background1" w:themeFillShade="F2"/>
          </w:tcPr>
          <w:p w:rsidR="00CA0382" w:rsidRPr="00C448AA" w:rsidRDefault="00CA0382" w:rsidP="00F05234">
            <w:pPr>
              <w:pStyle w:val="TabNumeri"/>
            </w:pPr>
            <w:r w:rsidRPr="00C448AA">
              <w:t xml:space="preserve">0,0 </w:t>
            </w:r>
          </w:p>
        </w:tc>
        <w:tc>
          <w:tcPr>
            <w:tcW w:w="514" w:type="dxa"/>
            <w:shd w:val="clear" w:color="auto" w:fill="F2F2F2" w:themeFill="background1" w:themeFillShade="F2"/>
          </w:tcPr>
          <w:p w:rsidR="00CA0382" w:rsidRDefault="00CA0382" w:rsidP="00F05234">
            <w:pPr>
              <w:pStyle w:val="TabNumeri"/>
            </w:pPr>
            <w:r w:rsidRPr="00C448AA">
              <w:t xml:space="preserve">0,0 </w:t>
            </w:r>
          </w:p>
        </w:tc>
      </w:tr>
      <w:tr w:rsidR="00CA0382" w:rsidRPr="00BC2A0C" w:rsidTr="00F05234">
        <w:trPr>
          <w:cantSplit/>
          <w:trHeight w:val="255"/>
        </w:trPr>
        <w:tc>
          <w:tcPr>
            <w:tcW w:w="9358" w:type="dxa"/>
            <w:gridSpan w:val="9"/>
          </w:tcPr>
          <w:p w:rsidR="00CA0382" w:rsidRPr="009100D8" w:rsidRDefault="00CA0382" w:rsidP="00F05234">
            <w:pPr>
              <w:pStyle w:val="TabIntestaSup"/>
            </w:pPr>
            <w:r>
              <w:t>Prezzi</w:t>
            </w:r>
          </w:p>
        </w:tc>
      </w:tr>
      <w:tr w:rsidR="00CA0382" w:rsidRPr="00BC2A0C" w:rsidTr="00F05234">
        <w:trPr>
          <w:cantSplit/>
          <w:trHeight w:val="255"/>
        </w:trPr>
        <w:tc>
          <w:tcPr>
            <w:tcW w:w="3402" w:type="dxa"/>
            <w:shd w:val="clear" w:color="auto" w:fill="F2F2F2" w:themeFill="background1" w:themeFillShade="F2"/>
          </w:tcPr>
          <w:p w:rsidR="00CA0382" w:rsidRPr="00BC2A0C" w:rsidRDefault="00CA0382" w:rsidP="00F05234">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rsidR="00CA0382" w:rsidRPr="006129FC" w:rsidRDefault="00CA0382" w:rsidP="00F05234">
            <w:pPr>
              <w:pStyle w:val="TabNumeri"/>
            </w:pPr>
          </w:p>
        </w:tc>
        <w:tc>
          <w:tcPr>
            <w:tcW w:w="510" w:type="dxa"/>
            <w:shd w:val="clear" w:color="auto" w:fill="F2F2F2" w:themeFill="background1" w:themeFillShade="F2"/>
          </w:tcPr>
          <w:p w:rsidR="00CA0382" w:rsidRPr="006129FC" w:rsidRDefault="00CA0382" w:rsidP="00F05234">
            <w:pPr>
              <w:pStyle w:val="TabNumeri"/>
            </w:pPr>
          </w:p>
        </w:tc>
        <w:tc>
          <w:tcPr>
            <w:tcW w:w="510" w:type="dxa"/>
            <w:shd w:val="clear" w:color="auto" w:fill="F2F2F2" w:themeFill="background1" w:themeFillShade="F2"/>
          </w:tcPr>
          <w:p w:rsidR="00CA0382" w:rsidRPr="006129FC" w:rsidRDefault="00CA0382" w:rsidP="00F05234">
            <w:pPr>
              <w:pStyle w:val="TabNumeri"/>
            </w:pP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BC2A0C" w:rsidRDefault="00CA0382" w:rsidP="00F05234">
            <w:pPr>
              <w:pStyle w:val="TabEtichette"/>
            </w:pPr>
            <w:r w:rsidRPr="00BC2A0C">
              <w:t>Prezzi al consumo</w:t>
            </w:r>
          </w:p>
        </w:tc>
        <w:tc>
          <w:tcPr>
            <w:tcW w:w="510" w:type="dxa"/>
            <w:shd w:val="clear" w:color="auto" w:fill="F2F2F2" w:themeFill="background1" w:themeFillShade="F2"/>
          </w:tcPr>
          <w:p w:rsidR="00CA0382" w:rsidRPr="006129FC" w:rsidRDefault="00CA0382" w:rsidP="00F05234">
            <w:pPr>
              <w:pStyle w:val="TabNumeri"/>
            </w:pPr>
          </w:p>
        </w:tc>
        <w:tc>
          <w:tcPr>
            <w:tcW w:w="510" w:type="dxa"/>
            <w:shd w:val="clear" w:color="auto" w:fill="F2F2F2" w:themeFill="background1" w:themeFillShade="F2"/>
          </w:tcPr>
          <w:p w:rsidR="00CA0382" w:rsidRPr="006129FC" w:rsidRDefault="00CA0382" w:rsidP="00F05234">
            <w:pPr>
              <w:pStyle w:val="TabNumeri"/>
            </w:pPr>
          </w:p>
        </w:tc>
        <w:tc>
          <w:tcPr>
            <w:tcW w:w="514" w:type="dxa"/>
            <w:shd w:val="clear" w:color="auto" w:fill="F2F2F2" w:themeFill="background1" w:themeFillShade="F2"/>
          </w:tcPr>
          <w:p w:rsidR="00CA0382" w:rsidRPr="006129FC" w:rsidRDefault="00CA0382" w:rsidP="00F05234">
            <w:pPr>
              <w:pStyle w:val="TabNumeri"/>
            </w:pPr>
          </w:p>
        </w:tc>
      </w:tr>
      <w:tr w:rsidR="00CA0382" w:rsidRPr="00BC2A0C" w:rsidTr="00F05234">
        <w:trPr>
          <w:cantSplit/>
          <w:trHeight w:val="255"/>
        </w:trPr>
        <w:tc>
          <w:tcPr>
            <w:tcW w:w="3402" w:type="dxa"/>
            <w:shd w:val="clear" w:color="auto" w:fill="auto"/>
          </w:tcPr>
          <w:p w:rsidR="00CA0382" w:rsidRPr="00BC2A0C" w:rsidRDefault="00CA0382" w:rsidP="00F05234">
            <w:pPr>
              <w:pStyle w:val="TabEtichette"/>
            </w:pPr>
            <w:r w:rsidRPr="00BC2A0C">
              <w:t xml:space="preserve"> - Petrolio (d)</w:t>
            </w:r>
          </w:p>
        </w:tc>
        <w:tc>
          <w:tcPr>
            <w:tcW w:w="510" w:type="dxa"/>
            <w:shd w:val="clear" w:color="auto" w:fill="auto"/>
          </w:tcPr>
          <w:p w:rsidR="00CA0382" w:rsidRPr="005175A4" w:rsidRDefault="00CA0382" w:rsidP="00F05234">
            <w:pPr>
              <w:pStyle w:val="TabNumeri"/>
            </w:pPr>
            <w:r w:rsidRPr="005175A4">
              <w:t xml:space="preserve">29,4 </w:t>
            </w:r>
          </w:p>
        </w:tc>
        <w:tc>
          <w:tcPr>
            <w:tcW w:w="510" w:type="dxa"/>
            <w:shd w:val="clear" w:color="auto" w:fill="auto"/>
          </w:tcPr>
          <w:p w:rsidR="00CA0382" w:rsidRPr="005175A4" w:rsidRDefault="00CA0382" w:rsidP="00F05234">
            <w:pPr>
              <w:pStyle w:val="TabNumeri"/>
            </w:pPr>
            <w:r w:rsidRPr="005175A4">
              <w:t xml:space="preserve">-4,1 </w:t>
            </w:r>
          </w:p>
        </w:tc>
        <w:tc>
          <w:tcPr>
            <w:tcW w:w="510" w:type="dxa"/>
            <w:shd w:val="clear" w:color="auto" w:fill="auto"/>
          </w:tcPr>
          <w:p w:rsidR="00CA0382" w:rsidRPr="005175A4" w:rsidRDefault="00CA0382" w:rsidP="00F05234">
            <w:pPr>
              <w:pStyle w:val="TabNumeri"/>
            </w:pPr>
            <w:r w:rsidRPr="005175A4">
              <w:t xml:space="preserve">-2,5 </w:t>
            </w:r>
          </w:p>
        </w:tc>
        <w:tc>
          <w:tcPr>
            <w:tcW w:w="340" w:type="dxa"/>
            <w:shd w:val="clear" w:color="auto" w:fill="auto"/>
          </w:tcPr>
          <w:p w:rsidR="00CA0382" w:rsidRPr="00BC2A0C" w:rsidRDefault="00CA0382" w:rsidP="00F05234">
            <w:pPr>
              <w:pStyle w:val="TabEtichette"/>
            </w:pPr>
          </w:p>
        </w:tc>
        <w:tc>
          <w:tcPr>
            <w:tcW w:w="2552" w:type="dxa"/>
            <w:shd w:val="clear" w:color="auto" w:fill="auto"/>
          </w:tcPr>
          <w:p w:rsidR="00CA0382" w:rsidRPr="00BC2A0C" w:rsidRDefault="00CA0382" w:rsidP="00F05234">
            <w:pPr>
              <w:pStyle w:val="TabEtichette"/>
            </w:pPr>
            <w:r w:rsidRPr="00BC2A0C">
              <w:t xml:space="preserve">  Economie avanzate</w:t>
            </w:r>
          </w:p>
        </w:tc>
        <w:tc>
          <w:tcPr>
            <w:tcW w:w="510" w:type="dxa"/>
            <w:shd w:val="clear" w:color="auto" w:fill="auto"/>
          </w:tcPr>
          <w:p w:rsidR="00CA0382" w:rsidRPr="00C01CE2" w:rsidRDefault="00CA0382" w:rsidP="00F05234">
            <w:pPr>
              <w:pStyle w:val="TabNumeri"/>
            </w:pPr>
            <w:r w:rsidRPr="00C01CE2">
              <w:t xml:space="preserve">2,0 </w:t>
            </w:r>
          </w:p>
        </w:tc>
        <w:tc>
          <w:tcPr>
            <w:tcW w:w="510" w:type="dxa"/>
            <w:shd w:val="clear" w:color="auto" w:fill="auto"/>
          </w:tcPr>
          <w:p w:rsidR="00CA0382" w:rsidRPr="00C01CE2" w:rsidRDefault="00CA0382" w:rsidP="00F05234">
            <w:pPr>
              <w:pStyle w:val="TabNumeri"/>
            </w:pPr>
            <w:r w:rsidRPr="00C01CE2">
              <w:t xml:space="preserve">1,6 </w:t>
            </w:r>
          </w:p>
        </w:tc>
        <w:tc>
          <w:tcPr>
            <w:tcW w:w="514" w:type="dxa"/>
            <w:shd w:val="clear" w:color="auto" w:fill="auto"/>
          </w:tcPr>
          <w:p w:rsidR="00CA0382" w:rsidRPr="00C01CE2" w:rsidRDefault="00CA0382" w:rsidP="00F05234">
            <w:pPr>
              <w:pStyle w:val="TabNumeri"/>
            </w:pPr>
            <w:r w:rsidRPr="00C01CE2">
              <w:t xml:space="preserve">2,0 </w:t>
            </w:r>
          </w:p>
        </w:tc>
      </w:tr>
      <w:tr w:rsidR="00CA0382" w:rsidRPr="00BC2A0C" w:rsidTr="00F05234">
        <w:trPr>
          <w:cantSplit/>
          <w:trHeight w:val="255"/>
        </w:trPr>
        <w:tc>
          <w:tcPr>
            <w:tcW w:w="3402" w:type="dxa"/>
            <w:shd w:val="clear" w:color="auto" w:fill="F2F2F2" w:themeFill="background1" w:themeFillShade="F2"/>
          </w:tcPr>
          <w:p w:rsidR="00CA0382" w:rsidRPr="00BC2A0C" w:rsidRDefault="00CA0382" w:rsidP="00F05234">
            <w:pPr>
              <w:pStyle w:val="TabEtichette"/>
            </w:pPr>
            <w:r w:rsidRPr="00BC2A0C">
              <w:t xml:space="preserve"> - Materie prime non energetiche(e)</w:t>
            </w:r>
          </w:p>
        </w:tc>
        <w:tc>
          <w:tcPr>
            <w:tcW w:w="510" w:type="dxa"/>
            <w:shd w:val="clear" w:color="auto" w:fill="F2F2F2" w:themeFill="background1" w:themeFillShade="F2"/>
          </w:tcPr>
          <w:p w:rsidR="00CA0382" w:rsidRPr="005175A4" w:rsidRDefault="00CA0382" w:rsidP="00F05234">
            <w:pPr>
              <w:pStyle w:val="TabNumeri"/>
            </w:pPr>
            <w:r w:rsidRPr="005175A4">
              <w:t xml:space="preserve">1,6 </w:t>
            </w:r>
          </w:p>
        </w:tc>
        <w:tc>
          <w:tcPr>
            <w:tcW w:w="510" w:type="dxa"/>
            <w:shd w:val="clear" w:color="auto" w:fill="F2F2F2" w:themeFill="background1" w:themeFillShade="F2"/>
          </w:tcPr>
          <w:p w:rsidR="00CA0382" w:rsidRPr="005175A4" w:rsidRDefault="00CA0382" w:rsidP="00F05234">
            <w:pPr>
              <w:pStyle w:val="TabNumeri"/>
            </w:pPr>
            <w:r w:rsidRPr="005175A4">
              <w:t xml:space="preserve">-0,6 </w:t>
            </w:r>
          </w:p>
        </w:tc>
        <w:tc>
          <w:tcPr>
            <w:tcW w:w="510" w:type="dxa"/>
            <w:shd w:val="clear" w:color="auto" w:fill="F2F2F2" w:themeFill="background1" w:themeFillShade="F2"/>
          </w:tcPr>
          <w:p w:rsidR="00CA0382" w:rsidRDefault="00CA0382" w:rsidP="00F05234">
            <w:pPr>
              <w:pStyle w:val="TabNumeri"/>
            </w:pPr>
            <w:r w:rsidRPr="005175A4">
              <w:t xml:space="preserve">0,5 </w:t>
            </w:r>
          </w:p>
        </w:tc>
        <w:tc>
          <w:tcPr>
            <w:tcW w:w="340" w:type="dxa"/>
            <w:shd w:val="clear" w:color="auto" w:fill="F2F2F2" w:themeFill="background1" w:themeFillShade="F2"/>
          </w:tcPr>
          <w:p w:rsidR="00CA0382" w:rsidRPr="00BC2A0C" w:rsidRDefault="00CA0382" w:rsidP="00F05234">
            <w:pPr>
              <w:pStyle w:val="TabEtichette"/>
            </w:pPr>
          </w:p>
        </w:tc>
        <w:tc>
          <w:tcPr>
            <w:tcW w:w="2552" w:type="dxa"/>
            <w:shd w:val="clear" w:color="auto" w:fill="F2F2F2" w:themeFill="background1" w:themeFillShade="F2"/>
          </w:tcPr>
          <w:p w:rsidR="00CA0382" w:rsidRPr="00BC2A0C" w:rsidRDefault="00CA0382" w:rsidP="00F05234">
            <w:pPr>
              <w:pStyle w:val="TabEtichette"/>
            </w:pPr>
            <w:r w:rsidRPr="00BC2A0C">
              <w:t xml:space="preserve">  Economie emergenti e in sviluppo</w:t>
            </w:r>
          </w:p>
        </w:tc>
        <w:tc>
          <w:tcPr>
            <w:tcW w:w="510" w:type="dxa"/>
            <w:shd w:val="clear" w:color="auto" w:fill="F2F2F2" w:themeFill="background1" w:themeFillShade="F2"/>
          </w:tcPr>
          <w:p w:rsidR="00CA0382" w:rsidRPr="00C01CE2" w:rsidRDefault="00CA0382" w:rsidP="00F05234">
            <w:pPr>
              <w:pStyle w:val="TabNumeri"/>
            </w:pPr>
            <w:r w:rsidRPr="00C01CE2">
              <w:t xml:space="preserve">4,8 </w:t>
            </w:r>
          </w:p>
        </w:tc>
        <w:tc>
          <w:tcPr>
            <w:tcW w:w="510" w:type="dxa"/>
            <w:shd w:val="clear" w:color="auto" w:fill="F2F2F2" w:themeFill="background1" w:themeFillShade="F2"/>
          </w:tcPr>
          <w:p w:rsidR="00CA0382" w:rsidRPr="00C01CE2" w:rsidRDefault="00CA0382" w:rsidP="00F05234">
            <w:pPr>
              <w:pStyle w:val="TabNumeri"/>
            </w:pPr>
            <w:r w:rsidRPr="00C01CE2">
              <w:t xml:space="preserve">4,8 </w:t>
            </w:r>
          </w:p>
        </w:tc>
        <w:tc>
          <w:tcPr>
            <w:tcW w:w="514" w:type="dxa"/>
            <w:shd w:val="clear" w:color="auto" w:fill="F2F2F2" w:themeFill="background1" w:themeFillShade="F2"/>
          </w:tcPr>
          <w:p w:rsidR="00CA0382" w:rsidRDefault="00CA0382" w:rsidP="00F05234">
            <w:pPr>
              <w:pStyle w:val="TabNumeri"/>
            </w:pPr>
            <w:r w:rsidRPr="00C01CE2">
              <w:t xml:space="preserve">4,7 </w:t>
            </w:r>
          </w:p>
        </w:tc>
      </w:tr>
      <w:tr w:rsidR="00CA0382" w:rsidRPr="00CA0382" w:rsidTr="00F05234">
        <w:trPr>
          <w:cantSplit/>
        </w:trPr>
        <w:tc>
          <w:tcPr>
            <w:tcW w:w="9358" w:type="dxa"/>
            <w:gridSpan w:val="9"/>
            <w:tcBorders>
              <w:top w:val="single" w:sz="4" w:space="0" w:color="800000"/>
            </w:tcBorders>
          </w:tcPr>
          <w:p w:rsidR="00CA0382" w:rsidRPr="002A4A23" w:rsidRDefault="00CA0382" w:rsidP="00F05234">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w:t>
            </w:r>
            <w:r>
              <w:t>asso di interesse percentuale:</w:t>
            </w:r>
            <w:r w:rsidRPr="00BC2A0C">
              <w:t xml:space="preserve"> sui depositi a 6 mesi in U.S.$; sui depositi a 6 mesi in yen; sui depositi a 3 mesi in euro. </w:t>
            </w:r>
          </w:p>
          <w:p w:rsidR="00CA0382" w:rsidRPr="00BC2A0C" w:rsidRDefault="00CA0382" w:rsidP="00F05234">
            <w:pPr>
              <w:pStyle w:val="TabNoteSuperiori"/>
              <w:rPr>
                <w:lang w:val="en-US"/>
              </w:rPr>
            </w:pPr>
            <w:r w:rsidRPr="00BC2A0C">
              <w:rPr>
                <w:lang w:val="en-GB"/>
              </w:rPr>
              <w:t xml:space="preserve">IMF, World Economic </w:t>
            </w:r>
            <w:r w:rsidRPr="001850F3">
              <w:rPr>
                <w:lang w:val="en-GB"/>
              </w:rPr>
              <w:t xml:space="preserve">Outlook, 18 </w:t>
            </w:r>
            <w:proofErr w:type="spellStart"/>
            <w:r w:rsidRPr="001850F3">
              <w:rPr>
                <w:lang w:val="en-GB"/>
              </w:rPr>
              <w:t>luglio</w:t>
            </w:r>
            <w:proofErr w:type="spellEnd"/>
            <w:r w:rsidRPr="001850F3">
              <w:rPr>
                <w:lang w:val="en-GB"/>
              </w:rPr>
              <w:t xml:space="preserve"> </w:t>
            </w:r>
            <w:r w:rsidRPr="001850F3">
              <w:rPr>
                <w:lang w:val="en-US"/>
              </w:rPr>
              <w:t>2019</w:t>
            </w:r>
          </w:p>
        </w:tc>
      </w:tr>
    </w:tbl>
    <w:p w:rsidR="00257D06" w:rsidRDefault="00257D06" w:rsidP="00257D06">
      <w:r>
        <w:t>La fase di espansione mondiale ha raggiunto il culmine nel 2017 e dalla seconda metà del 2018 si è andata indebolendo. Le tensioni commerciali tra Usa e Cina minacciano le catene produttive a livello globale, crisi politiche economiche hanno colpito alcuni paesi emergenti, rilevanti tensioni geopolitiche hanno avuto effetti sul prezzo del petrolio. Tutti questi fattori hanno pesato su gli investimenti,  sulla fiducia delle imprese e sulle decisioni di consumo durevole, quindi sul commercio globale.</w:t>
      </w:r>
    </w:p>
    <w:p w:rsidR="00257D06" w:rsidRDefault="00257D06" w:rsidP="00257D06">
      <w:r>
        <w:t xml:space="preserve">Il Fondo monetario internazionale, lo scorso luglio, stimava una crescita dell’economia mondiale del 3,2 per cento per l’anno in corso e ne prospettava una ripresa al 3,5 per cento per il 2020. </w:t>
      </w:r>
      <w:r w:rsidR="00081287" w:rsidRPr="00081287">
        <w:t>L’Oc</w:t>
      </w:r>
      <w:r w:rsidR="00081287">
        <w:t>se (OECD) a settembre prospetta</w:t>
      </w:r>
      <w:r w:rsidR="00081287" w:rsidRPr="00081287">
        <w:t xml:space="preserve"> un più marcato rallentamento della crescita mondiale nel 2019 (+2,9 per cento), ma senza una sostanziale ripresa nel 2020 (+3,0 per cento).</w:t>
      </w:r>
      <w:r w:rsidR="00081287">
        <w:t xml:space="preserve"> </w:t>
      </w:r>
      <w:r>
        <w:t xml:space="preserve">L’inversione di tendenza operata dalla Fed, l’allentamento monetario della Bce e della Banca del Giappone e la serie di misure di stimolo monetario e fiscale introdotte in Cina permettono di prospettare una ripresa nel 2020, ma soggetta a notevoli incertezze. Gli strumenti e i margini di intervento delle </w:t>
      </w:r>
      <w:r w:rsidR="00003A01">
        <w:t>banche</w:t>
      </w:r>
      <w:r>
        <w:t xml:space="preserve"> centrali a fronte di una possibile recessione vanno restringendosi.</w:t>
      </w:r>
    </w:p>
    <w:p w:rsidR="00257D06" w:rsidRDefault="00257D06" w:rsidP="00257D06">
      <w:r>
        <w:t>La crescita del commercio mondiale nel 2019 dovrebbe ridursi sensibilmente (+2,5 per cento per il Fmi), frenata dalle tensioni commerciali, con la prospettiva di una ripresa nel 2020 (+3,7 per cento).</w:t>
      </w:r>
    </w:p>
    <w:p w:rsidR="00257D06" w:rsidRDefault="00257D06" w:rsidP="00257D06">
      <w:r>
        <w:t xml:space="preserve">Per il Fondo monetario internazionale, il rallentamento della crescita del prodotto sarà più sensibile nelle economie avanzate nel 2019 (+1,9 per cento) e proseguirà anche nel 2020 (+1,7 per cento), invece nei paesi emergenti il rallentamento dovrebbe essere meno ampio nel 2019 (+4,1 per cento) e seguito da una pronta ripresa nel 2020 (+4,7 per cento), con notevoli differenze tra i paesi e molte incertezze. </w:t>
      </w:r>
    </w:p>
    <w:p w:rsidR="00257D06" w:rsidRDefault="00257D06" w:rsidP="00257D06">
      <w:r>
        <w:lastRenderedPageBreak/>
        <w:t xml:space="preserve">Le quotazioni del petrolio, dopo l’impennata del 2018, dovrebbero contrarsi nel 2019 (-4,1 per cento) e in misura più contenuta anche nel 2020 (-2,5 per cento), se le recenti tensioni geopolitiche non avranno seguito. Nello stesso periodo, i prezzi delle materie prime non energetiche </w:t>
      </w:r>
      <w:r w:rsidR="00003A01">
        <w:t>passeranno</w:t>
      </w:r>
      <w:r>
        <w:t xml:space="preserve"> da una lieve contrazione a un lieve aumento.</w:t>
      </w:r>
    </w:p>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A85257" w:rsidRPr="002B550F" w:rsidTr="00F05234">
        <w:tc>
          <w:tcPr>
            <w:tcW w:w="9356" w:type="dxa"/>
          </w:tcPr>
          <w:p w:rsidR="00A85257" w:rsidRPr="002B550F" w:rsidRDefault="00A85257" w:rsidP="00F05234">
            <w:pPr>
              <w:pStyle w:val="FigTitolo"/>
            </w:pPr>
            <w:r w:rsidRPr="002B550F">
              <w:t>La previsione del</w:t>
            </w:r>
            <w:r>
              <w:t xml:space="preserve">l’Ocse, </w:t>
            </w:r>
            <w:r w:rsidRPr="002B550F">
              <w:t xml:space="preserve">tasso di variazione del </w:t>
            </w:r>
            <w:r>
              <w:t>p</w:t>
            </w:r>
            <w:r w:rsidRPr="002B550F">
              <w:t>rodotto interno lordo</w:t>
            </w:r>
          </w:p>
        </w:tc>
      </w:tr>
      <w:tr w:rsidR="00A85257" w:rsidRPr="002B550F" w:rsidTr="00F05234">
        <w:tc>
          <w:tcPr>
            <w:tcW w:w="9356" w:type="dxa"/>
          </w:tcPr>
          <w:p w:rsidR="00A85257" w:rsidRPr="004C3A94" w:rsidRDefault="00A85257" w:rsidP="00F05234">
            <w:pPr>
              <w:pStyle w:val="Figure"/>
            </w:pPr>
            <w:r>
              <w:rPr>
                <w:noProof/>
              </w:rPr>
              <w:drawing>
                <wp:inline distT="0" distB="0" distL="0" distR="0" wp14:anchorId="3EAF54D2" wp14:editId="6755CDF5">
                  <wp:extent cx="5897880" cy="19748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7880" cy="1974850"/>
                          </a:xfrm>
                          <a:prstGeom prst="rect">
                            <a:avLst/>
                          </a:prstGeom>
                          <a:noFill/>
                          <a:ln>
                            <a:noFill/>
                          </a:ln>
                        </pic:spPr>
                      </pic:pic>
                    </a:graphicData>
                  </a:graphic>
                </wp:inline>
              </w:drawing>
            </w:r>
          </w:p>
        </w:tc>
      </w:tr>
      <w:tr w:rsidR="00A85257" w:rsidRPr="00BC439F" w:rsidTr="00F05234">
        <w:tc>
          <w:tcPr>
            <w:tcW w:w="9356" w:type="dxa"/>
          </w:tcPr>
          <w:p w:rsidR="00A85257" w:rsidRDefault="00A85257" w:rsidP="00F05234">
            <w:pPr>
              <w:pStyle w:val="Fineoggettoword"/>
            </w:pPr>
          </w:p>
          <w:p w:rsidR="00A85257" w:rsidRPr="007C05D9" w:rsidRDefault="00A85257" w:rsidP="00F05234">
            <w:pPr>
              <w:pStyle w:val="TabNoteInferiori"/>
            </w:pPr>
            <w:r w:rsidRPr="007C05D9">
              <w:t xml:space="preserve">Fonte: Oecd, Interim </w:t>
            </w:r>
            <w:proofErr w:type="spellStart"/>
            <w:r w:rsidRPr="007C05D9">
              <w:t>Economic</w:t>
            </w:r>
            <w:proofErr w:type="spellEnd"/>
            <w:r w:rsidRPr="007C05D9">
              <w:t xml:space="preserve"> Outlook, </w:t>
            </w:r>
            <w:r>
              <w:t>19</w:t>
            </w:r>
            <w:r w:rsidRPr="007C05D9">
              <w:t xml:space="preserve"> </w:t>
            </w:r>
            <w:r>
              <w:t>settembre</w:t>
            </w:r>
            <w:r w:rsidRPr="007C05D9">
              <w:t xml:space="preserve"> </w:t>
            </w:r>
            <w:r w:rsidRPr="007C05D9">
              <w:rPr>
                <w:lang w:val="en-US"/>
              </w:rPr>
              <w:fldChar w:fldCharType="begin"/>
            </w:r>
            <w:r w:rsidRPr="007C05D9">
              <w:rPr>
                <w:lang w:val="en-US"/>
              </w:rPr>
              <w:instrText xml:space="preserve"> DATE  \@ "yyyy"  \* MERGEFORMAT </w:instrText>
            </w:r>
            <w:r w:rsidRPr="007C05D9">
              <w:rPr>
                <w:lang w:val="en-US"/>
              </w:rPr>
              <w:fldChar w:fldCharType="separate"/>
            </w:r>
            <w:r>
              <w:rPr>
                <w:noProof/>
                <w:lang w:val="en-US"/>
              </w:rPr>
              <w:t>2019</w:t>
            </w:r>
            <w:r w:rsidRPr="007C05D9">
              <w:rPr>
                <w:lang w:val="en-US"/>
              </w:rPr>
              <w:fldChar w:fldCharType="end"/>
            </w:r>
            <w:r w:rsidRPr="007C05D9">
              <w:rPr>
                <w:lang w:val="en-US"/>
              </w:rPr>
              <w:t>.</w:t>
            </w:r>
          </w:p>
        </w:tc>
      </w:tr>
    </w:tbl>
    <w:p w:rsidR="00257D06" w:rsidRDefault="00257D06" w:rsidP="00257D06">
      <w:r>
        <w:t>La dinamica dei prezzi nei paesi avanzati ha rallentato nel 2019, ben al di sotto degli obbiettivi, ma dovrebbe riprendersi lievemente nel 2020, in presenza di moderate pressioni salariali. Nei paesi emergenti e in sviluppo, invece dovrebbe mantenersi costante nel 2019 e 2020, anche per la svalutazione dei cambi.</w:t>
      </w:r>
    </w:p>
    <w:p w:rsidR="00257D06" w:rsidRDefault="00257D06" w:rsidP="00257D06">
      <w:r>
        <w:t xml:space="preserve">Le politiche monetarie si stanno allineando in senso espansivo, ma restano notevoli differenze nei livelli dei tassi e nell’impiego di politiche di quantitative easing tra Stati Uniti da un lato e dall’altro Unione europea e più ancora del Giappone. Negli Stati Uniti la curva dei rendimenti del reddito fisso (breve-lungo termine) si è </w:t>
      </w:r>
      <w:r w:rsidR="00003A01">
        <w:t>abbassata</w:t>
      </w:r>
      <w:r>
        <w:t xml:space="preserve"> </w:t>
      </w:r>
      <w:r w:rsidR="00003A01">
        <w:t>notevolmente</w:t>
      </w:r>
      <w:r>
        <w:t xml:space="preserve"> e si è invertita. Si tratta di uno dei più </w:t>
      </w:r>
      <w:r w:rsidR="00003A01">
        <w:t>importanti</w:t>
      </w:r>
      <w:r>
        <w:t xml:space="preserve"> indicatori anticipatori di una recessione. Prima l’inversione di tendenza della politica monetaria della Federal Reserve e ora due riduzioni dei tassi di intervento e </w:t>
      </w:r>
      <w:r w:rsidR="0034602A" w:rsidRPr="0034602A">
        <w:t xml:space="preserve">un’iniezione di liquidità </w:t>
      </w:r>
      <w:r>
        <w:t xml:space="preserve">hanno dato sollievo ai mercati finanziari e ai paesi emergenti. </w:t>
      </w:r>
    </w:p>
    <w:p w:rsidR="00257D06" w:rsidRDefault="00257D06" w:rsidP="00257D06">
      <w:r>
        <w:t xml:space="preserve">Per </w:t>
      </w:r>
      <w:r w:rsidR="00081287">
        <w:t>l’Ocse</w:t>
      </w:r>
      <w:r>
        <w:t xml:space="preserve">, la crescita negli Stati Uniti tiene e rallenterà </w:t>
      </w:r>
      <w:r w:rsidR="00081287" w:rsidRPr="00081287">
        <w:t>leggermente al 2,4</w:t>
      </w:r>
      <w:r w:rsidR="00081287">
        <w:t xml:space="preserve"> </w:t>
      </w:r>
      <w:r>
        <w:t xml:space="preserve">per cento nel 2019, ma lo farà </w:t>
      </w:r>
      <w:r w:rsidR="00081287" w:rsidRPr="00081287">
        <w:t>ulteriormente</w:t>
      </w:r>
      <w:r w:rsidR="00081287">
        <w:t xml:space="preserve"> </w:t>
      </w:r>
      <w:r>
        <w:t>nel 2020 (+</w:t>
      </w:r>
      <w:r w:rsidR="00081287">
        <w:t>2,0</w:t>
      </w:r>
      <w:r>
        <w:t xml:space="preserve"> per cento), trascorso l’effetto dello stimolo fiscale, frenata dalle incertezze commerciali e politiche, nonostante il sostegno della politica monetaria.</w:t>
      </w:r>
    </w:p>
    <w:p w:rsidR="00257D06" w:rsidRDefault="00257D06" w:rsidP="00257D06">
      <w:r>
        <w:t>A fronte del ribilanciamento del modello di crescita e degli effetti del contrasto commerciale con gli Usa, il ritmo di sviluppo in Cina si è ridotto nel 2019 al 6,2 per cento. Una serie di pacchetti di stimolo fiscale, l’allentamento monetario della Banca Popolare, nonostante l’elevata dipendenza dall’indebitamento, e la svalutazione controllata del cambio dovrebbero contenere il rallentamento della crescita nel 2020 (+6,0 per cento).</w:t>
      </w:r>
    </w:p>
    <w:p w:rsidR="000530E2" w:rsidRDefault="00257D06" w:rsidP="00257D06">
      <w:r>
        <w:t>La crescita in Giappone non andrà oltre l</w:t>
      </w:r>
      <w:r w:rsidR="00081287">
        <w:t>’1,0</w:t>
      </w:r>
      <w:r>
        <w:t xml:space="preserve"> per cento nel 2019, grazie al sostegno fis</w:t>
      </w:r>
      <w:r w:rsidR="00081287">
        <w:t xml:space="preserve">cale, ma non andrà oltre un +0,6 </w:t>
      </w:r>
      <w:r>
        <w:t>per cento nel 2020, con l’aumento dell’imposizione sui consumi prevista per l’ottobre del 2019.</w:t>
      </w:r>
    </w:p>
    <w:p w:rsidR="00C43F0D" w:rsidRPr="00DB2CF9" w:rsidRDefault="00C43F0D" w:rsidP="00C43F0D">
      <w:pPr>
        <w:pStyle w:val="Titolo2"/>
      </w:pPr>
      <w:r>
        <w:t>X.2.</w:t>
      </w:r>
      <w:r>
        <w:tab/>
        <w:t>L’a</w:t>
      </w:r>
      <w:r w:rsidRPr="00DB2CF9">
        <w:t>rea dell’euro</w:t>
      </w:r>
    </w:p>
    <w:p w:rsidR="00736372" w:rsidRDefault="00736372" w:rsidP="00736372">
      <w:r>
        <w:t xml:space="preserve">Per la Banca centrale europea la crescita del prodotto interno lordo dell’area dell’euro dovrebbe frenare ulteriormente nel 2019 (+1,1 per cento) e riprendersi solo marginalmente nel 2020 (+1,2 per cento), nonostante le condizioni finanziarie più favorevoli, data la debolezza del commercio mondiale, in una situazione di crescenti incertezze politiche a livello globale. </w:t>
      </w:r>
    </w:p>
    <w:p w:rsidR="00736372" w:rsidRDefault="00736372" w:rsidP="00736372">
      <w:r>
        <w:t xml:space="preserve">Secondo le proiezioni della Banca centrale </w:t>
      </w:r>
      <w:r w:rsidR="00003A01">
        <w:t>europea, la</w:t>
      </w:r>
      <w:r>
        <w:t xml:space="preserve"> crescita dei consumi privati si ridurrà lievemente nel 2019 (+1,3 per cento) e resterà a questo livello nel 2020, sostenuta dal mercato del lavoro con salari e occupazione in crescita, dalla contenuta inflazione, dalla politica fiscale, dall’aumento della ricchezza e dalle buone condizioni di finanziamento.</w:t>
      </w:r>
    </w:p>
    <w:p w:rsidR="00736372" w:rsidRDefault="00736372" w:rsidP="00736372">
      <w:r>
        <w:t>La dinamica degli investimenti ha accelerato nel 2019 (+3,1 per cento), ma rallenterà nel 2020 (+1,9 per cento).In dettaglio pesa l’incertezza pesa sugli investimenti industriali dei settori e paesi più esposti al commercio mondiale, nonostante il basso costo dei finanziamenti, l’elevato grado di utilizzo degli impianti e la crescita dei profitti, mentre la crescita degli investimenti in costruzioni dovrebbe proseguire, ma più moderata.</w:t>
      </w:r>
    </w:p>
    <w:p w:rsidR="00736372" w:rsidRDefault="00736372" w:rsidP="00736372">
      <w:r>
        <w:lastRenderedPageBreak/>
        <w:t>Le indicazioni per il 2019 prospettano un ulteriore rallentamento delle esportazioni (+2,3 per cento), che continueranno a crescere allo stesso ritmo anche nel 2020 (+2,4 per cento), in linea con la crescita della domanda mondiale.</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A85257" w:rsidTr="00F05234">
        <w:trPr>
          <w:cantSplit/>
          <w:trHeight w:val="255"/>
        </w:trPr>
        <w:tc>
          <w:tcPr>
            <w:tcW w:w="9370" w:type="dxa"/>
            <w:gridSpan w:val="10"/>
            <w:tcBorders>
              <w:bottom w:val="single" w:sz="4" w:space="0" w:color="632423" w:themeColor="accent2" w:themeShade="80"/>
            </w:tcBorders>
            <w:noWrap/>
          </w:tcPr>
          <w:p w:rsidR="00A85257" w:rsidRDefault="00A85257" w:rsidP="00F05234">
            <w:pPr>
              <w:pStyle w:val="TabTitolo"/>
            </w:pPr>
            <w:r>
              <w:t>Proiezioni macro economiche per l’area dell’euro.</w:t>
            </w:r>
          </w:p>
        </w:tc>
      </w:tr>
      <w:tr w:rsidR="00A85257" w:rsidRPr="00DD211F" w:rsidTr="00F05234">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A85257" w:rsidRPr="00DD211F" w:rsidRDefault="00A85257" w:rsidP="00F05234">
            <w:pPr>
              <w:pStyle w:val="TabIntestazioni"/>
            </w:pPr>
          </w:p>
        </w:tc>
        <w:tc>
          <w:tcPr>
            <w:tcW w:w="737" w:type="dxa"/>
            <w:noWrap/>
          </w:tcPr>
          <w:p w:rsidR="00A85257" w:rsidRPr="00DD211F" w:rsidRDefault="00A85257" w:rsidP="00F05234">
            <w:pPr>
              <w:pStyle w:val="TabIntestazioni"/>
            </w:pPr>
            <w:r>
              <w:t>2018</w:t>
            </w:r>
          </w:p>
        </w:tc>
        <w:tc>
          <w:tcPr>
            <w:tcW w:w="737" w:type="dxa"/>
          </w:tcPr>
          <w:p w:rsidR="00A85257" w:rsidRPr="00DD211F" w:rsidRDefault="00A85257" w:rsidP="00F05234">
            <w:pPr>
              <w:pStyle w:val="TabIntestazioni"/>
            </w:pPr>
            <w:r>
              <w:t>2019</w:t>
            </w:r>
          </w:p>
        </w:tc>
        <w:tc>
          <w:tcPr>
            <w:tcW w:w="737" w:type="dxa"/>
          </w:tcPr>
          <w:p w:rsidR="00A85257" w:rsidRPr="00DD211F" w:rsidRDefault="00A85257" w:rsidP="00F05234">
            <w:pPr>
              <w:pStyle w:val="TabIntestazioni"/>
            </w:pPr>
            <w:r>
              <w:t>2020</w:t>
            </w:r>
          </w:p>
        </w:tc>
        <w:tc>
          <w:tcPr>
            <w:tcW w:w="510" w:type="dxa"/>
            <w:noWrap/>
          </w:tcPr>
          <w:p w:rsidR="00A85257" w:rsidRPr="00DD211F" w:rsidRDefault="00A85257" w:rsidP="00F05234">
            <w:pPr>
              <w:pStyle w:val="TabIntestazioni"/>
            </w:pPr>
          </w:p>
        </w:tc>
        <w:tc>
          <w:tcPr>
            <w:tcW w:w="2211" w:type="dxa"/>
          </w:tcPr>
          <w:p w:rsidR="00A85257" w:rsidRPr="00DD211F" w:rsidRDefault="00A85257" w:rsidP="00F05234">
            <w:pPr>
              <w:pStyle w:val="TabIntestazioni"/>
            </w:pPr>
          </w:p>
        </w:tc>
        <w:tc>
          <w:tcPr>
            <w:tcW w:w="737" w:type="dxa"/>
          </w:tcPr>
          <w:p w:rsidR="00A85257" w:rsidRPr="00DD211F" w:rsidRDefault="00A85257" w:rsidP="00F05234">
            <w:pPr>
              <w:pStyle w:val="TabIntestazioni"/>
            </w:pPr>
            <w:r>
              <w:t>2018</w:t>
            </w:r>
          </w:p>
        </w:tc>
        <w:tc>
          <w:tcPr>
            <w:tcW w:w="737" w:type="dxa"/>
          </w:tcPr>
          <w:p w:rsidR="00A85257" w:rsidRPr="00DD211F" w:rsidRDefault="00A85257" w:rsidP="00F05234">
            <w:pPr>
              <w:pStyle w:val="TabIntestazioni"/>
            </w:pPr>
            <w:r>
              <w:t>2019</w:t>
            </w:r>
          </w:p>
        </w:tc>
        <w:tc>
          <w:tcPr>
            <w:tcW w:w="737" w:type="dxa"/>
          </w:tcPr>
          <w:p w:rsidR="00A85257" w:rsidRPr="00DD211F" w:rsidRDefault="00A85257" w:rsidP="00F05234">
            <w:pPr>
              <w:pStyle w:val="TabIntestazioni"/>
            </w:pPr>
            <w:r>
              <w:t>2020</w:t>
            </w:r>
          </w:p>
        </w:tc>
      </w:tr>
      <w:tr w:rsidR="00A85257" w:rsidTr="00F05234">
        <w:trPr>
          <w:gridAfter w:val="1"/>
          <w:wAfter w:w="16" w:type="dxa"/>
          <w:cantSplit/>
          <w:trHeight w:hRule="exact" w:val="113"/>
        </w:trPr>
        <w:tc>
          <w:tcPr>
            <w:tcW w:w="2211" w:type="dxa"/>
            <w:tcBorders>
              <w:top w:val="single" w:sz="4" w:space="0" w:color="632423" w:themeColor="accent2" w:themeShade="80"/>
            </w:tcBorders>
            <w:noWrap/>
          </w:tcPr>
          <w:p w:rsidR="00A85257" w:rsidRDefault="00A85257" w:rsidP="00F05234">
            <w:pPr>
              <w:pStyle w:val="TabEtichette"/>
            </w:pPr>
          </w:p>
        </w:tc>
        <w:tc>
          <w:tcPr>
            <w:tcW w:w="737" w:type="dxa"/>
            <w:tcBorders>
              <w:top w:val="single" w:sz="4" w:space="0" w:color="632423" w:themeColor="accent2" w:themeShade="80"/>
            </w:tcBorders>
            <w:noWrap/>
          </w:tcPr>
          <w:p w:rsidR="00A85257" w:rsidRDefault="00A85257" w:rsidP="00F05234">
            <w:pPr>
              <w:pStyle w:val="TabNumeri"/>
            </w:pPr>
          </w:p>
        </w:tc>
        <w:tc>
          <w:tcPr>
            <w:tcW w:w="737" w:type="dxa"/>
            <w:tcBorders>
              <w:top w:val="single" w:sz="4" w:space="0" w:color="632423" w:themeColor="accent2" w:themeShade="80"/>
            </w:tcBorders>
            <w:noWrap/>
          </w:tcPr>
          <w:p w:rsidR="00A85257" w:rsidRDefault="00A85257" w:rsidP="00F05234">
            <w:pPr>
              <w:pStyle w:val="TabNumeri"/>
            </w:pPr>
          </w:p>
        </w:tc>
        <w:tc>
          <w:tcPr>
            <w:tcW w:w="737" w:type="dxa"/>
            <w:tcBorders>
              <w:top w:val="single" w:sz="4" w:space="0" w:color="632423" w:themeColor="accent2" w:themeShade="80"/>
            </w:tcBorders>
            <w:noWrap/>
          </w:tcPr>
          <w:p w:rsidR="00A85257" w:rsidRDefault="00A85257" w:rsidP="00F05234">
            <w:pPr>
              <w:pStyle w:val="TabNumeri"/>
            </w:pPr>
          </w:p>
        </w:tc>
        <w:tc>
          <w:tcPr>
            <w:tcW w:w="510" w:type="dxa"/>
            <w:tcBorders>
              <w:top w:val="single" w:sz="4" w:space="0" w:color="632423" w:themeColor="accent2" w:themeShade="80"/>
            </w:tcBorders>
            <w:noWrap/>
          </w:tcPr>
          <w:p w:rsidR="00A85257" w:rsidRDefault="00A85257" w:rsidP="00F05234">
            <w:pPr>
              <w:pStyle w:val="TabNumeri"/>
            </w:pPr>
          </w:p>
        </w:tc>
        <w:tc>
          <w:tcPr>
            <w:tcW w:w="2211" w:type="dxa"/>
            <w:tcBorders>
              <w:top w:val="single" w:sz="4" w:space="0" w:color="632423" w:themeColor="accent2" w:themeShade="80"/>
            </w:tcBorders>
          </w:tcPr>
          <w:p w:rsidR="00A85257" w:rsidRDefault="00A85257" w:rsidP="00F05234">
            <w:pPr>
              <w:pStyle w:val="TabEtichette"/>
            </w:pPr>
          </w:p>
        </w:tc>
        <w:tc>
          <w:tcPr>
            <w:tcW w:w="737" w:type="dxa"/>
            <w:tcBorders>
              <w:top w:val="single" w:sz="4" w:space="0" w:color="632423" w:themeColor="accent2" w:themeShade="80"/>
            </w:tcBorders>
            <w:noWrap/>
          </w:tcPr>
          <w:p w:rsidR="00A85257" w:rsidRDefault="00A85257" w:rsidP="00F05234">
            <w:pPr>
              <w:pStyle w:val="TabNumeri"/>
            </w:pPr>
          </w:p>
        </w:tc>
        <w:tc>
          <w:tcPr>
            <w:tcW w:w="737" w:type="dxa"/>
            <w:tcBorders>
              <w:top w:val="single" w:sz="4" w:space="0" w:color="632423" w:themeColor="accent2" w:themeShade="80"/>
            </w:tcBorders>
          </w:tcPr>
          <w:p w:rsidR="00A85257" w:rsidRDefault="00A85257" w:rsidP="00F05234">
            <w:pPr>
              <w:pStyle w:val="TabNumeri"/>
            </w:pPr>
          </w:p>
        </w:tc>
        <w:tc>
          <w:tcPr>
            <w:tcW w:w="737" w:type="dxa"/>
            <w:tcBorders>
              <w:top w:val="single" w:sz="4" w:space="0" w:color="632423" w:themeColor="accent2" w:themeShade="80"/>
            </w:tcBorders>
            <w:noWrap/>
          </w:tcPr>
          <w:p w:rsidR="00A85257" w:rsidRDefault="00A85257" w:rsidP="00F05234">
            <w:pPr>
              <w:pStyle w:val="TabNumeri"/>
            </w:pPr>
          </w:p>
        </w:tc>
      </w:tr>
      <w:tr w:rsidR="00A85257" w:rsidTr="00F05234">
        <w:trPr>
          <w:gridAfter w:val="1"/>
          <w:wAfter w:w="16" w:type="dxa"/>
          <w:cantSplit/>
          <w:trHeight w:val="255"/>
        </w:trPr>
        <w:tc>
          <w:tcPr>
            <w:tcW w:w="2211" w:type="dxa"/>
            <w:noWrap/>
          </w:tcPr>
          <w:p w:rsidR="00A85257" w:rsidRPr="00233F5C" w:rsidRDefault="00A85257" w:rsidP="00F05234">
            <w:pPr>
              <w:pStyle w:val="TabEtichette"/>
            </w:pPr>
            <w:r w:rsidRPr="00233F5C">
              <w:t>Prodotto interno lordo</w:t>
            </w:r>
            <w:r>
              <w:t xml:space="preserve"> (1, 2)</w:t>
            </w:r>
          </w:p>
        </w:tc>
        <w:tc>
          <w:tcPr>
            <w:tcW w:w="737" w:type="dxa"/>
            <w:noWrap/>
          </w:tcPr>
          <w:p w:rsidR="00A85257" w:rsidRPr="00902005" w:rsidRDefault="00A85257" w:rsidP="00F05234">
            <w:pPr>
              <w:pStyle w:val="TabNumeri"/>
            </w:pPr>
            <w:r w:rsidRPr="00902005">
              <w:t>1,9</w:t>
            </w:r>
          </w:p>
        </w:tc>
        <w:tc>
          <w:tcPr>
            <w:tcW w:w="737" w:type="dxa"/>
            <w:noWrap/>
          </w:tcPr>
          <w:p w:rsidR="00A85257" w:rsidRPr="00902005" w:rsidRDefault="00A85257" w:rsidP="00F05234">
            <w:pPr>
              <w:pStyle w:val="TabNumeri"/>
            </w:pPr>
            <w:r w:rsidRPr="00902005">
              <w:t>1,1</w:t>
            </w:r>
          </w:p>
        </w:tc>
        <w:tc>
          <w:tcPr>
            <w:tcW w:w="737" w:type="dxa"/>
            <w:noWrap/>
          </w:tcPr>
          <w:p w:rsidR="00A85257" w:rsidRPr="00902005" w:rsidRDefault="00A85257" w:rsidP="00F05234">
            <w:pPr>
              <w:pStyle w:val="TabNumeri"/>
            </w:pPr>
            <w:r w:rsidRPr="00902005">
              <w:t>1,2</w:t>
            </w:r>
          </w:p>
        </w:tc>
        <w:tc>
          <w:tcPr>
            <w:tcW w:w="510" w:type="dxa"/>
            <w:noWrap/>
          </w:tcPr>
          <w:p w:rsidR="00A85257" w:rsidRPr="000770A1" w:rsidRDefault="00A85257" w:rsidP="00F05234">
            <w:pPr>
              <w:pStyle w:val="TabNumeri"/>
              <w:rPr>
                <w:sz w:val="14"/>
                <w:szCs w:val="14"/>
              </w:rPr>
            </w:pPr>
          </w:p>
        </w:tc>
        <w:tc>
          <w:tcPr>
            <w:tcW w:w="2211" w:type="dxa"/>
          </w:tcPr>
          <w:p w:rsidR="00A85257" w:rsidRPr="00233F5C" w:rsidRDefault="00A85257" w:rsidP="00F05234">
            <w:pPr>
              <w:pStyle w:val="TabEtichette"/>
            </w:pPr>
            <w:r>
              <w:t>Saldo di conto corrente (4)</w:t>
            </w:r>
          </w:p>
        </w:tc>
        <w:tc>
          <w:tcPr>
            <w:tcW w:w="737" w:type="dxa"/>
            <w:noWrap/>
          </w:tcPr>
          <w:p w:rsidR="00A85257" w:rsidRPr="008D37A3" w:rsidRDefault="00A85257" w:rsidP="00F05234">
            <w:pPr>
              <w:pStyle w:val="TabNumeri"/>
            </w:pPr>
            <w:r w:rsidRPr="008D37A3">
              <w:t>2,9</w:t>
            </w:r>
          </w:p>
        </w:tc>
        <w:tc>
          <w:tcPr>
            <w:tcW w:w="737" w:type="dxa"/>
          </w:tcPr>
          <w:p w:rsidR="00A85257" w:rsidRPr="008D37A3" w:rsidRDefault="00A85257" w:rsidP="00F05234">
            <w:pPr>
              <w:pStyle w:val="TabNumeri"/>
            </w:pPr>
            <w:r w:rsidRPr="008D37A3">
              <w:t>2,6</w:t>
            </w:r>
          </w:p>
        </w:tc>
        <w:tc>
          <w:tcPr>
            <w:tcW w:w="737" w:type="dxa"/>
            <w:noWrap/>
          </w:tcPr>
          <w:p w:rsidR="00A85257" w:rsidRPr="008D37A3" w:rsidRDefault="00A85257" w:rsidP="00F05234">
            <w:pPr>
              <w:pStyle w:val="TabNumeri"/>
            </w:pPr>
            <w:r w:rsidRPr="008D37A3">
              <w:t>2,4</w:t>
            </w:r>
          </w:p>
        </w:tc>
      </w:tr>
      <w:tr w:rsidR="00A85257" w:rsidTr="00F05234">
        <w:trPr>
          <w:gridAfter w:val="1"/>
          <w:wAfter w:w="16" w:type="dxa"/>
          <w:cantSplit/>
          <w:trHeight w:val="255"/>
        </w:trPr>
        <w:tc>
          <w:tcPr>
            <w:tcW w:w="2211" w:type="dxa"/>
            <w:shd w:val="clear" w:color="auto" w:fill="EAF1DD" w:themeFill="accent3" w:themeFillTint="33"/>
            <w:noWrap/>
          </w:tcPr>
          <w:p w:rsidR="00A85257" w:rsidRPr="00233F5C" w:rsidRDefault="00A85257" w:rsidP="00F05234">
            <w:pPr>
              <w:pStyle w:val="TabEtichette"/>
            </w:pPr>
            <w:r w:rsidRPr="00233F5C">
              <w:t xml:space="preserve">Consumi </w:t>
            </w:r>
            <w:r>
              <w:t>privati (1, 2)</w:t>
            </w:r>
          </w:p>
        </w:tc>
        <w:tc>
          <w:tcPr>
            <w:tcW w:w="737" w:type="dxa"/>
            <w:shd w:val="clear" w:color="auto" w:fill="EAF1DD" w:themeFill="accent3" w:themeFillTint="33"/>
            <w:noWrap/>
          </w:tcPr>
          <w:p w:rsidR="00A85257" w:rsidRPr="00902005" w:rsidRDefault="00A85257" w:rsidP="00F05234">
            <w:pPr>
              <w:pStyle w:val="TabNumeri"/>
            </w:pPr>
            <w:r w:rsidRPr="00902005">
              <w:t>1,4</w:t>
            </w:r>
          </w:p>
        </w:tc>
        <w:tc>
          <w:tcPr>
            <w:tcW w:w="737" w:type="dxa"/>
            <w:shd w:val="clear" w:color="auto" w:fill="EAF1DD" w:themeFill="accent3" w:themeFillTint="33"/>
            <w:noWrap/>
          </w:tcPr>
          <w:p w:rsidR="00A85257" w:rsidRPr="00902005" w:rsidRDefault="00A85257" w:rsidP="00F05234">
            <w:pPr>
              <w:pStyle w:val="TabNumeri"/>
            </w:pPr>
            <w:r w:rsidRPr="00902005">
              <w:t>1,3</w:t>
            </w:r>
          </w:p>
        </w:tc>
        <w:tc>
          <w:tcPr>
            <w:tcW w:w="737" w:type="dxa"/>
            <w:shd w:val="clear" w:color="auto" w:fill="EAF1DD" w:themeFill="accent3" w:themeFillTint="33"/>
            <w:noWrap/>
          </w:tcPr>
          <w:p w:rsidR="00A85257" w:rsidRPr="00902005" w:rsidRDefault="00A85257" w:rsidP="00F05234">
            <w:pPr>
              <w:pStyle w:val="TabNumeri"/>
            </w:pPr>
            <w:r w:rsidRPr="00902005">
              <w:t>1,3</w:t>
            </w:r>
          </w:p>
        </w:tc>
        <w:tc>
          <w:tcPr>
            <w:tcW w:w="510" w:type="dxa"/>
            <w:shd w:val="clear" w:color="auto" w:fill="EAF1DD" w:themeFill="accent3" w:themeFillTint="33"/>
            <w:noWrap/>
          </w:tcPr>
          <w:p w:rsidR="00A85257" w:rsidRPr="000770A1" w:rsidRDefault="00A85257" w:rsidP="00F05234">
            <w:pPr>
              <w:pStyle w:val="TabNumeri"/>
              <w:rPr>
                <w:sz w:val="14"/>
                <w:szCs w:val="14"/>
              </w:rPr>
            </w:pPr>
          </w:p>
        </w:tc>
        <w:tc>
          <w:tcPr>
            <w:tcW w:w="2211" w:type="dxa"/>
            <w:shd w:val="clear" w:color="auto" w:fill="EAF1DD" w:themeFill="accent3" w:themeFillTint="33"/>
          </w:tcPr>
          <w:p w:rsidR="00A85257" w:rsidRPr="00233F5C" w:rsidRDefault="00A85257" w:rsidP="00F05234">
            <w:pPr>
              <w:pStyle w:val="TabEtichette"/>
            </w:pPr>
            <w:r>
              <w:t>Occupazione (1)</w:t>
            </w:r>
          </w:p>
        </w:tc>
        <w:tc>
          <w:tcPr>
            <w:tcW w:w="737" w:type="dxa"/>
            <w:shd w:val="clear" w:color="auto" w:fill="EAF1DD" w:themeFill="accent3" w:themeFillTint="33"/>
            <w:noWrap/>
          </w:tcPr>
          <w:p w:rsidR="00A85257" w:rsidRPr="008D37A3" w:rsidRDefault="00A85257" w:rsidP="00F05234">
            <w:pPr>
              <w:pStyle w:val="TabNumeri"/>
            </w:pPr>
            <w:r w:rsidRPr="008D37A3">
              <w:t>1,5</w:t>
            </w:r>
          </w:p>
        </w:tc>
        <w:tc>
          <w:tcPr>
            <w:tcW w:w="737" w:type="dxa"/>
            <w:shd w:val="clear" w:color="auto" w:fill="EAF1DD" w:themeFill="accent3" w:themeFillTint="33"/>
          </w:tcPr>
          <w:p w:rsidR="00A85257" w:rsidRPr="008D37A3" w:rsidRDefault="00A85257" w:rsidP="00F05234">
            <w:pPr>
              <w:pStyle w:val="TabNumeri"/>
            </w:pPr>
            <w:r w:rsidRPr="008D37A3">
              <w:t>1,1</w:t>
            </w:r>
          </w:p>
        </w:tc>
        <w:tc>
          <w:tcPr>
            <w:tcW w:w="737" w:type="dxa"/>
            <w:shd w:val="clear" w:color="auto" w:fill="EAF1DD" w:themeFill="accent3" w:themeFillTint="33"/>
            <w:noWrap/>
          </w:tcPr>
          <w:p w:rsidR="00A85257" w:rsidRPr="008D37A3" w:rsidRDefault="00A85257" w:rsidP="00F05234">
            <w:pPr>
              <w:pStyle w:val="TabNumeri"/>
            </w:pPr>
            <w:r w:rsidRPr="008D37A3">
              <w:t>0,5</w:t>
            </w:r>
          </w:p>
        </w:tc>
      </w:tr>
      <w:tr w:rsidR="00A85257" w:rsidTr="00F05234">
        <w:trPr>
          <w:gridAfter w:val="1"/>
          <w:wAfter w:w="16" w:type="dxa"/>
          <w:cantSplit/>
          <w:trHeight w:val="255"/>
        </w:trPr>
        <w:tc>
          <w:tcPr>
            <w:tcW w:w="2211" w:type="dxa"/>
            <w:noWrap/>
          </w:tcPr>
          <w:p w:rsidR="00A85257" w:rsidRPr="00233F5C" w:rsidRDefault="00A85257" w:rsidP="00F05234">
            <w:pPr>
              <w:pStyle w:val="TabEtichette"/>
            </w:pPr>
            <w:r w:rsidRPr="00233F5C">
              <w:t xml:space="preserve">Consumi </w:t>
            </w:r>
            <w:r>
              <w:t>pubblici (1, 2)</w:t>
            </w:r>
          </w:p>
        </w:tc>
        <w:tc>
          <w:tcPr>
            <w:tcW w:w="737" w:type="dxa"/>
            <w:noWrap/>
          </w:tcPr>
          <w:p w:rsidR="00A85257" w:rsidRPr="00902005" w:rsidRDefault="00A85257" w:rsidP="00F05234">
            <w:pPr>
              <w:pStyle w:val="TabNumeri"/>
            </w:pPr>
            <w:r w:rsidRPr="00902005">
              <w:t>1,1</w:t>
            </w:r>
          </w:p>
        </w:tc>
        <w:tc>
          <w:tcPr>
            <w:tcW w:w="737" w:type="dxa"/>
            <w:noWrap/>
          </w:tcPr>
          <w:p w:rsidR="00A85257" w:rsidRPr="00902005" w:rsidRDefault="00A85257" w:rsidP="00F05234">
            <w:pPr>
              <w:pStyle w:val="TabNumeri"/>
            </w:pPr>
            <w:r w:rsidRPr="00902005">
              <w:t>1,5</w:t>
            </w:r>
          </w:p>
        </w:tc>
        <w:tc>
          <w:tcPr>
            <w:tcW w:w="737" w:type="dxa"/>
            <w:noWrap/>
          </w:tcPr>
          <w:p w:rsidR="00A85257" w:rsidRPr="00902005" w:rsidRDefault="00A85257" w:rsidP="00F05234">
            <w:pPr>
              <w:pStyle w:val="TabNumeri"/>
            </w:pPr>
            <w:r w:rsidRPr="00902005">
              <w:t>1,5</w:t>
            </w:r>
          </w:p>
        </w:tc>
        <w:tc>
          <w:tcPr>
            <w:tcW w:w="510" w:type="dxa"/>
            <w:noWrap/>
          </w:tcPr>
          <w:p w:rsidR="00A85257" w:rsidRPr="000770A1" w:rsidRDefault="00A85257" w:rsidP="00F05234">
            <w:pPr>
              <w:pStyle w:val="TabNumeri"/>
              <w:rPr>
                <w:sz w:val="14"/>
                <w:szCs w:val="14"/>
              </w:rPr>
            </w:pPr>
          </w:p>
        </w:tc>
        <w:tc>
          <w:tcPr>
            <w:tcW w:w="2211" w:type="dxa"/>
          </w:tcPr>
          <w:p w:rsidR="00A85257" w:rsidRPr="00233F5C" w:rsidRDefault="00A85257" w:rsidP="00F05234">
            <w:pPr>
              <w:pStyle w:val="TabEtichette"/>
            </w:pPr>
            <w:r>
              <w:t>Tasso di d</w:t>
            </w:r>
            <w:r w:rsidRPr="00233F5C">
              <w:t>isoccupazione [</w:t>
            </w:r>
            <w:r>
              <w:t>5</w:t>
            </w:r>
            <w:r w:rsidRPr="00233F5C">
              <w:t>]</w:t>
            </w:r>
          </w:p>
        </w:tc>
        <w:tc>
          <w:tcPr>
            <w:tcW w:w="737" w:type="dxa"/>
            <w:noWrap/>
          </w:tcPr>
          <w:p w:rsidR="00A85257" w:rsidRPr="008D37A3" w:rsidRDefault="00A85257" w:rsidP="00F05234">
            <w:pPr>
              <w:pStyle w:val="TabNumeri"/>
            </w:pPr>
            <w:r w:rsidRPr="008D37A3">
              <w:t>8,2</w:t>
            </w:r>
          </w:p>
        </w:tc>
        <w:tc>
          <w:tcPr>
            <w:tcW w:w="737" w:type="dxa"/>
          </w:tcPr>
          <w:p w:rsidR="00A85257" w:rsidRPr="008D37A3" w:rsidRDefault="00A85257" w:rsidP="00F05234">
            <w:pPr>
              <w:pStyle w:val="TabNumeri"/>
            </w:pPr>
            <w:r w:rsidRPr="008D37A3">
              <w:t>7,7</w:t>
            </w:r>
          </w:p>
        </w:tc>
        <w:tc>
          <w:tcPr>
            <w:tcW w:w="737" w:type="dxa"/>
            <w:noWrap/>
          </w:tcPr>
          <w:p w:rsidR="00A85257" w:rsidRPr="008D37A3" w:rsidRDefault="00A85257" w:rsidP="00F05234">
            <w:pPr>
              <w:pStyle w:val="TabNumeri"/>
            </w:pPr>
            <w:r w:rsidRPr="008D37A3">
              <w:t>7,5</w:t>
            </w:r>
          </w:p>
        </w:tc>
      </w:tr>
      <w:tr w:rsidR="00A85257" w:rsidTr="00F05234">
        <w:trPr>
          <w:gridAfter w:val="1"/>
          <w:wAfter w:w="16" w:type="dxa"/>
          <w:cantSplit/>
          <w:trHeight w:val="255"/>
        </w:trPr>
        <w:tc>
          <w:tcPr>
            <w:tcW w:w="2211" w:type="dxa"/>
            <w:shd w:val="clear" w:color="auto" w:fill="EAF1DD" w:themeFill="accent3" w:themeFillTint="33"/>
            <w:noWrap/>
          </w:tcPr>
          <w:p w:rsidR="00A85257" w:rsidRPr="00233F5C" w:rsidRDefault="00A85257" w:rsidP="00F05234">
            <w:pPr>
              <w:pStyle w:val="TabEtichette"/>
            </w:pPr>
            <w:r w:rsidRPr="00233F5C">
              <w:t>Investimenti fissi lordi</w:t>
            </w:r>
            <w:r>
              <w:t xml:space="preserve"> (1, 2)</w:t>
            </w:r>
          </w:p>
        </w:tc>
        <w:tc>
          <w:tcPr>
            <w:tcW w:w="737" w:type="dxa"/>
            <w:shd w:val="clear" w:color="auto" w:fill="EAF1DD" w:themeFill="accent3" w:themeFillTint="33"/>
            <w:noWrap/>
          </w:tcPr>
          <w:p w:rsidR="00A85257" w:rsidRPr="00902005" w:rsidRDefault="00A85257" w:rsidP="00F05234">
            <w:pPr>
              <w:pStyle w:val="TabNumeri"/>
            </w:pPr>
            <w:r w:rsidRPr="00902005">
              <w:t>2,3</w:t>
            </w:r>
          </w:p>
        </w:tc>
        <w:tc>
          <w:tcPr>
            <w:tcW w:w="737" w:type="dxa"/>
            <w:shd w:val="clear" w:color="auto" w:fill="EAF1DD" w:themeFill="accent3" w:themeFillTint="33"/>
            <w:noWrap/>
          </w:tcPr>
          <w:p w:rsidR="00A85257" w:rsidRPr="00902005" w:rsidRDefault="00A85257" w:rsidP="00F05234">
            <w:pPr>
              <w:pStyle w:val="TabNumeri"/>
            </w:pPr>
            <w:r w:rsidRPr="00902005">
              <w:t>3,1</w:t>
            </w:r>
          </w:p>
        </w:tc>
        <w:tc>
          <w:tcPr>
            <w:tcW w:w="737" w:type="dxa"/>
            <w:shd w:val="clear" w:color="auto" w:fill="EAF1DD" w:themeFill="accent3" w:themeFillTint="33"/>
            <w:noWrap/>
          </w:tcPr>
          <w:p w:rsidR="00A85257" w:rsidRPr="00902005" w:rsidRDefault="00A85257" w:rsidP="00F05234">
            <w:pPr>
              <w:pStyle w:val="TabNumeri"/>
            </w:pPr>
            <w:r w:rsidRPr="00902005">
              <w:t>1,9</w:t>
            </w:r>
          </w:p>
        </w:tc>
        <w:tc>
          <w:tcPr>
            <w:tcW w:w="510" w:type="dxa"/>
            <w:shd w:val="clear" w:color="auto" w:fill="EAF1DD" w:themeFill="accent3" w:themeFillTint="33"/>
            <w:noWrap/>
          </w:tcPr>
          <w:p w:rsidR="00A85257" w:rsidRPr="000770A1" w:rsidRDefault="00A85257" w:rsidP="00F05234">
            <w:pPr>
              <w:pStyle w:val="TabNumeri"/>
              <w:rPr>
                <w:sz w:val="14"/>
                <w:szCs w:val="14"/>
              </w:rPr>
            </w:pPr>
          </w:p>
        </w:tc>
        <w:tc>
          <w:tcPr>
            <w:tcW w:w="2211" w:type="dxa"/>
            <w:shd w:val="clear" w:color="auto" w:fill="EAF1DD" w:themeFill="accent3" w:themeFillTint="33"/>
          </w:tcPr>
          <w:p w:rsidR="00A85257" w:rsidRPr="00233F5C" w:rsidRDefault="00A85257" w:rsidP="00F05234">
            <w:pPr>
              <w:pStyle w:val="TabEtichette"/>
            </w:pPr>
            <w:r w:rsidRPr="00233F5C">
              <w:t>Prezzi al consumo</w:t>
            </w:r>
            <w:r>
              <w:t xml:space="preserve"> [1, 6]</w:t>
            </w:r>
          </w:p>
        </w:tc>
        <w:tc>
          <w:tcPr>
            <w:tcW w:w="737" w:type="dxa"/>
            <w:shd w:val="clear" w:color="auto" w:fill="EAF1DD" w:themeFill="accent3" w:themeFillTint="33"/>
            <w:noWrap/>
          </w:tcPr>
          <w:p w:rsidR="00A85257" w:rsidRPr="008D37A3" w:rsidRDefault="00A85257" w:rsidP="00F05234">
            <w:pPr>
              <w:pStyle w:val="TabNumeri"/>
            </w:pPr>
            <w:r w:rsidRPr="008D37A3">
              <w:t>1,8</w:t>
            </w:r>
          </w:p>
        </w:tc>
        <w:tc>
          <w:tcPr>
            <w:tcW w:w="737" w:type="dxa"/>
            <w:shd w:val="clear" w:color="auto" w:fill="EAF1DD" w:themeFill="accent3" w:themeFillTint="33"/>
          </w:tcPr>
          <w:p w:rsidR="00A85257" w:rsidRPr="008D37A3" w:rsidRDefault="00A85257" w:rsidP="00F05234">
            <w:pPr>
              <w:pStyle w:val="TabNumeri"/>
            </w:pPr>
            <w:r w:rsidRPr="008D37A3">
              <w:t>1,2</w:t>
            </w:r>
          </w:p>
        </w:tc>
        <w:tc>
          <w:tcPr>
            <w:tcW w:w="737" w:type="dxa"/>
            <w:shd w:val="clear" w:color="auto" w:fill="EAF1DD" w:themeFill="accent3" w:themeFillTint="33"/>
            <w:noWrap/>
          </w:tcPr>
          <w:p w:rsidR="00A85257" w:rsidRPr="008D37A3" w:rsidRDefault="00A85257" w:rsidP="00F05234">
            <w:pPr>
              <w:pStyle w:val="TabNumeri"/>
            </w:pPr>
            <w:r w:rsidRPr="008D37A3">
              <w:t>1,0</w:t>
            </w:r>
          </w:p>
        </w:tc>
      </w:tr>
      <w:tr w:rsidR="00A85257" w:rsidTr="00F05234">
        <w:trPr>
          <w:gridAfter w:val="1"/>
          <w:wAfter w:w="16" w:type="dxa"/>
          <w:cantSplit/>
          <w:trHeight w:val="255"/>
        </w:trPr>
        <w:tc>
          <w:tcPr>
            <w:tcW w:w="2211" w:type="dxa"/>
            <w:noWrap/>
          </w:tcPr>
          <w:p w:rsidR="00A85257" w:rsidRPr="00233F5C" w:rsidRDefault="00A85257" w:rsidP="00F05234">
            <w:pPr>
              <w:pStyle w:val="TabEtichette"/>
            </w:pPr>
            <w:r w:rsidRPr="00233F5C">
              <w:t>Esportazioni</w:t>
            </w:r>
            <w:r>
              <w:t xml:space="preserve"> (1, 2, 3)</w:t>
            </w:r>
          </w:p>
        </w:tc>
        <w:tc>
          <w:tcPr>
            <w:tcW w:w="737" w:type="dxa"/>
            <w:noWrap/>
          </w:tcPr>
          <w:p w:rsidR="00A85257" w:rsidRPr="00902005" w:rsidRDefault="00A85257" w:rsidP="00F05234">
            <w:pPr>
              <w:pStyle w:val="TabNumeri"/>
            </w:pPr>
            <w:r w:rsidRPr="00902005">
              <w:t>3,5</w:t>
            </w:r>
          </w:p>
        </w:tc>
        <w:tc>
          <w:tcPr>
            <w:tcW w:w="737" w:type="dxa"/>
            <w:noWrap/>
          </w:tcPr>
          <w:p w:rsidR="00A85257" w:rsidRPr="00902005" w:rsidRDefault="00A85257" w:rsidP="00F05234">
            <w:pPr>
              <w:pStyle w:val="TabNumeri"/>
            </w:pPr>
            <w:r w:rsidRPr="00902005">
              <w:t>2,3</w:t>
            </w:r>
          </w:p>
        </w:tc>
        <w:tc>
          <w:tcPr>
            <w:tcW w:w="737" w:type="dxa"/>
            <w:noWrap/>
          </w:tcPr>
          <w:p w:rsidR="00A85257" w:rsidRPr="00902005" w:rsidRDefault="00A85257" w:rsidP="00F05234">
            <w:pPr>
              <w:pStyle w:val="TabNumeri"/>
            </w:pPr>
            <w:r w:rsidRPr="00902005">
              <w:t>2,4</w:t>
            </w:r>
          </w:p>
        </w:tc>
        <w:tc>
          <w:tcPr>
            <w:tcW w:w="510" w:type="dxa"/>
            <w:noWrap/>
          </w:tcPr>
          <w:p w:rsidR="00A85257" w:rsidRPr="000770A1" w:rsidRDefault="00A85257" w:rsidP="00F05234">
            <w:pPr>
              <w:pStyle w:val="TabNumeri"/>
              <w:rPr>
                <w:sz w:val="14"/>
                <w:szCs w:val="14"/>
              </w:rPr>
            </w:pPr>
          </w:p>
        </w:tc>
        <w:tc>
          <w:tcPr>
            <w:tcW w:w="2211" w:type="dxa"/>
          </w:tcPr>
          <w:p w:rsidR="00A85257" w:rsidRPr="00233F5C" w:rsidRDefault="00A85257" w:rsidP="00F05234">
            <w:pPr>
              <w:pStyle w:val="TabEtichette"/>
            </w:pPr>
            <w:r w:rsidRPr="00233F5C">
              <w:t>Ind</w:t>
            </w:r>
            <w:r>
              <w:t>ebitamento della P.A. [4]</w:t>
            </w:r>
          </w:p>
        </w:tc>
        <w:tc>
          <w:tcPr>
            <w:tcW w:w="737" w:type="dxa"/>
            <w:noWrap/>
          </w:tcPr>
          <w:p w:rsidR="00A85257" w:rsidRPr="008D37A3" w:rsidRDefault="00A85257" w:rsidP="00F05234">
            <w:pPr>
              <w:pStyle w:val="TabNumeri"/>
            </w:pPr>
            <w:r w:rsidRPr="008D37A3">
              <w:t>0,5</w:t>
            </w:r>
          </w:p>
        </w:tc>
        <w:tc>
          <w:tcPr>
            <w:tcW w:w="737" w:type="dxa"/>
          </w:tcPr>
          <w:p w:rsidR="00A85257" w:rsidRPr="008D37A3" w:rsidRDefault="00A85257" w:rsidP="00F05234">
            <w:pPr>
              <w:pStyle w:val="TabNumeri"/>
            </w:pPr>
            <w:r w:rsidRPr="008D37A3">
              <w:t>0,8</w:t>
            </w:r>
          </w:p>
        </w:tc>
        <w:tc>
          <w:tcPr>
            <w:tcW w:w="737" w:type="dxa"/>
            <w:noWrap/>
          </w:tcPr>
          <w:p w:rsidR="00A85257" w:rsidRPr="008D37A3" w:rsidRDefault="00A85257" w:rsidP="00F05234">
            <w:pPr>
              <w:pStyle w:val="TabNumeri"/>
            </w:pPr>
            <w:r w:rsidRPr="008D37A3">
              <w:t>0,8</w:t>
            </w:r>
          </w:p>
        </w:tc>
      </w:tr>
      <w:tr w:rsidR="00A85257" w:rsidTr="00F05234">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A85257" w:rsidRDefault="00A85257" w:rsidP="00F05234">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rsidR="00A85257" w:rsidRPr="00902005" w:rsidRDefault="00A85257" w:rsidP="00F05234">
            <w:pPr>
              <w:pStyle w:val="TabNumeri"/>
            </w:pPr>
            <w:r w:rsidRPr="00902005">
              <w:t>2,7</w:t>
            </w:r>
          </w:p>
        </w:tc>
        <w:tc>
          <w:tcPr>
            <w:tcW w:w="737" w:type="dxa"/>
            <w:tcBorders>
              <w:bottom w:val="single" w:sz="4" w:space="0" w:color="632423" w:themeColor="accent2" w:themeShade="80"/>
            </w:tcBorders>
            <w:shd w:val="clear" w:color="auto" w:fill="EAF1DD" w:themeFill="accent3" w:themeFillTint="33"/>
            <w:noWrap/>
          </w:tcPr>
          <w:p w:rsidR="00A85257" w:rsidRPr="00902005" w:rsidRDefault="00A85257" w:rsidP="00F05234">
            <w:pPr>
              <w:pStyle w:val="TabNumeri"/>
            </w:pPr>
            <w:r w:rsidRPr="00902005">
              <w:t>2,6</w:t>
            </w:r>
          </w:p>
        </w:tc>
        <w:tc>
          <w:tcPr>
            <w:tcW w:w="737" w:type="dxa"/>
            <w:tcBorders>
              <w:bottom w:val="single" w:sz="4" w:space="0" w:color="632423" w:themeColor="accent2" w:themeShade="80"/>
            </w:tcBorders>
            <w:shd w:val="clear" w:color="auto" w:fill="EAF1DD" w:themeFill="accent3" w:themeFillTint="33"/>
            <w:noWrap/>
          </w:tcPr>
          <w:p w:rsidR="00A85257" w:rsidRDefault="00A85257" w:rsidP="00F05234">
            <w:pPr>
              <w:pStyle w:val="TabNumeri"/>
            </w:pPr>
            <w:r w:rsidRPr="00902005">
              <w:t>3,1</w:t>
            </w:r>
          </w:p>
        </w:tc>
        <w:tc>
          <w:tcPr>
            <w:tcW w:w="510" w:type="dxa"/>
            <w:tcBorders>
              <w:bottom w:val="single" w:sz="4" w:space="0" w:color="632423" w:themeColor="accent2" w:themeShade="80"/>
            </w:tcBorders>
            <w:shd w:val="clear" w:color="auto" w:fill="EAF1DD" w:themeFill="accent3" w:themeFillTint="33"/>
            <w:noWrap/>
          </w:tcPr>
          <w:p w:rsidR="00A85257" w:rsidRPr="000770A1" w:rsidRDefault="00A85257" w:rsidP="00F05234">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A85257" w:rsidRDefault="00A85257" w:rsidP="00F05234">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A85257" w:rsidRPr="008D37A3" w:rsidRDefault="00A85257" w:rsidP="00F05234">
            <w:pPr>
              <w:pStyle w:val="TabNumeri"/>
            </w:pPr>
            <w:r w:rsidRPr="008D37A3">
              <w:t>85,4</w:t>
            </w:r>
          </w:p>
        </w:tc>
        <w:tc>
          <w:tcPr>
            <w:tcW w:w="737" w:type="dxa"/>
            <w:tcBorders>
              <w:bottom w:val="single" w:sz="4" w:space="0" w:color="632423" w:themeColor="accent2" w:themeShade="80"/>
            </w:tcBorders>
            <w:shd w:val="clear" w:color="auto" w:fill="EAF1DD" w:themeFill="accent3" w:themeFillTint="33"/>
          </w:tcPr>
          <w:p w:rsidR="00A85257" w:rsidRPr="008D37A3" w:rsidRDefault="00A85257" w:rsidP="00F05234">
            <w:pPr>
              <w:pStyle w:val="TabNumeri"/>
            </w:pPr>
            <w:r w:rsidRPr="008D37A3">
              <w:t>83,8</w:t>
            </w:r>
          </w:p>
        </w:tc>
        <w:tc>
          <w:tcPr>
            <w:tcW w:w="737" w:type="dxa"/>
            <w:tcBorders>
              <w:bottom w:val="single" w:sz="4" w:space="0" w:color="632423" w:themeColor="accent2" w:themeShade="80"/>
            </w:tcBorders>
            <w:shd w:val="clear" w:color="auto" w:fill="EAF1DD" w:themeFill="accent3" w:themeFillTint="33"/>
            <w:noWrap/>
          </w:tcPr>
          <w:p w:rsidR="00A85257" w:rsidRDefault="00A85257" w:rsidP="00F05234">
            <w:pPr>
              <w:pStyle w:val="TabNumeri"/>
            </w:pPr>
            <w:r w:rsidRPr="008D37A3">
              <w:t>82,5</w:t>
            </w:r>
          </w:p>
        </w:tc>
      </w:tr>
      <w:tr w:rsidR="00A85257" w:rsidRPr="002746DE" w:rsidTr="00F05234">
        <w:trPr>
          <w:cantSplit/>
          <w:trHeight w:val="255"/>
        </w:trPr>
        <w:tc>
          <w:tcPr>
            <w:tcW w:w="9370" w:type="dxa"/>
            <w:gridSpan w:val="10"/>
            <w:tcBorders>
              <w:top w:val="single" w:sz="4" w:space="0" w:color="632423" w:themeColor="accent2" w:themeShade="80"/>
            </w:tcBorders>
            <w:noWrap/>
          </w:tcPr>
          <w:p w:rsidR="00A85257" w:rsidRPr="00896697" w:rsidRDefault="00A85257" w:rsidP="00F05234">
            <w:pPr>
              <w:pStyle w:val="TabNoteSuperiori"/>
            </w:pPr>
            <w:r w:rsidRPr="00896697">
              <w:t xml:space="preserve">[1] Tassi di variazione tendenziale percentuale- [2] Dati corretti per il numero di giornate lavorative. [3] Compreso il commercio all’interno dell’area dell’euro. [4] In percentuale del Pil. [5] Percentuale della forza lavoro. [6] Tasso di inflazione armonizzato Ue. </w:t>
            </w:r>
          </w:p>
          <w:p w:rsidR="00A85257" w:rsidRPr="00A85257" w:rsidRDefault="00A85257" w:rsidP="00F05234">
            <w:pPr>
              <w:pStyle w:val="TabNoteInferiori"/>
            </w:pPr>
            <w:r w:rsidRPr="00A85257">
              <w:t xml:space="preserve">Fonte: </w:t>
            </w:r>
            <w:proofErr w:type="spellStart"/>
            <w:r w:rsidRPr="00A85257">
              <w:t>European</w:t>
            </w:r>
            <w:proofErr w:type="spellEnd"/>
            <w:r w:rsidRPr="00A85257">
              <w:t xml:space="preserve"> Central Bank, ECB </w:t>
            </w:r>
            <w:proofErr w:type="spellStart"/>
            <w:r w:rsidRPr="00A85257">
              <w:t>macroeconomic</w:t>
            </w:r>
            <w:proofErr w:type="spellEnd"/>
            <w:r w:rsidRPr="00A85257">
              <w:t xml:space="preserve"> </w:t>
            </w:r>
            <w:proofErr w:type="spellStart"/>
            <w:r w:rsidRPr="00A85257">
              <w:t>projections</w:t>
            </w:r>
            <w:proofErr w:type="spellEnd"/>
            <w:r w:rsidRPr="00A85257">
              <w:t xml:space="preserve"> for the euro area, 12 settembre </w:t>
            </w:r>
            <w:r w:rsidRPr="00896697">
              <w:rPr>
                <w:lang w:val="en-US"/>
              </w:rPr>
              <w:fldChar w:fldCharType="begin"/>
            </w:r>
            <w:r w:rsidRPr="00896697">
              <w:rPr>
                <w:lang w:val="en-US"/>
              </w:rPr>
              <w:instrText xml:space="preserve"> DATE  \@ "yyyy"  \* MERGEFORMAT </w:instrText>
            </w:r>
            <w:r w:rsidRPr="00896697">
              <w:rPr>
                <w:lang w:val="en-US"/>
              </w:rPr>
              <w:fldChar w:fldCharType="separate"/>
            </w:r>
            <w:r>
              <w:rPr>
                <w:noProof/>
                <w:lang w:val="en-US"/>
              </w:rPr>
              <w:t>2019</w:t>
            </w:r>
            <w:r w:rsidRPr="00896697">
              <w:rPr>
                <w:lang w:val="en-US"/>
              </w:rPr>
              <w:fldChar w:fldCharType="end"/>
            </w:r>
          </w:p>
        </w:tc>
      </w:tr>
    </w:tbl>
    <w:p w:rsidR="00736372" w:rsidRDefault="00736372" w:rsidP="00736372">
      <w:r>
        <w:t>Il surplus dei conti correnti in rapporto al Pil è salito stabilmente dal 2008, ha toccato un picco nel 2017, poi si è ridotto lievemente nel 2018 e continuerà a ridursi anche nel 2019 (+2,6 per cento) e nuovamente nel 2020 (+2,6 per cento).</w:t>
      </w:r>
    </w:p>
    <w:p w:rsidR="00736372" w:rsidRDefault="00736372" w:rsidP="00736372">
      <w:r>
        <w:t xml:space="preserve">L’aumento dell’occupazione proseguirà più lentamente, passando a +1,1 per cento nel 2019, per effetto dei limiti all’offerta e del rallentamento dell’attività. </w:t>
      </w:r>
      <w:r w:rsidR="00003A01">
        <w:t>Il tasso di disoccupazione si ridurrà più gradualmente sia nel 2019 (7,7 per cento), sia nel 2020 (7,5 per cento), portandosi dopo dodici anni al di sotto del livello pre-crisi.</w:t>
      </w:r>
      <w:r>
        <w:t xml:space="preserve"> La riduzione interesserà tutti i paesi, ma con marcate differenze nei livelli di disoccupazione.</w:t>
      </w:r>
    </w:p>
    <w:p w:rsidR="00736372" w:rsidRDefault="00736372" w:rsidP="00736372">
      <w:r>
        <w:t xml:space="preserve">La dinamica dei prezzi si sta riducendo sensibilmente nel 2019 (+1,2 per cento), frenata dalla componente energetica, nonostante una modesta crescita salariale, e tenderà a ridursi ulteriormente nel 2020 (+1,0 per cento). </w:t>
      </w:r>
    </w:p>
    <w:p w:rsidR="00736372" w:rsidRDefault="00736372" w:rsidP="00736372">
      <w:r>
        <w:t>La politica fiscale nel complesso dell’area è divenuta moderatamente espansiva nel 2019 e più ancora lo diverrà nel 2020. Il rapporto tra deficit pubblico e prodotto interno lordo dovrebbe deteriorarsi nel 2019 (0,8 per cento) per effetto di politiche fiscali moderatamente espansive e della minore crescita, per restare poi a questo livello nel 2020 grazie a ridotti pagamenti per interessi.</w:t>
      </w:r>
    </w:p>
    <w:p w:rsidR="00736372" w:rsidRDefault="00736372" w:rsidP="00736372">
      <w:r>
        <w:t>Il rapporto tra debito pubblico e Pil continuerà a ridursi sia nel 2019 (83,8 per cento), sia nel 2020 (82,5 per cento), grazie a un saldo primario in declino, ma positivo, e al favorevole differenziale tra tassi di interesse sul debito esistente e tasso di crescita nominale.</w:t>
      </w:r>
    </w:p>
    <w:p w:rsidR="00C43F0D" w:rsidRDefault="00736372" w:rsidP="00736372">
      <w:r>
        <w:t xml:space="preserve">La politica monetaria è divenuta più accomodante e sono aumentate le aspettative per un ulteriore allentamento atteso dopo l’insediamento della nuova presidente Lagarde. La Bce ha ridotto il tasso su depositi di 10 punti a -0,50 per cento, lasciando invariato il tasso principale a 0 per cento. Quindi ha deciso di ripristinare dal primo novembre gli acquisti di asset sul mercato per 20 miliardi al mese senza dare al programma alcuna scadenza. Infine ha fissato nuove condizioni delle Tltro della terza serie, le aste di liquidità destinate alle banche e finalizzate ai prestiti alle aziende, che saranno più lunghe del previsto. Tutto questo dovrebbe garantire condizioni favorevoli al credito bancario in particolare alle </w:t>
      </w:r>
      <w:r w:rsidR="00003A01">
        <w:t>piccole</w:t>
      </w:r>
      <w:r>
        <w:t xml:space="preserve"> e medie imprese. </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F36164" w:rsidRDefault="00F36164" w:rsidP="00F36164">
      <w:pPr>
        <w:pStyle w:val="Titolo4"/>
      </w:pPr>
      <w:bookmarkStart w:id="0" w:name="_Toc19697794"/>
      <w:r>
        <w:t>I conti economici</w:t>
      </w:r>
      <w:bookmarkEnd w:id="0"/>
    </w:p>
    <w:p w:rsidR="00F36164" w:rsidRPr="009953C5" w:rsidRDefault="00F36164" w:rsidP="00F36164">
      <w:r w:rsidRPr="009953C5">
        <w:t>Secondo la più recente previsione di Prometeia la crescita del prodotto interno lordo dovrebbe sostanzialmente fermarsi nel 2019 (+0,1 per cento), senza fare registrare una sostanziale accelerazione dell’attività nel 2020 (+0,5 per cento).</w:t>
      </w:r>
      <w:r w:rsidR="00081287">
        <w:t xml:space="preserve"> </w:t>
      </w:r>
      <w:r w:rsidR="00C453E8" w:rsidRPr="00C453E8">
        <w:t xml:space="preserve">Le più recenti stime dell’Ocse differiscono di un </w:t>
      </w:r>
      <w:proofErr w:type="spellStart"/>
      <w:r w:rsidR="00C453E8" w:rsidRPr="00C453E8">
        <w:t>decimnale</w:t>
      </w:r>
      <w:proofErr w:type="spellEnd"/>
      <w:r w:rsidR="00C453E8" w:rsidRPr="00C453E8">
        <w:t xml:space="preserve">: +0,0 per cento nel 2019 e +0,4 per </w:t>
      </w:r>
      <w:proofErr w:type="spellStart"/>
      <w:r w:rsidR="00C453E8" w:rsidRPr="00C453E8">
        <w:t>cneto</w:t>
      </w:r>
      <w:proofErr w:type="spellEnd"/>
      <w:r w:rsidR="00C453E8" w:rsidRPr="00C453E8">
        <w:t xml:space="preserve"> nel 2020.</w:t>
      </w:r>
    </w:p>
    <w:p w:rsidR="00F36164" w:rsidRPr="009953C5" w:rsidRDefault="00F36164" w:rsidP="00F36164">
      <w:r w:rsidRPr="009953C5">
        <w:t>I consumi delle famiglie cresceranno moderatamente nel 2019 (+0,5 per cento) e si riprenderanno lievemente nel 2020 (+0,8 per cento), sostenuti dalla lieve tendenza positiva del mercato del lavoro e dalla politica di bilancio, in particolare dal reddito di cittadinanza.</w:t>
      </w:r>
    </w:p>
    <w:p w:rsidR="00F36164" w:rsidRPr="009953C5" w:rsidRDefault="00F36164" w:rsidP="00F36164">
      <w:r w:rsidRPr="009953C5">
        <w:t xml:space="preserve">L’incertezza interna e internazionale ha colpito il ciclo degli investimenti, la crescita si ridurrà a +0,6 nel </w:t>
      </w:r>
      <w:r w:rsidRPr="0028319E">
        <w:t>2019, nonostante condizioni finanziarie favorevoli e un elevato grado di utilizzo della capacità produttiva,</w:t>
      </w:r>
      <w:r w:rsidRPr="009953C5">
        <w:t xml:space="preserve"> sostenuta da un ciclo positivo degli investimenti in costruzioni (pubblici in particolare). La reintroduzione di incentivi fiscali agli investimenti dovrebbe accelerarne la dinamica nel 2020 (+1,5 per cento).</w:t>
      </w:r>
    </w:p>
    <w:p w:rsidR="00F36164" w:rsidRPr="009953C5" w:rsidRDefault="00F36164" w:rsidP="00F36164">
      <w:r w:rsidRPr="009953C5">
        <w:lastRenderedPageBreak/>
        <w:t xml:space="preserve">La crescita delle esportazioni si sta riprendendo leggermente, (+2,2 per cento nel 2019 ), ma le tensioni commerciali e l’apprezzamento dei cambio effettivo nominale ne conterranno la dinamica nel 2020 (+1,4 per cento). </w:t>
      </w:r>
    </w:p>
    <w:p w:rsidR="00F36164" w:rsidRDefault="00F36164" w:rsidP="00F36164">
      <w:pPr>
        <w:pStyle w:val="Titolo4"/>
      </w:pPr>
      <w:bookmarkStart w:id="1" w:name="_Toc19697796"/>
      <w:r>
        <w:t>Prezzi</w:t>
      </w:r>
      <w:bookmarkEnd w:id="1"/>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A85257" w:rsidTr="00F05234">
        <w:tc>
          <w:tcPr>
            <w:tcW w:w="9356" w:type="dxa"/>
          </w:tcPr>
          <w:p w:rsidR="00A85257" w:rsidRDefault="00A85257" w:rsidP="00F05234">
            <w:pPr>
              <w:pStyle w:val="FigTitolo"/>
            </w:pPr>
            <w:r>
              <w:t>Fig. 1.2.1.</w:t>
            </w:r>
            <w:r>
              <w:tab/>
              <w:t>Prodotto interno lordo, valori concatenati, dati destagionalizzati e corretti.</w:t>
            </w:r>
            <w:r>
              <w:br/>
              <w:t>Numero indice (2010=100) e tasso di variazione sul trimestre precedente.</w:t>
            </w:r>
          </w:p>
        </w:tc>
      </w:tr>
      <w:tr w:rsidR="00A85257" w:rsidTr="00F05234">
        <w:tc>
          <w:tcPr>
            <w:tcW w:w="9356" w:type="dxa"/>
          </w:tcPr>
          <w:p w:rsidR="00A85257" w:rsidRPr="002A23F1" w:rsidRDefault="00A85257" w:rsidP="00F05234">
            <w:pPr>
              <w:pStyle w:val="Figure"/>
            </w:pPr>
            <w:r>
              <w:rPr>
                <w:noProof/>
              </w:rPr>
              <w:drawing>
                <wp:inline distT="0" distB="0" distL="0" distR="0" wp14:anchorId="2342E592" wp14:editId="586DE9C7">
                  <wp:extent cx="5915660" cy="22104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15660" cy="2210435"/>
                          </a:xfrm>
                          <a:prstGeom prst="rect">
                            <a:avLst/>
                          </a:prstGeom>
                          <a:noFill/>
                          <a:ln>
                            <a:noFill/>
                          </a:ln>
                        </pic:spPr>
                      </pic:pic>
                    </a:graphicData>
                  </a:graphic>
                </wp:inline>
              </w:drawing>
            </w:r>
          </w:p>
        </w:tc>
      </w:tr>
      <w:tr w:rsidR="00A85257" w:rsidTr="00F05234">
        <w:tc>
          <w:tcPr>
            <w:tcW w:w="9356" w:type="dxa"/>
          </w:tcPr>
          <w:p w:rsidR="00A85257" w:rsidRDefault="00A85257" w:rsidP="00F05234">
            <w:pPr>
              <w:pStyle w:val="TabNoteSuperiori"/>
            </w:pPr>
            <w:r>
              <w:t>Fonte Istat</w:t>
            </w:r>
          </w:p>
        </w:tc>
      </w:tr>
    </w:tbl>
    <w:p w:rsidR="00F36164" w:rsidRPr="009953C5" w:rsidRDefault="00F36164" w:rsidP="00F36164">
      <w:r w:rsidRPr="009953C5">
        <w:t xml:space="preserve">La crescita dell’indice dei prezzi al consumo sta ulteriormente rallentando nel 2019 e si prospetta che non vada oltre un +0,5 per cento, frenata da energetici e alimentari e dalla debolezza dell'economia. Nel 2020 l’inflazione non andrà oltre lo 0,9 per cento, secondo Prometeia, scontando un aumento dell’Iva. </w:t>
      </w:r>
    </w:p>
    <w:p w:rsidR="00F36164" w:rsidRDefault="00F36164" w:rsidP="00F36164">
      <w:pPr>
        <w:pStyle w:val="Titolo4"/>
      </w:pPr>
      <w:bookmarkStart w:id="2" w:name="_Toc19697797"/>
      <w:r w:rsidRPr="00ED7DCD">
        <w:t>Lavoro</w:t>
      </w:r>
      <w:bookmarkEnd w:id="2"/>
    </w:p>
    <w:tbl>
      <w:tblPr>
        <w:tblStyle w:val="Grigliatabella"/>
        <w:tblpPr w:topFromText="284" w:bottomFromText="284" w:horzAnchor="margin" w:tblpXSpec="center" w:tblpYSpec="bottom"/>
        <w:tblOverlap w:val="nev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89"/>
        <w:gridCol w:w="849"/>
        <w:gridCol w:w="283"/>
        <w:gridCol w:w="851"/>
        <w:gridCol w:w="284"/>
        <w:gridCol w:w="851"/>
        <w:gridCol w:w="285"/>
        <w:gridCol w:w="59"/>
        <w:gridCol w:w="851"/>
        <w:gridCol w:w="284"/>
        <w:gridCol w:w="851"/>
        <w:gridCol w:w="284"/>
        <w:gridCol w:w="851"/>
        <w:gridCol w:w="284"/>
      </w:tblGrid>
      <w:tr w:rsidR="00A85257" w:rsidTr="00F05234">
        <w:trPr>
          <w:cantSplit/>
          <w:trHeight w:val="255"/>
        </w:trPr>
        <w:tc>
          <w:tcPr>
            <w:tcW w:w="9356" w:type="dxa"/>
            <w:gridSpan w:val="14"/>
            <w:tcBorders>
              <w:bottom w:val="single" w:sz="4" w:space="0" w:color="632423" w:themeColor="accent2" w:themeShade="80"/>
            </w:tcBorders>
            <w:noWrap/>
          </w:tcPr>
          <w:p w:rsidR="00A85257" w:rsidRDefault="00A85257" w:rsidP="00F05234">
            <w:pPr>
              <w:pStyle w:val="TabTitolo"/>
            </w:pPr>
            <w:r>
              <w:t>L'economia italiana. Previsioni recenti, variazioni percentuali annue a prezzi costanti salvo diversa indicazione.</w:t>
            </w:r>
          </w:p>
        </w:tc>
      </w:tr>
      <w:tr w:rsidR="00A85257" w:rsidRPr="00C744DD" w:rsidTr="00F05234">
        <w:trPr>
          <w:cantSplit/>
          <w:trHeight w:val="255"/>
        </w:trPr>
        <w:tc>
          <w:tcPr>
            <w:tcW w:w="2489" w:type="dxa"/>
            <w:tcBorders>
              <w:top w:val="single" w:sz="4" w:space="0" w:color="632423" w:themeColor="accent2" w:themeShade="80"/>
            </w:tcBorders>
            <w:noWrap/>
          </w:tcPr>
          <w:p w:rsidR="00A85257" w:rsidRPr="00C744DD" w:rsidRDefault="00A85257" w:rsidP="00F05234">
            <w:pPr>
              <w:pStyle w:val="TabIntestaSup"/>
            </w:pPr>
          </w:p>
        </w:tc>
        <w:tc>
          <w:tcPr>
            <w:tcW w:w="3403" w:type="dxa"/>
            <w:gridSpan w:val="6"/>
            <w:tcBorders>
              <w:top w:val="single" w:sz="4" w:space="0" w:color="632423" w:themeColor="accent2" w:themeShade="80"/>
            </w:tcBorders>
            <w:noWrap/>
          </w:tcPr>
          <w:p w:rsidR="00A85257" w:rsidRPr="00C744DD" w:rsidRDefault="00A85257" w:rsidP="00F05234">
            <w:pPr>
              <w:pStyle w:val="TabIntestaSupBordo"/>
            </w:pPr>
            <w:r>
              <w:t>Previsioni 2019</w:t>
            </w:r>
          </w:p>
        </w:tc>
        <w:tc>
          <w:tcPr>
            <w:tcW w:w="59" w:type="dxa"/>
            <w:tcBorders>
              <w:top w:val="single" w:sz="4" w:space="0" w:color="632423" w:themeColor="accent2" w:themeShade="80"/>
            </w:tcBorders>
            <w:noWrap/>
          </w:tcPr>
          <w:p w:rsidR="00A85257" w:rsidRPr="00C744DD" w:rsidRDefault="00A85257" w:rsidP="00F05234">
            <w:pPr>
              <w:pStyle w:val="TabIntestaSup"/>
            </w:pPr>
          </w:p>
        </w:tc>
        <w:tc>
          <w:tcPr>
            <w:tcW w:w="3405" w:type="dxa"/>
            <w:gridSpan w:val="6"/>
            <w:tcBorders>
              <w:top w:val="single" w:sz="4" w:space="0" w:color="632423" w:themeColor="accent2" w:themeShade="80"/>
            </w:tcBorders>
          </w:tcPr>
          <w:p w:rsidR="00A85257" w:rsidRPr="00C744DD" w:rsidRDefault="00A85257" w:rsidP="00F05234">
            <w:pPr>
              <w:pStyle w:val="TabIntestaSupBordo"/>
            </w:pPr>
            <w:r>
              <w:t>Previsioni 2020</w:t>
            </w:r>
          </w:p>
        </w:tc>
      </w:tr>
      <w:tr w:rsidR="00A85257" w:rsidRPr="00C744DD" w:rsidTr="00F05234">
        <w:trPr>
          <w:cantSplit/>
          <w:trHeight w:val="255"/>
        </w:trPr>
        <w:tc>
          <w:tcPr>
            <w:tcW w:w="2489" w:type="dxa"/>
            <w:noWrap/>
          </w:tcPr>
          <w:p w:rsidR="00A85257" w:rsidRPr="00C744DD" w:rsidRDefault="00A85257" w:rsidP="00F05234">
            <w:pPr>
              <w:pStyle w:val="TabIntestaSup"/>
            </w:pPr>
          </w:p>
        </w:tc>
        <w:tc>
          <w:tcPr>
            <w:tcW w:w="1132" w:type="dxa"/>
            <w:gridSpan w:val="2"/>
            <w:noWrap/>
          </w:tcPr>
          <w:p w:rsidR="00A85257" w:rsidRPr="00C744DD" w:rsidRDefault="00A85257" w:rsidP="00F05234">
            <w:pPr>
              <w:pStyle w:val="TabIntestaSup"/>
            </w:pPr>
            <w:r w:rsidRPr="00C744DD">
              <w:t>Fmi</w:t>
            </w:r>
          </w:p>
        </w:tc>
        <w:tc>
          <w:tcPr>
            <w:tcW w:w="1135" w:type="dxa"/>
            <w:gridSpan w:val="2"/>
            <w:noWrap/>
          </w:tcPr>
          <w:p w:rsidR="00A85257" w:rsidRPr="00C744DD" w:rsidRDefault="00A85257" w:rsidP="00F05234">
            <w:pPr>
              <w:pStyle w:val="TabIntestaSup"/>
            </w:pPr>
            <w:r w:rsidRPr="00C744DD">
              <w:t>Ocse</w:t>
            </w:r>
          </w:p>
        </w:tc>
        <w:tc>
          <w:tcPr>
            <w:tcW w:w="1136" w:type="dxa"/>
            <w:gridSpan w:val="2"/>
            <w:noWrap/>
          </w:tcPr>
          <w:p w:rsidR="00A85257" w:rsidRPr="00C744DD" w:rsidRDefault="00A85257" w:rsidP="00F05234">
            <w:pPr>
              <w:pStyle w:val="TabIntestaSup"/>
            </w:pPr>
            <w:r w:rsidRPr="00C744DD">
              <w:t>Prometeia</w:t>
            </w:r>
          </w:p>
        </w:tc>
        <w:tc>
          <w:tcPr>
            <w:tcW w:w="59" w:type="dxa"/>
            <w:noWrap/>
          </w:tcPr>
          <w:p w:rsidR="00A85257" w:rsidRPr="00C744DD" w:rsidRDefault="00A85257" w:rsidP="00F05234">
            <w:pPr>
              <w:pStyle w:val="TabIntestaSup"/>
            </w:pPr>
          </w:p>
        </w:tc>
        <w:tc>
          <w:tcPr>
            <w:tcW w:w="1135" w:type="dxa"/>
            <w:gridSpan w:val="2"/>
          </w:tcPr>
          <w:p w:rsidR="00A85257" w:rsidRPr="00C744DD" w:rsidRDefault="00A85257" w:rsidP="00F05234">
            <w:pPr>
              <w:pStyle w:val="TabIntestaSup"/>
            </w:pPr>
            <w:r w:rsidRPr="00C744DD">
              <w:t>Fmi</w:t>
            </w:r>
          </w:p>
        </w:tc>
        <w:tc>
          <w:tcPr>
            <w:tcW w:w="1135" w:type="dxa"/>
            <w:gridSpan w:val="2"/>
            <w:noWrap/>
          </w:tcPr>
          <w:p w:rsidR="00A85257" w:rsidRPr="00C744DD" w:rsidRDefault="00A85257" w:rsidP="00F05234">
            <w:pPr>
              <w:pStyle w:val="TabIntestaSup"/>
            </w:pPr>
            <w:r w:rsidRPr="00C744DD">
              <w:t>Ocse</w:t>
            </w:r>
          </w:p>
        </w:tc>
        <w:tc>
          <w:tcPr>
            <w:tcW w:w="1135" w:type="dxa"/>
            <w:gridSpan w:val="2"/>
            <w:noWrap/>
          </w:tcPr>
          <w:p w:rsidR="00A85257" w:rsidRPr="00C744DD" w:rsidRDefault="00A85257" w:rsidP="00F05234">
            <w:pPr>
              <w:pStyle w:val="TabIntestaSup"/>
            </w:pPr>
            <w:r w:rsidRPr="00C744DD">
              <w:t>Prometeia</w:t>
            </w:r>
          </w:p>
        </w:tc>
      </w:tr>
      <w:tr w:rsidR="00A85257" w:rsidTr="00F05234">
        <w:trPr>
          <w:cantSplit/>
          <w:trHeight w:val="255"/>
        </w:trPr>
        <w:tc>
          <w:tcPr>
            <w:tcW w:w="2489" w:type="dxa"/>
            <w:tcBorders>
              <w:bottom w:val="single" w:sz="4" w:space="0" w:color="632423" w:themeColor="accent2" w:themeShade="80"/>
            </w:tcBorders>
            <w:noWrap/>
          </w:tcPr>
          <w:p w:rsidR="00A85257" w:rsidRDefault="00A85257" w:rsidP="00F05234">
            <w:pPr>
              <w:pStyle w:val="TabIntestaInf"/>
            </w:pPr>
          </w:p>
        </w:tc>
        <w:tc>
          <w:tcPr>
            <w:tcW w:w="1132" w:type="dxa"/>
            <w:gridSpan w:val="2"/>
            <w:tcBorders>
              <w:bottom w:val="single" w:sz="4" w:space="0" w:color="632423" w:themeColor="accent2" w:themeShade="80"/>
            </w:tcBorders>
            <w:noWrap/>
          </w:tcPr>
          <w:p w:rsidR="00A85257" w:rsidRDefault="00A85257" w:rsidP="00F05234">
            <w:pPr>
              <w:pStyle w:val="TabIntestaInf"/>
            </w:pPr>
            <w:r>
              <w:t>apr-19</w:t>
            </w:r>
          </w:p>
        </w:tc>
        <w:tc>
          <w:tcPr>
            <w:tcW w:w="1135" w:type="dxa"/>
            <w:gridSpan w:val="2"/>
            <w:tcBorders>
              <w:bottom w:val="single" w:sz="4" w:space="0" w:color="632423" w:themeColor="accent2" w:themeShade="80"/>
            </w:tcBorders>
            <w:noWrap/>
          </w:tcPr>
          <w:p w:rsidR="00A85257" w:rsidRDefault="00A85257" w:rsidP="00F05234">
            <w:pPr>
              <w:pStyle w:val="TabIntestaInf"/>
            </w:pPr>
            <w:r>
              <w:t>mag-19 [1]</w:t>
            </w:r>
          </w:p>
        </w:tc>
        <w:tc>
          <w:tcPr>
            <w:tcW w:w="1136" w:type="dxa"/>
            <w:gridSpan w:val="2"/>
            <w:tcBorders>
              <w:bottom w:val="single" w:sz="4" w:space="0" w:color="632423" w:themeColor="accent2" w:themeShade="80"/>
            </w:tcBorders>
            <w:noWrap/>
          </w:tcPr>
          <w:p w:rsidR="00A85257" w:rsidRDefault="00A85257" w:rsidP="00F05234">
            <w:pPr>
              <w:pStyle w:val="TabIntestaInf"/>
            </w:pPr>
            <w:r>
              <w:t>lug-19 [1]</w:t>
            </w:r>
          </w:p>
        </w:tc>
        <w:tc>
          <w:tcPr>
            <w:tcW w:w="59" w:type="dxa"/>
            <w:tcBorders>
              <w:bottom w:val="single" w:sz="4" w:space="0" w:color="632423" w:themeColor="accent2" w:themeShade="80"/>
            </w:tcBorders>
            <w:noWrap/>
          </w:tcPr>
          <w:p w:rsidR="00A85257" w:rsidRDefault="00A85257" w:rsidP="00F05234">
            <w:pPr>
              <w:pStyle w:val="TabIntestaInf"/>
            </w:pPr>
          </w:p>
        </w:tc>
        <w:tc>
          <w:tcPr>
            <w:tcW w:w="1135" w:type="dxa"/>
            <w:gridSpan w:val="2"/>
            <w:tcBorders>
              <w:bottom w:val="single" w:sz="4" w:space="0" w:color="632423" w:themeColor="accent2" w:themeShade="80"/>
            </w:tcBorders>
          </w:tcPr>
          <w:p w:rsidR="00A85257" w:rsidRDefault="00A85257" w:rsidP="00F05234">
            <w:pPr>
              <w:pStyle w:val="TabIntestaInf"/>
            </w:pPr>
            <w:r>
              <w:t>apr-19</w:t>
            </w:r>
          </w:p>
        </w:tc>
        <w:tc>
          <w:tcPr>
            <w:tcW w:w="1135" w:type="dxa"/>
            <w:gridSpan w:val="2"/>
            <w:tcBorders>
              <w:bottom w:val="single" w:sz="4" w:space="0" w:color="632423" w:themeColor="accent2" w:themeShade="80"/>
            </w:tcBorders>
            <w:noWrap/>
          </w:tcPr>
          <w:p w:rsidR="00A85257" w:rsidRDefault="00A85257" w:rsidP="00F05234">
            <w:pPr>
              <w:pStyle w:val="TabIntestaInf"/>
            </w:pPr>
            <w:r>
              <w:t>mag-19 [1]</w:t>
            </w:r>
          </w:p>
        </w:tc>
        <w:tc>
          <w:tcPr>
            <w:tcW w:w="1135" w:type="dxa"/>
            <w:gridSpan w:val="2"/>
            <w:tcBorders>
              <w:bottom w:val="single" w:sz="4" w:space="0" w:color="632423" w:themeColor="accent2" w:themeShade="80"/>
            </w:tcBorders>
            <w:noWrap/>
          </w:tcPr>
          <w:p w:rsidR="00A85257" w:rsidRDefault="00A85257" w:rsidP="00F05234">
            <w:pPr>
              <w:pStyle w:val="TabIntestaInf"/>
            </w:pPr>
            <w:r>
              <w:t>lug-19 [1]</w:t>
            </w:r>
          </w:p>
        </w:tc>
      </w:tr>
      <w:tr w:rsidR="00A85257" w:rsidTr="00F05234">
        <w:trPr>
          <w:cantSplit/>
          <w:trHeight w:hRule="exact" w:val="113"/>
        </w:trPr>
        <w:tc>
          <w:tcPr>
            <w:tcW w:w="2489" w:type="dxa"/>
            <w:tcBorders>
              <w:top w:val="single" w:sz="4" w:space="0" w:color="632423" w:themeColor="accent2" w:themeShade="80"/>
            </w:tcBorders>
            <w:noWrap/>
          </w:tcPr>
          <w:p w:rsidR="00A85257" w:rsidRDefault="00A85257" w:rsidP="00F05234">
            <w:pPr>
              <w:pStyle w:val="TabEtichette"/>
            </w:pPr>
          </w:p>
        </w:tc>
        <w:tc>
          <w:tcPr>
            <w:tcW w:w="849" w:type="dxa"/>
            <w:tcBorders>
              <w:top w:val="single" w:sz="4" w:space="0" w:color="632423" w:themeColor="accent2" w:themeShade="80"/>
            </w:tcBorders>
            <w:noWrap/>
          </w:tcPr>
          <w:p w:rsidR="00A85257" w:rsidRDefault="00A85257" w:rsidP="00F05234">
            <w:pPr>
              <w:pStyle w:val="TabNumeri"/>
            </w:pPr>
          </w:p>
        </w:tc>
        <w:tc>
          <w:tcPr>
            <w:tcW w:w="283" w:type="dxa"/>
            <w:tcBorders>
              <w:top w:val="single" w:sz="4" w:space="0" w:color="632423" w:themeColor="accent2" w:themeShade="80"/>
            </w:tcBorders>
            <w:noWrap/>
          </w:tcPr>
          <w:p w:rsidR="00A85257" w:rsidRDefault="00A85257" w:rsidP="00F05234">
            <w:pPr>
              <w:pStyle w:val="TabNumeri"/>
            </w:pPr>
          </w:p>
        </w:tc>
        <w:tc>
          <w:tcPr>
            <w:tcW w:w="851" w:type="dxa"/>
            <w:tcBorders>
              <w:top w:val="single" w:sz="4" w:space="0" w:color="632423" w:themeColor="accent2" w:themeShade="80"/>
            </w:tcBorders>
            <w:noWrap/>
          </w:tcPr>
          <w:p w:rsidR="00A85257" w:rsidRDefault="00A85257" w:rsidP="00F05234">
            <w:pPr>
              <w:pStyle w:val="TabNumeri"/>
            </w:pPr>
          </w:p>
        </w:tc>
        <w:tc>
          <w:tcPr>
            <w:tcW w:w="284" w:type="dxa"/>
            <w:tcBorders>
              <w:top w:val="single" w:sz="4" w:space="0" w:color="632423" w:themeColor="accent2" w:themeShade="80"/>
            </w:tcBorders>
            <w:noWrap/>
          </w:tcPr>
          <w:p w:rsidR="00A85257" w:rsidRDefault="00A85257" w:rsidP="00F05234">
            <w:pPr>
              <w:pStyle w:val="TabNumeri"/>
            </w:pPr>
          </w:p>
        </w:tc>
        <w:tc>
          <w:tcPr>
            <w:tcW w:w="851" w:type="dxa"/>
            <w:tcBorders>
              <w:top w:val="single" w:sz="4" w:space="0" w:color="632423" w:themeColor="accent2" w:themeShade="80"/>
            </w:tcBorders>
            <w:noWrap/>
          </w:tcPr>
          <w:p w:rsidR="00A85257" w:rsidRDefault="00A85257" w:rsidP="00F05234">
            <w:pPr>
              <w:pStyle w:val="TabNumeri"/>
            </w:pPr>
          </w:p>
        </w:tc>
        <w:tc>
          <w:tcPr>
            <w:tcW w:w="285" w:type="dxa"/>
            <w:tcBorders>
              <w:top w:val="single" w:sz="4" w:space="0" w:color="632423" w:themeColor="accent2" w:themeShade="80"/>
            </w:tcBorders>
          </w:tcPr>
          <w:p w:rsidR="00A85257" w:rsidRDefault="00A85257" w:rsidP="00F05234">
            <w:pPr>
              <w:pStyle w:val="TabNumeri"/>
            </w:pPr>
          </w:p>
        </w:tc>
        <w:tc>
          <w:tcPr>
            <w:tcW w:w="59" w:type="dxa"/>
            <w:tcBorders>
              <w:top w:val="single" w:sz="4" w:space="0" w:color="632423" w:themeColor="accent2" w:themeShade="80"/>
            </w:tcBorders>
            <w:noWrap/>
          </w:tcPr>
          <w:p w:rsidR="00A85257" w:rsidRDefault="00A85257" w:rsidP="00F05234">
            <w:pPr>
              <w:pStyle w:val="TabNumeri"/>
            </w:pPr>
          </w:p>
        </w:tc>
        <w:tc>
          <w:tcPr>
            <w:tcW w:w="851" w:type="dxa"/>
            <w:tcBorders>
              <w:top w:val="single" w:sz="4" w:space="0" w:color="632423" w:themeColor="accent2" w:themeShade="80"/>
            </w:tcBorders>
          </w:tcPr>
          <w:p w:rsidR="00A85257" w:rsidRDefault="00A85257" w:rsidP="00F05234">
            <w:pPr>
              <w:pStyle w:val="TabNumeri"/>
            </w:pPr>
          </w:p>
        </w:tc>
        <w:tc>
          <w:tcPr>
            <w:tcW w:w="284" w:type="dxa"/>
            <w:tcBorders>
              <w:top w:val="single" w:sz="4" w:space="0" w:color="632423" w:themeColor="accent2" w:themeShade="80"/>
            </w:tcBorders>
            <w:noWrap/>
          </w:tcPr>
          <w:p w:rsidR="00A85257" w:rsidRDefault="00A85257" w:rsidP="00F05234">
            <w:pPr>
              <w:pStyle w:val="TabNumeri"/>
            </w:pPr>
          </w:p>
        </w:tc>
        <w:tc>
          <w:tcPr>
            <w:tcW w:w="851" w:type="dxa"/>
            <w:tcBorders>
              <w:top w:val="single" w:sz="4" w:space="0" w:color="632423" w:themeColor="accent2" w:themeShade="80"/>
            </w:tcBorders>
            <w:noWrap/>
          </w:tcPr>
          <w:p w:rsidR="00A85257" w:rsidRDefault="00A85257" w:rsidP="00F05234">
            <w:pPr>
              <w:pStyle w:val="TabNumeri"/>
            </w:pPr>
          </w:p>
        </w:tc>
        <w:tc>
          <w:tcPr>
            <w:tcW w:w="284" w:type="dxa"/>
            <w:tcBorders>
              <w:top w:val="single" w:sz="4" w:space="0" w:color="632423" w:themeColor="accent2" w:themeShade="80"/>
            </w:tcBorders>
            <w:noWrap/>
          </w:tcPr>
          <w:p w:rsidR="00A85257" w:rsidRDefault="00A85257" w:rsidP="00F05234">
            <w:pPr>
              <w:pStyle w:val="TabNumeri"/>
            </w:pPr>
          </w:p>
        </w:tc>
        <w:tc>
          <w:tcPr>
            <w:tcW w:w="851" w:type="dxa"/>
            <w:tcBorders>
              <w:top w:val="single" w:sz="4" w:space="0" w:color="632423" w:themeColor="accent2" w:themeShade="80"/>
            </w:tcBorders>
            <w:noWrap/>
          </w:tcPr>
          <w:p w:rsidR="00A85257" w:rsidRDefault="00A85257" w:rsidP="00F05234">
            <w:pPr>
              <w:pStyle w:val="TabNumeri"/>
            </w:pPr>
          </w:p>
        </w:tc>
        <w:tc>
          <w:tcPr>
            <w:tcW w:w="284" w:type="dxa"/>
            <w:tcBorders>
              <w:top w:val="single" w:sz="4" w:space="0" w:color="632423" w:themeColor="accent2" w:themeShade="80"/>
            </w:tcBorders>
            <w:noWrap/>
          </w:tcPr>
          <w:p w:rsidR="00A85257"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Prodotto interno lordo</w:t>
            </w:r>
          </w:p>
        </w:tc>
        <w:tc>
          <w:tcPr>
            <w:tcW w:w="849" w:type="dxa"/>
            <w:noWrap/>
          </w:tcPr>
          <w:p w:rsidR="00A85257" w:rsidRPr="00A1339D" w:rsidRDefault="00A85257" w:rsidP="00F05234">
            <w:pPr>
              <w:pStyle w:val="TabNumeri"/>
            </w:pPr>
            <w:r w:rsidRPr="00A1339D">
              <w:t>0,1</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0,0</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0,1</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0,9</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0,6</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0,5</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Importazioni</w:t>
            </w:r>
          </w:p>
        </w:tc>
        <w:tc>
          <w:tcPr>
            <w:tcW w:w="849" w:type="dxa"/>
            <w:shd w:val="clear" w:color="auto" w:fill="EAF1DD" w:themeFill="accent3" w:themeFillTint="33"/>
            <w:noWrap/>
          </w:tcPr>
          <w:p w:rsidR="00A85257" w:rsidRPr="00A1339D" w:rsidRDefault="00A85257" w:rsidP="00F05234">
            <w:pPr>
              <w:pStyle w:val="TabNumeri"/>
            </w:pPr>
            <w:r w:rsidRPr="00A1339D">
              <w:t>2,0</w:t>
            </w:r>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1,1</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1,1</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3,2</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2,6</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2,9</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Esportazioni</w:t>
            </w:r>
          </w:p>
        </w:tc>
        <w:tc>
          <w:tcPr>
            <w:tcW w:w="849" w:type="dxa"/>
            <w:noWrap/>
          </w:tcPr>
          <w:p w:rsidR="00A85257" w:rsidRPr="00A1339D" w:rsidRDefault="00A85257" w:rsidP="00F05234">
            <w:pPr>
              <w:pStyle w:val="TabNumeri"/>
            </w:pPr>
            <w:r w:rsidRPr="00A1339D">
              <w:t>2,6</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1,8</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2,2</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2,8</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2,3</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1,4</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Domanda interna</w:t>
            </w:r>
          </w:p>
        </w:tc>
        <w:tc>
          <w:tcPr>
            <w:tcW w:w="849" w:type="dxa"/>
            <w:shd w:val="clear" w:color="auto" w:fill="EAF1DD" w:themeFill="accent3" w:themeFillTint="33"/>
            <w:noWrap/>
          </w:tcPr>
          <w:p w:rsidR="00A85257" w:rsidRPr="00A1339D" w:rsidRDefault="00A85257" w:rsidP="00F05234">
            <w:pPr>
              <w:pStyle w:val="TabNumeri"/>
            </w:pPr>
            <w:r w:rsidRPr="00A1339D">
              <w:t>-0,2</w:t>
            </w:r>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-0,2</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-0,3</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1,0</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0,6</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1,0</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 xml:space="preserve">Consumi </w:t>
            </w:r>
            <w:r>
              <w:t xml:space="preserve">delle </w:t>
            </w:r>
            <w:r w:rsidRPr="00233F5C">
              <w:t>famiglie</w:t>
            </w:r>
          </w:p>
        </w:tc>
        <w:tc>
          <w:tcPr>
            <w:tcW w:w="849" w:type="dxa"/>
            <w:noWrap/>
          </w:tcPr>
          <w:p w:rsidR="00A85257" w:rsidRPr="00A1339D" w:rsidRDefault="00A85257" w:rsidP="00F05234">
            <w:pPr>
              <w:pStyle w:val="TabNumeri"/>
            </w:pPr>
            <w:r w:rsidRPr="00A1339D">
              <w:t>0,3</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0,4</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0,5</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1,0</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0,5</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0,8</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Consumi collettivi</w:t>
            </w:r>
          </w:p>
        </w:tc>
        <w:tc>
          <w:tcPr>
            <w:tcW w:w="849" w:type="dxa"/>
            <w:shd w:val="clear" w:color="auto" w:fill="EAF1DD" w:themeFill="accent3" w:themeFillTint="33"/>
            <w:noWrap/>
          </w:tcPr>
          <w:p w:rsidR="00A85257" w:rsidRPr="00A1339D" w:rsidRDefault="00A85257" w:rsidP="00F05234">
            <w:pPr>
              <w:pStyle w:val="TabNumeri"/>
            </w:pPr>
            <w:r w:rsidRPr="00A1339D">
              <w:t>-0,4</w:t>
            </w:r>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-0,2</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0,0</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0,8</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0,4</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-0,1</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Investimenti fissi lordi</w:t>
            </w:r>
          </w:p>
        </w:tc>
        <w:tc>
          <w:tcPr>
            <w:tcW w:w="849" w:type="dxa"/>
            <w:noWrap/>
          </w:tcPr>
          <w:p w:rsidR="00A85257" w:rsidRPr="00A1339D" w:rsidRDefault="00A85257" w:rsidP="00F05234">
            <w:pPr>
              <w:pStyle w:val="TabNumeri"/>
            </w:pPr>
            <w:r w:rsidRPr="00A1339D">
              <w:t>-1,0</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-0,2</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0,6</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0,8</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0,9</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1,5</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849" w:type="dxa"/>
            <w:shd w:val="clear" w:color="auto" w:fill="EAF1DD" w:themeFill="accent3" w:themeFillTint="33"/>
            <w:noWrap/>
          </w:tcPr>
          <w:p w:rsidR="00A85257" w:rsidRPr="00A1339D" w:rsidRDefault="00A85257" w:rsidP="00F05234">
            <w:pPr>
              <w:pStyle w:val="TabNumeri"/>
            </w:pPr>
            <w:proofErr w:type="spellStart"/>
            <w:r w:rsidRPr="00A1339D">
              <w:t>n.d.</w:t>
            </w:r>
            <w:proofErr w:type="spellEnd"/>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proofErr w:type="spellStart"/>
            <w:r w:rsidRPr="00A1339D">
              <w:t>n.d.</w:t>
            </w:r>
            <w:proofErr w:type="spellEnd"/>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-1,7</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proofErr w:type="spellStart"/>
            <w:r w:rsidRPr="00A1339D">
              <w:t>n.d.</w:t>
            </w:r>
            <w:proofErr w:type="spellEnd"/>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proofErr w:type="spellStart"/>
            <w:r w:rsidRPr="00A1339D">
              <w:t>n.d.</w:t>
            </w:r>
            <w:proofErr w:type="spellEnd"/>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0,9</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 costruzioni</w:t>
            </w:r>
          </w:p>
        </w:tc>
        <w:tc>
          <w:tcPr>
            <w:tcW w:w="849" w:type="dxa"/>
            <w:noWrap/>
          </w:tcPr>
          <w:p w:rsidR="00A85257" w:rsidRPr="00A1339D" w:rsidRDefault="00A85257" w:rsidP="00F05234">
            <w:pPr>
              <w:pStyle w:val="TabNumeri"/>
            </w:pPr>
            <w:proofErr w:type="spellStart"/>
            <w:r w:rsidRPr="00A1339D">
              <w:t>n.d.</w:t>
            </w:r>
            <w:proofErr w:type="spellEnd"/>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proofErr w:type="spellStart"/>
            <w:r w:rsidRPr="00A1339D">
              <w:t>n.d.</w:t>
            </w:r>
            <w:proofErr w:type="spellEnd"/>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3,5</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proofErr w:type="spellStart"/>
            <w:r w:rsidRPr="00A1339D">
              <w:t>n.d.</w:t>
            </w:r>
            <w:proofErr w:type="spellEnd"/>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proofErr w:type="spellStart"/>
            <w:r w:rsidRPr="00A1339D">
              <w:t>n.d.</w:t>
            </w:r>
            <w:proofErr w:type="spellEnd"/>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2,2</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t>Occupazione</w:t>
            </w:r>
          </w:p>
        </w:tc>
        <w:tc>
          <w:tcPr>
            <w:tcW w:w="849" w:type="dxa"/>
            <w:shd w:val="clear" w:color="auto" w:fill="EAF1DD" w:themeFill="accent3" w:themeFillTint="33"/>
            <w:noWrap/>
          </w:tcPr>
          <w:p w:rsidR="00A85257" w:rsidRPr="00A1339D" w:rsidRDefault="00A85257" w:rsidP="00F05234">
            <w:pPr>
              <w:pStyle w:val="TabNumeri"/>
            </w:pPr>
            <w:r w:rsidRPr="00A1339D">
              <w:t>0,2</w:t>
            </w:r>
          </w:p>
        </w:tc>
        <w:tc>
          <w:tcPr>
            <w:tcW w:w="283" w:type="dxa"/>
            <w:shd w:val="clear" w:color="auto" w:fill="EAF1DD" w:themeFill="accent3" w:themeFillTint="33"/>
            <w:noWrap/>
          </w:tcPr>
          <w:p w:rsidR="00A85257" w:rsidRPr="00A1339D" w:rsidRDefault="00A85257" w:rsidP="00F05234">
            <w:pPr>
              <w:pStyle w:val="TabNumeri"/>
            </w:pPr>
            <w:r w:rsidRPr="00A1339D">
              <w:t>[3]</w:t>
            </w:r>
          </w:p>
        </w:tc>
        <w:tc>
          <w:tcPr>
            <w:tcW w:w="851" w:type="dxa"/>
            <w:shd w:val="clear" w:color="auto" w:fill="EAF1DD" w:themeFill="accent3" w:themeFillTint="33"/>
            <w:noWrap/>
          </w:tcPr>
          <w:p w:rsidR="00A85257" w:rsidRPr="00A1339D" w:rsidRDefault="00A85257" w:rsidP="00F05234">
            <w:pPr>
              <w:pStyle w:val="TabNumeri"/>
            </w:pPr>
            <w:r w:rsidRPr="00A1339D">
              <w:t>0,1</w:t>
            </w:r>
          </w:p>
        </w:tc>
        <w:tc>
          <w:tcPr>
            <w:tcW w:w="284" w:type="dxa"/>
            <w:shd w:val="clear" w:color="auto" w:fill="EAF1DD" w:themeFill="accent3" w:themeFillTint="33"/>
            <w:noWrap/>
          </w:tcPr>
          <w:p w:rsidR="00A85257" w:rsidRPr="00A1339D" w:rsidRDefault="00A85257" w:rsidP="00F05234">
            <w:pPr>
              <w:pStyle w:val="TabNumeri"/>
            </w:pPr>
            <w:r w:rsidRPr="00A1339D">
              <w:t>[3]</w:t>
            </w:r>
          </w:p>
        </w:tc>
        <w:tc>
          <w:tcPr>
            <w:tcW w:w="851" w:type="dxa"/>
            <w:shd w:val="clear" w:color="auto" w:fill="EAF1DD" w:themeFill="accent3" w:themeFillTint="33"/>
            <w:noWrap/>
          </w:tcPr>
          <w:p w:rsidR="00A85257" w:rsidRPr="00A1339D" w:rsidRDefault="00A85257" w:rsidP="00F05234">
            <w:pPr>
              <w:pStyle w:val="TabNumeri"/>
            </w:pPr>
            <w:r w:rsidRPr="00A1339D">
              <w:t>0,5</w:t>
            </w:r>
          </w:p>
        </w:tc>
        <w:tc>
          <w:tcPr>
            <w:tcW w:w="285" w:type="dxa"/>
            <w:shd w:val="clear" w:color="auto" w:fill="EAF1DD" w:themeFill="accent3" w:themeFillTint="33"/>
          </w:tcPr>
          <w:p w:rsidR="00A85257" w:rsidRPr="00A1339D" w:rsidRDefault="00A85257" w:rsidP="00F05234">
            <w:pPr>
              <w:pStyle w:val="TabNumeri"/>
            </w:pPr>
            <w:r w:rsidRPr="00A1339D">
              <w:t>[4]</w:t>
            </w: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0,5</w:t>
            </w:r>
          </w:p>
        </w:tc>
        <w:tc>
          <w:tcPr>
            <w:tcW w:w="284" w:type="dxa"/>
            <w:shd w:val="clear" w:color="auto" w:fill="EAF1DD" w:themeFill="accent3" w:themeFillTint="33"/>
            <w:noWrap/>
          </w:tcPr>
          <w:p w:rsidR="00A85257" w:rsidRPr="00A1339D" w:rsidRDefault="00A85257" w:rsidP="00F05234">
            <w:pPr>
              <w:pStyle w:val="TabNumeri"/>
            </w:pPr>
            <w:r w:rsidRPr="00A1339D">
              <w:t>[3]</w:t>
            </w:r>
          </w:p>
        </w:tc>
        <w:tc>
          <w:tcPr>
            <w:tcW w:w="851" w:type="dxa"/>
            <w:shd w:val="clear" w:color="auto" w:fill="EAF1DD" w:themeFill="accent3" w:themeFillTint="33"/>
            <w:noWrap/>
          </w:tcPr>
          <w:p w:rsidR="00A85257" w:rsidRPr="00A1339D" w:rsidRDefault="00A85257" w:rsidP="00F05234">
            <w:pPr>
              <w:pStyle w:val="TabNumeri"/>
            </w:pPr>
            <w:r w:rsidRPr="00A1339D">
              <w:t>0,2</w:t>
            </w:r>
          </w:p>
        </w:tc>
        <w:tc>
          <w:tcPr>
            <w:tcW w:w="284" w:type="dxa"/>
            <w:shd w:val="clear" w:color="auto" w:fill="EAF1DD" w:themeFill="accent3" w:themeFillTint="33"/>
            <w:noWrap/>
          </w:tcPr>
          <w:p w:rsidR="00A85257" w:rsidRPr="00A1339D" w:rsidRDefault="00A85257" w:rsidP="00F05234">
            <w:pPr>
              <w:pStyle w:val="TabNumeri"/>
            </w:pPr>
            <w:r w:rsidRPr="00A1339D">
              <w:t>[3]</w:t>
            </w:r>
          </w:p>
        </w:tc>
        <w:tc>
          <w:tcPr>
            <w:tcW w:w="851" w:type="dxa"/>
            <w:shd w:val="clear" w:color="auto" w:fill="EAF1DD" w:themeFill="accent3" w:themeFillTint="33"/>
            <w:noWrap/>
          </w:tcPr>
          <w:p w:rsidR="00A85257" w:rsidRPr="00A1339D" w:rsidRDefault="00A85257" w:rsidP="00F05234">
            <w:pPr>
              <w:pStyle w:val="TabNumeri"/>
            </w:pPr>
            <w:r w:rsidRPr="00A1339D">
              <w:t>0,1</w:t>
            </w:r>
          </w:p>
        </w:tc>
        <w:tc>
          <w:tcPr>
            <w:tcW w:w="284" w:type="dxa"/>
            <w:shd w:val="clear" w:color="auto" w:fill="EAF1DD" w:themeFill="accent3" w:themeFillTint="33"/>
            <w:noWrap/>
          </w:tcPr>
          <w:p w:rsidR="00A85257" w:rsidRPr="00A1339D" w:rsidRDefault="00A85257" w:rsidP="00F05234">
            <w:pPr>
              <w:pStyle w:val="TabNumeri"/>
            </w:pPr>
            <w:r w:rsidRPr="00A1339D">
              <w:t>[4]</w:t>
            </w:r>
          </w:p>
        </w:tc>
      </w:tr>
      <w:tr w:rsidR="00A85257" w:rsidTr="00F05234">
        <w:trPr>
          <w:cantSplit/>
          <w:trHeight w:val="255"/>
        </w:trPr>
        <w:tc>
          <w:tcPr>
            <w:tcW w:w="2489" w:type="dxa"/>
            <w:noWrap/>
          </w:tcPr>
          <w:p w:rsidR="00A85257" w:rsidRPr="00233F5C" w:rsidRDefault="00A85257" w:rsidP="00F05234">
            <w:pPr>
              <w:pStyle w:val="TabEtichette"/>
            </w:pPr>
            <w:r w:rsidRPr="00233F5C">
              <w:t>Disoccupazione [</w:t>
            </w:r>
            <w:r>
              <w:t>a</w:t>
            </w:r>
            <w:r w:rsidRPr="00233F5C">
              <w:t>]</w:t>
            </w:r>
          </w:p>
        </w:tc>
        <w:tc>
          <w:tcPr>
            <w:tcW w:w="849" w:type="dxa"/>
            <w:noWrap/>
          </w:tcPr>
          <w:p w:rsidR="00A85257" w:rsidRPr="00A1339D" w:rsidRDefault="00A85257" w:rsidP="00F05234">
            <w:pPr>
              <w:pStyle w:val="TabNumeri"/>
            </w:pPr>
            <w:r w:rsidRPr="00A1339D">
              <w:t>10,7</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11,7</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10,3</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10,5</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12,3</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10,2</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Prezzi al consumo</w:t>
            </w:r>
          </w:p>
        </w:tc>
        <w:tc>
          <w:tcPr>
            <w:tcW w:w="849" w:type="dxa"/>
            <w:shd w:val="clear" w:color="auto" w:fill="EAF1DD" w:themeFill="accent3" w:themeFillTint="33"/>
            <w:noWrap/>
          </w:tcPr>
          <w:p w:rsidR="00A85257" w:rsidRPr="00A1339D" w:rsidRDefault="00A85257" w:rsidP="00F05234">
            <w:pPr>
              <w:pStyle w:val="TabNumeri"/>
            </w:pPr>
            <w:r w:rsidRPr="00A1339D">
              <w:t>0,8</w:t>
            </w:r>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0,6</w:t>
            </w:r>
          </w:p>
        </w:tc>
        <w:tc>
          <w:tcPr>
            <w:tcW w:w="284" w:type="dxa"/>
            <w:shd w:val="clear" w:color="auto" w:fill="EAF1DD" w:themeFill="accent3" w:themeFillTint="33"/>
            <w:noWrap/>
          </w:tcPr>
          <w:p w:rsidR="00A85257" w:rsidRPr="00A1339D" w:rsidRDefault="00A85257" w:rsidP="00F05234">
            <w:pPr>
              <w:pStyle w:val="TabNumeri"/>
            </w:pPr>
            <w:r w:rsidRPr="00A1339D">
              <w:t>[5]</w:t>
            </w:r>
          </w:p>
        </w:tc>
        <w:tc>
          <w:tcPr>
            <w:tcW w:w="851" w:type="dxa"/>
            <w:shd w:val="clear" w:color="auto" w:fill="EAF1DD" w:themeFill="accent3" w:themeFillTint="33"/>
            <w:noWrap/>
          </w:tcPr>
          <w:p w:rsidR="00A85257" w:rsidRPr="00A1339D" w:rsidRDefault="00A85257" w:rsidP="00F05234">
            <w:pPr>
              <w:pStyle w:val="TabNumeri"/>
            </w:pPr>
            <w:r w:rsidRPr="00A1339D">
              <w:t>0,5</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1,2</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1,0</w:t>
            </w:r>
          </w:p>
        </w:tc>
        <w:tc>
          <w:tcPr>
            <w:tcW w:w="284" w:type="dxa"/>
            <w:shd w:val="clear" w:color="auto" w:fill="EAF1DD" w:themeFill="accent3" w:themeFillTint="33"/>
            <w:noWrap/>
          </w:tcPr>
          <w:p w:rsidR="00A85257" w:rsidRPr="00A1339D" w:rsidRDefault="00A85257" w:rsidP="00F05234">
            <w:pPr>
              <w:pStyle w:val="TabNumeri"/>
            </w:pPr>
            <w:r w:rsidRPr="00A1339D">
              <w:t>[5]</w:t>
            </w:r>
          </w:p>
        </w:tc>
        <w:tc>
          <w:tcPr>
            <w:tcW w:w="851" w:type="dxa"/>
            <w:shd w:val="clear" w:color="auto" w:fill="EAF1DD" w:themeFill="accent3" w:themeFillTint="33"/>
            <w:noWrap/>
          </w:tcPr>
          <w:p w:rsidR="00A85257" w:rsidRPr="00A1339D" w:rsidRDefault="00A85257" w:rsidP="00F05234">
            <w:pPr>
              <w:pStyle w:val="TabNumeri"/>
            </w:pPr>
            <w:r w:rsidRPr="00A1339D">
              <w:t>0,9</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849" w:type="dxa"/>
            <w:noWrap/>
          </w:tcPr>
          <w:p w:rsidR="00A85257" w:rsidRPr="00A1339D" w:rsidRDefault="00A85257" w:rsidP="00F05234">
            <w:pPr>
              <w:pStyle w:val="TabNumeri"/>
            </w:pPr>
            <w:r w:rsidRPr="00A1339D">
              <w:t>2,9</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2,6</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2,9</w:t>
            </w:r>
          </w:p>
        </w:tc>
        <w:tc>
          <w:tcPr>
            <w:tcW w:w="285" w:type="dxa"/>
          </w:tcPr>
          <w:p w:rsidR="00A85257" w:rsidRPr="00A1339D" w:rsidRDefault="00A85257" w:rsidP="00F05234">
            <w:pPr>
              <w:pStyle w:val="TabNumeri"/>
            </w:pPr>
            <w:r w:rsidRPr="00A1339D">
              <w:t>[6]</w:t>
            </w: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2,6</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2,5</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3,2</w:t>
            </w:r>
          </w:p>
        </w:tc>
        <w:tc>
          <w:tcPr>
            <w:tcW w:w="284" w:type="dxa"/>
            <w:noWrap/>
          </w:tcPr>
          <w:p w:rsidR="00A85257" w:rsidRPr="00A1339D" w:rsidRDefault="00A85257" w:rsidP="00F05234">
            <w:pPr>
              <w:pStyle w:val="TabNumeri"/>
            </w:pPr>
            <w:r w:rsidRPr="00A1339D">
              <w:t>[6]</w:t>
            </w:r>
          </w:p>
        </w:tc>
      </w:tr>
      <w:tr w:rsidR="00A85257" w:rsidTr="00F05234">
        <w:trPr>
          <w:cantSplit/>
          <w:trHeight w:val="255"/>
        </w:trPr>
        <w:tc>
          <w:tcPr>
            <w:tcW w:w="2489" w:type="dxa"/>
            <w:shd w:val="clear" w:color="auto" w:fill="EAF1DD" w:themeFill="accent3" w:themeFillTint="33"/>
            <w:noWrap/>
          </w:tcPr>
          <w:p w:rsidR="00A85257" w:rsidRPr="00233F5C" w:rsidRDefault="00A85257" w:rsidP="00F05234">
            <w:pPr>
              <w:pStyle w:val="TabEtichette"/>
            </w:pPr>
            <w:r w:rsidRPr="00233F5C">
              <w:t>Avanzo primario [</w:t>
            </w:r>
            <w:r>
              <w:t>b</w:t>
            </w:r>
            <w:r w:rsidRPr="00233F5C">
              <w:t>]</w:t>
            </w:r>
          </w:p>
        </w:tc>
        <w:tc>
          <w:tcPr>
            <w:tcW w:w="849" w:type="dxa"/>
            <w:shd w:val="clear" w:color="auto" w:fill="EAF1DD" w:themeFill="accent3" w:themeFillTint="33"/>
            <w:noWrap/>
          </w:tcPr>
          <w:p w:rsidR="00A85257" w:rsidRPr="00A1339D" w:rsidRDefault="00A85257" w:rsidP="00F05234">
            <w:pPr>
              <w:pStyle w:val="TabNumeri"/>
            </w:pPr>
            <w:r w:rsidRPr="00A1339D">
              <w:t>0,9</w:t>
            </w:r>
          </w:p>
        </w:tc>
        <w:tc>
          <w:tcPr>
            <w:tcW w:w="283"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1,1</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1,5</w:t>
            </w:r>
          </w:p>
        </w:tc>
        <w:tc>
          <w:tcPr>
            <w:tcW w:w="285" w:type="dxa"/>
            <w:shd w:val="clear" w:color="auto" w:fill="EAF1DD" w:themeFill="accent3" w:themeFillTint="33"/>
          </w:tcPr>
          <w:p w:rsidR="00A85257" w:rsidRPr="00A1339D" w:rsidRDefault="00A85257" w:rsidP="00F05234">
            <w:pPr>
              <w:pStyle w:val="TabNumeri"/>
            </w:pPr>
          </w:p>
        </w:tc>
        <w:tc>
          <w:tcPr>
            <w:tcW w:w="59"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tcPr>
          <w:p w:rsidR="00A85257" w:rsidRPr="00A1339D" w:rsidRDefault="00A85257" w:rsidP="00F05234">
            <w:pPr>
              <w:pStyle w:val="TabNumeri"/>
            </w:pPr>
            <w:r w:rsidRPr="00A1339D">
              <w:t>0,3</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0,7</w:t>
            </w:r>
          </w:p>
        </w:tc>
        <w:tc>
          <w:tcPr>
            <w:tcW w:w="284" w:type="dxa"/>
            <w:shd w:val="clear" w:color="auto" w:fill="EAF1DD" w:themeFill="accent3" w:themeFillTint="33"/>
            <w:noWrap/>
          </w:tcPr>
          <w:p w:rsidR="00A85257" w:rsidRPr="00A1339D" w:rsidRDefault="00A85257" w:rsidP="00F05234">
            <w:pPr>
              <w:pStyle w:val="TabNumeri"/>
            </w:pPr>
          </w:p>
        </w:tc>
        <w:tc>
          <w:tcPr>
            <w:tcW w:w="851" w:type="dxa"/>
            <w:shd w:val="clear" w:color="auto" w:fill="EAF1DD" w:themeFill="accent3" w:themeFillTint="33"/>
            <w:noWrap/>
          </w:tcPr>
          <w:p w:rsidR="00A85257" w:rsidRPr="00A1339D" w:rsidRDefault="00A85257" w:rsidP="00F05234">
            <w:pPr>
              <w:pStyle w:val="TabNumeri"/>
            </w:pPr>
            <w:r w:rsidRPr="00A1339D">
              <w:t>1,2</w:t>
            </w:r>
          </w:p>
        </w:tc>
        <w:tc>
          <w:tcPr>
            <w:tcW w:w="284" w:type="dxa"/>
            <w:shd w:val="clear" w:color="auto" w:fill="EAF1DD" w:themeFill="accent3" w:themeFillTint="33"/>
            <w:noWrap/>
          </w:tcPr>
          <w:p w:rsidR="00A85257" w:rsidRPr="00A1339D" w:rsidRDefault="00A85257" w:rsidP="00F05234">
            <w:pPr>
              <w:pStyle w:val="TabNumeri"/>
            </w:pPr>
          </w:p>
        </w:tc>
      </w:tr>
      <w:tr w:rsidR="00A85257" w:rsidTr="00F05234">
        <w:trPr>
          <w:cantSplit/>
          <w:trHeight w:val="255"/>
        </w:trPr>
        <w:tc>
          <w:tcPr>
            <w:tcW w:w="2489" w:type="dxa"/>
            <w:noWrap/>
          </w:tcPr>
          <w:p w:rsidR="00A85257" w:rsidRPr="00233F5C" w:rsidRDefault="00A85257" w:rsidP="00F05234">
            <w:pPr>
              <w:pStyle w:val="TabEtichette"/>
            </w:pPr>
            <w:r w:rsidRPr="00233F5C">
              <w:t>Ind</w:t>
            </w:r>
            <w:r>
              <w:t>ebitamento A. P. [b</w:t>
            </w:r>
            <w:r w:rsidRPr="00233F5C">
              <w:t>]</w:t>
            </w:r>
          </w:p>
        </w:tc>
        <w:tc>
          <w:tcPr>
            <w:tcW w:w="849" w:type="dxa"/>
            <w:noWrap/>
          </w:tcPr>
          <w:p w:rsidR="00A85257" w:rsidRPr="00A1339D" w:rsidRDefault="00A85257" w:rsidP="00F05234">
            <w:pPr>
              <w:pStyle w:val="TabNumeri"/>
            </w:pPr>
            <w:r w:rsidRPr="00A1339D">
              <w:t>2,7</w:t>
            </w:r>
          </w:p>
        </w:tc>
        <w:tc>
          <w:tcPr>
            <w:tcW w:w="283"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2,4</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2,2</w:t>
            </w:r>
          </w:p>
        </w:tc>
        <w:tc>
          <w:tcPr>
            <w:tcW w:w="285" w:type="dxa"/>
          </w:tcPr>
          <w:p w:rsidR="00A85257" w:rsidRPr="00A1339D" w:rsidRDefault="00A85257" w:rsidP="00F05234">
            <w:pPr>
              <w:pStyle w:val="TabNumeri"/>
            </w:pPr>
          </w:p>
        </w:tc>
        <w:tc>
          <w:tcPr>
            <w:tcW w:w="59" w:type="dxa"/>
            <w:noWrap/>
          </w:tcPr>
          <w:p w:rsidR="00A85257" w:rsidRPr="00A1339D" w:rsidRDefault="00A85257" w:rsidP="00F05234">
            <w:pPr>
              <w:pStyle w:val="TabNumeri"/>
            </w:pPr>
          </w:p>
        </w:tc>
        <w:tc>
          <w:tcPr>
            <w:tcW w:w="851" w:type="dxa"/>
          </w:tcPr>
          <w:p w:rsidR="00A85257" w:rsidRPr="00A1339D" w:rsidRDefault="00A85257" w:rsidP="00F05234">
            <w:pPr>
              <w:pStyle w:val="TabNumeri"/>
            </w:pPr>
            <w:r w:rsidRPr="00A1339D">
              <w:t>3,4</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2,9</w:t>
            </w:r>
          </w:p>
        </w:tc>
        <w:tc>
          <w:tcPr>
            <w:tcW w:w="284" w:type="dxa"/>
            <w:noWrap/>
          </w:tcPr>
          <w:p w:rsidR="00A85257" w:rsidRPr="00A1339D" w:rsidRDefault="00A85257" w:rsidP="00F05234">
            <w:pPr>
              <w:pStyle w:val="TabNumeri"/>
            </w:pPr>
          </w:p>
        </w:tc>
        <w:tc>
          <w:tcPr>
            <w:tcW w:w="851" w:type="dxa"/>
            <w:noWrap/>
          </w:tcPr>
          <w:p w:rsidR="00A85257" w:rsidRPr="00A1339D" w:rsidRDefault="00A85257" w:rsidP="00F05234">
            <w:pPr>
              <w:pStyle w:val="TabNumeri"/>
            </w:pPr>
            <w:r w:rsidRPr="00A1339D">
              <w:t>2,5</w:t>
            </w:r>
          </w:p>
        </w:tc>
        <w:tc>
          <w:tcPr>
            <w:tcW w:w="284" w:type="dxa"/>
            <w:noWrap/>
          </w:tcPr>
          <w:p w:rsidR="00A85257" w:rsidRPr="00A1339D" w:rsidRDefault="00A85257" w:rsidP="00F05234">
            <w:pPr>
              <w:pStyle w:val="TabNumeri"/>
            </w:pPr>
          </w:p>
        </w:tc>
      </w:tr>
      <w:tr w:rsidR="00A85257" w:rsidTr="00F05234">
        <w:trPr>
          <w:cantSplit/>
          <w:trHeight w:val="255"/>
        </w:trPr>
        <w:tc>
          <w:tcPr>
            <w:tcW w:w="2489" w:type="dxa"/>
            <w:tcBorders>
              <w:bottom w:val="single" w:sz="4" w:space="0" w:color="632423" w:themeColor="accent2" w:themeShade="80"/>
            </w:tcBorders>
            <w:shd w:val="clear" w:color="auto" w:fill="EAF1DD" w:themeFill="accent3" w:themeFillTint="33"/>
            <w:noWrap/>
          </w:tcPr>
          <w:p w:rsidR="00A85257" w:rsidRDefault="00A85257" w:rsidP="00F05234">
            <w:pPr>
              <w:pStyle w:val="TabEtichette"/>
            </w:pPr>
            <w:r>
              <w:t>Debito A. Pubblica [b</w:t>
            </w:r>
            <w:r w:rsidRPr="00233F5C">
              <w:t>]</w:t>
            </w:r>
          </w:p>
        </w:tc>
        <w:tc>
          <w:tcPr>
            <w:tcW w:w="849"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r w:rsidRPr="00A1339D">
              <w:t>133,4</w:t>
            </w:r>
          </w:p>
        </w:tc>
        <w:tc>
          <w:tcPr>
            <w:tcW w:w="283"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p>
        </w:tc>
        <w:tc>
          <w:tcPr>
            <w:tcW w:w="851"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r w:rsidRPr="00A1339D">
              <w:t>134,1</w:t>
            </w:r>
          </w:p>
        </w:tc>
        <w:tc>
          <w:tcPr>
            <w:tcW w:w="284"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p>
        </w:tc>
        <w:tc>
          <w:tcPr>
            <w:tcW w:w="851"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r w:rsidRPr="00A1339D">
              <w:t>133,4</w:t>
            </w:r>
          </w:p>
        </w:tc>
        <w:tc>
          <w:tcPr>
            <w:tcW w:w="285" w:type="dxa"/>
            <w:tcBorders>
              <w:bottom w:val="single" w:sz="4" w:space="0" w:color="632423" w:themeColor="accent2" w:themeShade="80"/>
            </w:tcBorders>
            <w:shd w:val="clear" w:color="auto" w:fill="EAF1DD" w:themeFill="accent3" w:themeFillTint="33"/>
          </w:tcPr>
          <w:p w:rsidR="00A85257" w:rsidRPr="00A1339D" w:rsidRDefault="00A85257" w:rsidP="00F05234">
            <w:pPr>
              <w:pStyle w:val="TabNumeri"/>
            </w:pPr>
          </w:p>
        </w:tc>
        <w:tc>
          <w:tcPr>
            <w:tcW w:w="59"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p>
        </w:tc>
        <w:tc>
          <w:tcPr>
            <w:tcW w:w="851" w:type="dxa"/>
            <w:tcBorders>
              <w:bottom w:val="single" w:sz="4" w:space="0" w:color="632423" w:themeColor="accent2" w:themeShade="80"/>
            </w:tcBorders>
            <w:shd w:val="clear" w:color="auto" w:fill="EAF1DD" w:themeFill="accent3" w:themeFillTint="33"/>
          </w:tcPr>
          <w:p w:rsidR="00A85257" w:rsidRPr="00A1339D" w:rsidRDefault="00A85257" w:rsidP="00F05234">
            <w:pPr>
              <w:pStyle w:val="TabNumeri"/>
            </w:pPr>
            <w:r w:rsidRPr="00A1339D">
              <w:t>134,1</w:t>
            </w:r>
          </w:p>
        </w:tc>
        <w:tc>
          <w:tcPr>
            <w:tcW w:w="284"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p>
        </w:tc>
        <w:tc>
          <w:tcPr>
            <w:tcW w:w="851"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r w:rsidRPr="00A1339D">
              <w:t>135,1</w:t>
            </w:r>
          </w:p>
        </w:tc>
        <w:tc>
          <w:tcPr>
            <w:tcW w:w="284"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p>
        </w:tc>
        <w:tc>
          <w:tcPr>
            <w:tcW w:w="851" w:type="dxa"/>
            <w:tcBorders>
              <w:bottom w:val="single" w:sz="4" w:space="0" w:color="632423" w:themeColor="accent2" w:themeShade="80"/>
            </w:tcBorders>
            <w:shd w:val="clear" w:color="auto" w:fill="EAF1DD" w:themeFill="accent3" w:themeFillTint="33"/>
            <w:noWrap/>
          </w:tcPr>
          <w:p w:rsidR="00A85257" w:rsidRPr="00A1339D" w:rsidRDefault="00A85257" w:rsidP="00F05234">
            <w:pPr>
              <w:pStyle w:val="TabNumeri"/>
            </w:pPr>
            <w:r w:rsidRPr="00A1339D">
              <w:t>133,0</w:t>
            </w:r>
          </w:p>
        </w:tc>
        <w:tc>
          <w:tcPr>
            <w:tcW w:w="284" w:type="dxa"/>
            <w:tcBorders>
              <w:bottom w:val="single" w:sz="4" w:space="0" w:color="632423" w:themeColor="accent2" w:themeShade="80"/>
            </w:tcBorders>
            <w:shd w:val="clear" w:color="auto" w:fill="EAF1DD" w:themeFill="accent3" w:themeFillTint="33"/>
            <w:noWrap/>
          </w:tcPr>
          <w:p w:rsidR="00A85257" w:rsidRDefault="00A85257" w:rsidP="00F05234">
            <w:pPr>
              <w:pStyle w:val="TabNumeri"/>
            </w:pPr>
          </w:p>
        </w:tc>
      </w:tr>
      <w:tr w:rsidR="00A85257" w:rsidTr="00F05234">
        <w:trPr>
          <w:cantSplit/>
          <w:trHeight w:val="255"/>
        </w:trPr>
        <w:tc>
          <w:tcPr>
            <w:tcW w:w="9356" w:type="dxa"/>
            <w:gridSpan w:val="14"/>
            <w:tcBorders>
              <w:top w:val="single" w:sz="4" w:space="0" w:color="632423" w:themeColor="accent2" w:themeShade="80"/>
            </w:tcBorders>
            <w:shd w:val="clear" w:color="auto" w:fill="auto"/>
            <w:noWrap/>
          </w:tcPr>
          <w:p w:rsidR="00A85257" w:rsidRPr="006F4A37" w:rsidRDefault="00A85257" w:rsidP="00F05234">
            <w:pPr>
              <w:pStyle w:val="TabNoteSuperiori"/>
            </w:pPr>
            <w:r w:rsidRPr="006F4A37">
              <w:t>[a] Tasso percentuale. [b] Percentuale sul Pil. [1] Variazioni del PIL e delle sue componenti stimate su dati trimestrali destagionalizzati e corretti per il numero di giornate. [2] Saldo commerciale (in % del Pil). [3] Persone. [4] Unità di lavoro standard. [5] Tasso di inflazione armonizzato Ue. [6]</w:t>
            </w:r>
            <w:r w:rsidRPr="00775858">
              <w:t xml:space="preserve"> Saldo conto corrente e conto capitale (in % del Pil). </w:t>
            </w:r>
          </w:p>
          <w:p w:rsidR="00A85257" w:rsidRPr="00B64650" w:rsidRDefault="00A85257" w:rsidP="00F05234">
            <w:pPr>
              <w:pStyle w:val="TabNoteInferiori"/>
            </w:pPr>
            <w:r w:rsidRPr="006F4A37">
              <w:t>Fonte</w:t>
            </w:r>
            <w:r>
              <w:t>:</w:t>
            </w:r>
            <w:r w:rsidRPr="006F4A37">
              <w:t xml:space="preserve"> Fmi, World </w:t>
            </w:r>
            <w:proofErr w:type="spellStart"/>
            <w:r w:rsidRPr="006F4A37">
              <w:t>Economic</w:t>
            </w:r>
            <w:proofErr w:type="spellEnd"/>
            <w:r w:rsidRPr="006F4A37">
              <w:t xml:space="preserve"> Outlook; Oecd, </w:t>
            </w:r>
            <w:proofErr w:type="spellStart"/>
            <w:r w:rsidRPr="006F4A37">
              <w:t>Economic</w:t>
            </w:r>
            <w:proofErr w:type="spellEnd"/>
            <w:r w:rsidRPr="006F4A37">
              <w:t xml:space="preserve"> Outlook; Centro studi Confindustria; Prometeia, Rapporto di Previsione; Prometeia, Brief.</w:t>
            </w:r>
          </w:p>
        </w:tc>
      </w:tr>
    </w:tbl>
    <w:p w:rsidR="00F36164" w:rsidRPr="009953C5" w:rsidRDefault="00F36164" w:rsidP="00F36164">
      <w:r w:rsidRPr="009953C5">
        <w:t>La crescita dell’occupazione in termini di unità di lavoro si è ridotta nel 2019 (+0,5 per cento) e le previsioni più recenti prospettano un ulteriore rallentamento nel 2020 (+0,1 per cento), anche per l’effetto di una sostituzione solo parziale connessa al provvedimento “quota 100”.</w:t>
      </w:r>
    </w:p>
    <w:p w:rsidR="00F36164" w:rsidRPr="009953C5" w:rsidRDefault="00F36164" w:rsidP="00F36164">
      <w:r w:rsidRPr="009953C5">
        <w:lastRenderedPageBreak/>
        <w:t xml:space="preserve">Il tasso di disoccupazione è sceso dall’11,2 del 2017, al 10,6 per cento del 2018, ma dovrebbe ridursi solo lievemente, sia nel 2019 (10,3 per cento), sia nel 2020 (10,2 per cento), anche per effetto dell’aumento della partecipazione al mercato del lavoro connesso al reddito di cittadinanza. </w:t>
      </w:r>
    </w:p>
    <w:p w:rsidR="00F36164" w:rsidRDefault="00F36164" w:rsidP="00F36164">
      <w:pPr>
        <w:pStyle w:val="Titolo4"/>
      </w:pPr>
      <w:bookmarkStart w:id="3" w:name="_Toc19697798"/>
      <w:r>
        <w:t>Credito</w:t>
      </w:r>
      <w:bookmarkEnd w:id="3"/>
    </w:p>
    <w:p w:rsidR="00F36164" w:rsidRPr="009953C5" w:rsidRDefault="00F36164" w:rsidP="00F36164">
      <w:r w:rsidRPr="009953C5">
        <w:t>Secondo i dati provvisori di Banca d’Italia, riferiti allo scorso maggio, la crescita del credito al settore privato non finanziario è proseguita a un ritmo più contenuto (1,0 per cento) sui 12 mesi, i prestiti erogati alle famiglie sono cresciuti del 2,6 per cento, mentre quelli alle imprese (società non finanziarie) hanno subito una lieve flessione (-0,2 per cento), rispetto a un anno prima. Grazie all’abbondante liquidità, i tassi  sui prestiti restano molto contenuti. Il peggioramento del credito non ha interessato tutti i comparti, la crescita rallenta ancora per la manifattura (+0,7 per cento), ma accelera lievemente per i servizi (+1,1 per cento), mentre si conferma la restrizione per le costruzioni (-3,5 per cento). La tendenza negativa è più marcata per le società di minore dimensione.</w:t>
      </w:r>
    </w:p>
    <w:p w:rsidR="00F36164" w:rsidRPr="00F36164" w:rsidRDefault="00F36164" w:rsidP="00F36164">
      <w:pPr>
        <w:pStyle w:val="Titolo4"/>
      </w:pPr>
      <w:bookmarkStart w:id="4" w:name="_Toc19697799"/>
      <w:r w:rsidRPr="00F36164">
        <w:t>Finanza pubblica</w:t>
      </w:r>
      <w:bookmarkEnd w:id="4"/>
    </w:p>
    <w:p w:rsidR="00F36164" w:rsidRPr="009953C5" w:rsidRDefault="00F36164" w:rsidP="00F36164">
      <w:r w:rsidRPr="009953C5">
        <w:t>L’interconnessione tra l’elevato debito pubblico e il sistema bancario costituisce il principale rischio per la finanza nazionale. La politica fiscale e la solidità del sistema creditizio sono particolarmente vulnerabili a aumenti dei tassi di interesse.</w:t>
      </w:r>
    </w:p>
    <w:p w:rsidR="00F36164" w:rsidRPr="009953C5" w:rsidRDefault="00F36164" w:rsidP="00F36164">
      <w:r w:rsidRPr="009953C5">
        <w:t>Secondo Prometeia, le cui previsioni risalgono a prima del varo del nuovo Governo, il deficit pubblico in rapporto al prodotto interno lordo dovrebbe risalire solo lievemente nel 2019 al 2,2 per cento, con un aumento della pressione fiscale a compensare la maggiore spesa, mentre nel 2020 dovrebbe crescere più sensibilmente e portarsi fino al 2,5 per cento. La spesa per interessi viene contenuta dal livello dei tassi nell’area dell’euro eccezionalmente basso, mentre continua a ridursi il saldo primario.</w:t>
      </w:r>
    </w:p>
    <w:p w:rsidR="00F36164" w:rsidRPr="009953C5" w:rsidRDefault="00F36164" w:rsidP="00F36164">
      <w:r w:rsidRPr="009953C5">
        <w:t>Prometeia prospetta un ulteriore appesantimento del rapporto tra debito pubblico e Pil per il 2019 (133,4 per cento) e solo una sua lieve riduzione nel 2020 (133,0 per cento), grazie a una ripresa della crescita.</w:t>
      </w:r>
    </w:p>
    <w:p w:rsidR="00F858D8" w:rsidRDefault="00CF2079" w:rsidP="00F858D8">
      <w:pPr>
        <w:pStyle w:val="Titolo2"/>
      </w:pPr>
      <w:r>
        <w:t>X</w:t>
      </w:r>
      <w:r w:rsidR="00F858D8">
        <w:t>.</w:t>
      </w:r>
      <w:r w:rsidR="00C43F0D">
        <w:t>4</w:t>
      </w:r>
      <w:r w:rsidR="00F858D8">
        <w:t>.</w:t>
      </w:r>
      <w:r w:rsidR="00F858D8">
        <w:tab/>
      </w:r>
      <w:bookmarkStart w:id="5" w:name="OLE_LINK1"/>
      <w:r w:rsidR="00F858D8">
        <w:t>Il quadro regionale</w:t>
      </w:r>
      <w:bookmarkEnd w:id="5"/>
    </w:p>
    <w:p w:rsidR="003B2A5B" w:rsidRDefault="003B2A5B" w:rsidP="003B2A5B">
      <w:pPr>
        <w:pStyle w:val="Titolo4"/>
      </w:pPr>
      <w:r>
        <w:t>Pil e conto economico</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1A1F95" w:rsidTr="00F05234">
        <w:trPr>
          <w:cantSplit/>
        </w:trPr>
        <w:tc>
          <w:tcPr>
            <w:tcW w:w="9356" w:type="dxa"/>
            <w:gridSpan w:val="5"/>
            <w:tcBorders>
              <w:bottom w:val="single" w:sz="4" w:space="0" w:color="800000"/>
            </w:tcBorders>
          </w:tcPr>
          <w:p w:rsidR="001A1F95" w:rsidRPr="007C570B" w:rsidRDefault="001A1F95" w:rsidP="00F05234">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1A1F95" w:rsidTr="00F05234">
        <w:trPr>
          <w:cantSplit/>
        </w:trPr>
        <w:tc>
          <w:tcPr>
            <w:tcW w:w="4820" w:type="dxa"/>
            <w:tcBorders>
              <w:bottom w:val="single" w:sz="4" w:space="0" w:color="800000"/>
            </w:tcBorders>
            <w:vAlign w:val="bottom"/>
          </w:tcPr>
          <w:p w:rsidR="001A1F95" w:rsidRDefault="001A1F95" w:rsidP="00F05234">
            <w:pPr>
              <w:pStyle w:val="TabIntestazioni"/>
              <w:rPr>
                <w:rFonts w:eastAsia="Arial Unicode MS"/>
              </w:rPr>
            </w:pPr>
          </w:p>
        </w:tc>
        <w:tc>
          <w:tcPr>
            <w:tcW w:w="1134" w:type="dxa"/>
            <w:tcBorders>
              <w:bottom w:val="single" w:sz="4" w:space="0" w:color="800000"/>
            </w:tcBorders>
          </w:tcPr>
          <w:p w:rsidR="001A1F95" w:rsidRPr="0085406E" w:rsidRDefault="001A1F95" w:rsidP="00F05234">
            <w:pPr>
              <w:pStyle w:val="TabIntestazioni"/>
              <w:jc w:val="right"/>
            </w:pPr>
            <w:r w:rsidRPr="0085406E">
              <w:t>2017</w:t>
            </w:r>
          </w:p>
        </w:tc>
        <w:tc>
          <w:tcPr>
            <w:tcW w:w="1134" w:type="dxa"/>
            <w:tcBorders>
              <w:bottom w:val="single" w:sz="4" w:space="0" w:color="800000"/>
            </w:tcBorders>
          </w:tcPr>
          <w:p w:rsidR="001A1F95" w:rsidRPr="0085406E" w:rsidRDefault="001A1F95" w:rsidP="00F05234">
            <w:pPr>
              <w:pStyle w:val="TabIntestazioni"/>
              <w:jc w:val="right"/>
            </w:pPr>
            <w:r w:rsidRPr="0085406E">
              <w:t>2018</w:t>
            </w:r>
          </w:p>
        </w:tc>
        <w:tc>
          <w:tcPr>
            <w:tcW w:w="1134" w:type="dxa"/>
            <w:tcBorders>
              <w:bottom w:val="single" w:sz="4" w:space="0" w:color="800000"/>
            </w:tcBorders>
          </w:tcPr>
          <w:p w:rsidR="001A1F95" w:rsidRPr="0085406E" w:rsidRDefault="001A1F95" w:rsidP="00F05234">
            <w:pPr>
              <w:pStyle w:val="TabIntestazioni"/>
              <w:jc w:val="right"/>
            </w:pPr>
            <w:r w:rsidRPr="0085406E">
              <w:t>2019</w:t>
            </w:r>
          </w:p>
        </w:tc>
        <w:tc>
          <w:tcPr>
            <w:tcW w:w="1134" w:type="dxa"/>
            <w:tcBorders>
              <w:bottom w:val="single" w:sz="4" w:space="0" w:color="800000"/>
            </w:tcBorders>
          </w:tcPr>
          <w:p w:rsidR="001A1F95" w:rsidRPr="0085406E" w:rsidRDefault="001A1F95" w:rsidP="00F05234">
            <w:pPr>
              <w:pStyle w:val="TabIntestazioni"/>
              <w:jc w:val="right"/>
            </w:pPr>
            <w:r w:rsidRPr="0085406E">
              <w:t>20</w:t>
            </w:r>
            <w:r>
              <w:t>20</w:t>
            </w:r>
          </w:p>
        </w:tc>
      </w:tr>
      <w:tr w:rsidR="001A1F95" w:rsidTr="00F05234">
        <w:trPr>
          <w:cantSplit/>
          <w:trHeight w:hRule="exact" w:val="57"/>
        </w:trPr>
        <w:tc>
          <w:tcPr>
            <w:tcW w:w="4820" w:type="dxa"/>
            <w:tcBorders>
              <w:top w:val="single" w:sz="4" w:space="0" w:color="800000"/>
            </w:tcBorders>
          </w:tcPr>
          <w:p w:rsidR="001A1F95" w:rsidRPr="00686A56" w:rsidRDefault="001A1F95" w:rsidP="00F05234">
            <w:pPr>
              <w:pStyle w:val="TabEtichette"/>
              <w:rPr>
                <w:rFonts w:eastAsia="Arial Unicode MS"/>
              </w:rPr>
            </w:pPr>
          </w:p>
        </w:tc>
        <w:tc>
          <w:tcPr>
            <w:tcW w:w="1134" w:type="dxa"/>
            <w:tcBorders>
              <w:top w:val="single" w:sz="4" w:space="0" w:color="800000"/>
            </w:tcBorders>
          </w:tcPr>
          <w:p w:rsidR="001A1F95" w:rsidRPr="0085406E" w:rsidRDefault="001A1F95" w:rsidP="00F05234"/>
        </w:tc>
        <w:tc>
          <w:tcPr>
            <w:tcW w:w="1134" w:type="dxa"/>
            <w:tcBorders>
              <w:top w:val="single" w:sz="4" w:space="0" w:color="800000"/>
            </w:tcBorders>
          </w:tcPr>
          <w:p w:rsidR="001A1F95" w:rsidRPr="0085406E" w:rsidRDefault="001A1F95" w:rsidP="00F05234"/>
        </w:tc>
        <w:tc>
          <w:tcPr>
            <w:tcW w:w="1134" w:type="dxa"/>
            <w:tcBorders>
              <w:top w:val="single" w:sz="4" w:space="0" w:color="800000"/>
            </w:tcBorders>
          </w:tcPr>
          <w:p w:rsidR="001A1F95" w:rsidRPr="0085406E" w:rsidRDefault="001A1F95" w:rsidP="00F05234"/>
        </w:tc>
        <w:tc>
          <w:tcPr>
            <w:tcW w:w="1134" w:type="dxa"/>
            <w:tcBorders>
              <w:top w:val="single" w:sz="4" w:space="0" w:color="800000"/>
            </w:tcBorders>
          </w:tcPr>
          <w:p w:rsidR="001A1F95" w:rsidRPr="0085406E" w:rsidRDefault="001A1F95" w:rsidP="00F05234"/>
        </w:tc>
      </w:tr>
      <w:tr w:rsidR="001A1F95" w:rsidTr="00F05234">
        <w:trPr>
          <w:cantSplit/>
          <w:trHeight w:val="227"/>
        </w:trPr>
        <w:tc>
          <w:tcPr>
            <w:tcW w:w="4820" w:type="dxa"/>
          </w:tcPr>
          <w:p w:rsidR="001A1F95" w:rsidRPr="00F039B7" w:rsidRDefault="001A1F95" w:rsidP="00F05234">
            <w:pPr>
              <w:pStyle w:val="TabEtichetteBold"/>
              <w:rPr>
                <w:rFonts w:eastAsia="Arial Unicode MS"/>
              </w:rPr>
            </w:pPr>
            <w:r w:rsidRPr="00F039B7">
              <w:t>Conto economico</w:t>
            </w:r>
          </w:p>
        </w:tc>
        <w:tc>
          <w:tcPr>
            <w:tcW w:w="1134" w:type="dxa"/>
          </w:tcPr>
          <w:p w:rsidR="001A1F95" w:rsidRPr="0085406E" w:rsidRDefault="001A1F95" w:rsidP="00F05234">
            <w:pPr>
              <w:pStyle w:val="tabnum"/>
            </w:pPr>
          </w:p>
        </w:tc>
        <w:tc>
          <w:tcPr>
            <w:tcW w:w="1134" w:type="dxa"/>
          </w:tcPr>
          <w:p w:rsidR="001A1F95" w:rsidRPr="0085406E" w:rsidRDefault="001A1F95" w:rsidP="00F05234">
            <w:pPr>
              <w:pStyle w:val="tabnum"/>
            </w:pPr>
          </w:p>
        </w:tc>
        <w:tc>
          <w:tcPr>
            <w:tcW w:w="1134" w:type="dxa"/>
          </w:tcPr>
          <w:p w:rsidR="001A1F95" w:rsidRPr="0085406E" w:rsidRDefault="001A1F95" w:rsidP="00F05234">
            <w:pPr>
              <w:pStyle w:val="tabnum"/>
            </w:pPr>
          </w:p>
        </w:tc>
        <w:tc>
          <w:tcPr>
            <w:tcW w:w="1134" w:type="dxa"/>
          </w:tcPr>
          <w:p w:rsidR="001A1F95" w:rsidRPr="0085406E" w:rsidRDefault="001A1F95" w:rsidP="00F05234">
            <w:pPr>
              <w:pStyle w:val="tabnum"/>
            </w:pP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Prodotto interno lordo</w:t>
            </w:r>
          </w:p>
        </w:tc>
        <w:tc>
          <w:tcPr>
            <w:tcW w:w="1134" w:type="dxa"/>
            <w:shd w:val="clear" w:color="auto" w:fill="DAEEF3" w:themeFill="accent5" w:themeFillTint="33"/>
          </w:tcPr>
          <w:p w:rsidR="001A1F95" w:rsidRPr="001F58A8" w:rsidRDefault="001A1F95" w:rsidP="00F05234">
            <w:pPr>
              <w:pStyle w:val="TabNumeri"/>
            </w:pPr>
            <w:r w:rsidRPr="001F58A8">
              <w:t>1,8</w:t>
            </w:r>
          </w:p>
        </w:tc>
        <w:tc>
          <w:tcPr>
            <w:tcW w:w="1134" w:type="dxa"/>
            <w:shd w:val="clear" w:color="auto" w:fill="DAEEF3" w:themeFill="accent5" w:themeFillTint="33"/>
          </w:tcPr>
          <w:p w:rsidR="001A1F95" w:rsidRPr="001F58A8" w:rsidRDefault="001A1F95" w:rsidP="00F05234">
            <w:pPr>
              <w:pStyle w:val="TabNumeri"/>
            </w:pPr>
            <w:r w:rsidRPr="001F58A8">
              <w:t>1,5</w:t>
            </w:r>
          </w:p>
        </w:tc>
        <w:tc>
          <w:tcPr>
            <w:tcW w:w="1134" w:type="dxa"/>
            <w:shd w:val="clear" w:color="auto" w:fill="DAEEF3" w:themeFill="accent5" w:themeFillTint="33"/>
          </w:tcPr>
          <w:p w:rsidR="001A1F95" w:rsidRPr="001F58A8" w:rsidRDefault="001A1F95" w:rsidP="00F05234">
            <w:pPr>
              <w:pStyle w:val="TabNumeri"/>
            </w:pPr>
            <w:r w:rsidRPr="001F58A8">
              <w:t>0,6</w:t>
            </w:r>
          </w:p>
        </w:tc>
        <w:tc>
          <w:tcPr>
            <w:tcW w:w="1134" w:type="dxa"/>
            <w:shd w:val="clear" w:color="auto" w:fill="DAEEF3" w:themeFill="accent5" w:themeFillTint="33"/>
          </w:tcPr>
          <w:p w:rsidR="001A1F95" w:rsidRPr="001F58A8" w:rsidRDefault="001A1F95" w:rsidP="00F05234">
            <w:pPr>
              <w:pStyle w:val="TabNumeri"/>
            </w:pPr>
            <w:r w:rsidRPr="001F58A8">
              <w:t>0,9</w:t>
            </w:r>
          </w:p>
        </w:tc>
      </w:tr>
      <w:tr w:rsidR="001A1F95" w:rsidTr="00F05234">
        <w:trPr>
          <w:cantSplit/>
          <w:trHeight w:val="227"/>
        </w:trPr>
        <w:tc>
          <w:tcPr>
            <w:tcW w:w="4820" w:type="dxa"/>
          </w:tcPr>
          <w:p w:rsidR="001A1F95" w:rsidRDefault="001A1F95" w:rsidP="00F05234">
            <w:pPr>
              <w:pStyle w:val="TabEtichette"/>
              <w:rPr>
                <w:rFonts w:eastAsia="Arial Unicode MS"/>
              </w:rPr>
            </w:pPr>
            <w:r>
              <w:t>Domanda interna</w:t>
            </w:r>
            <w:r>
              <w:rPr>
                <w:vertAlign w:val="superscript"/>
              </w:rPr>
              <w:t>(1</w:t>
            </w:r>
            <w:r w:rsidRPr="002F2B82">
              <w:rPr>
                <w:vertAlign w:val="superscript"/>
              </w:rPr>
              <w:t>)</w:t>
            </w:r>
          </w:p>
        </w:tc>
        <w:tc>
          <w:tcPr>
            <w:tcW w:w="1134" w:type="dxa"/>
          </w:tcPr>
          <w:p w:rsidR="001A1F95" w:rsidRPr="001F58A8" w:rsidRDefault="001A1F95" w:rsidP="00F05234">
            <w:pPr>
              <w:pStyle w:val="TabNumeri"/>
            </w:pPr>
            <w:r w:rsidRPr="001F58A8">
              <w:t>2,5</w:t>
            </w:r>
          </w:p>
        </w:tc>
        <w:tc>
          <w:tcPr>
            <w:tcW w:w="1134" w:type="dxa"/>
          </w:tcPr>
          <w:p w:rsidR="001A1F95" w:rsidRPr="001F58A8" w:rsidRDefault="001A1F95" w:rsidP="00F05234">
            <w:pPr>
              <w:pStyle w:val="TabNumeri"/>
            </w:pPr>
            <w:r w:rsidRPr="001F58A8">
              <w:t>1,7</w:t>
            </w:r>
          </w:p>
        </w:tc>
        <w:tc>
          <w:tcPr>
            <w:tcW w:w="1134" w:type="dxa"/>
          </w:tcPr>
          <w:p w:rsidR="001A1F95" w:rsidRPr="001F58A8" w:rsidRDefault="001A1F95" w:rsidP="00F05234">
            <w:pPr>
              <w:pStyle w:val="TabNumeri"/>
            </w:pPr>
            <w:r w:rsidRPr="001F58A8">
              <w:t>0,8</w:t>
            </w:r>
          </w:p>
        </w:tc>
        <w:tc>
          <w:tcPr>
            <w:tcW w:w="1134" w:type="dxa"/>
          </w:tcPr>
          <w:p w:rsidR="001A1F95" w:rsidRPr="001F58A8" w:rsidRDefault="001A1F95" w:rsidP="00F05234">
            <w:pPr>
              <w:pStyle w:val="TabNumeri"/>
            </w:pPr>
            <w:r w:rsidRPr="001F58A8">
              <w:t>1,1</w:t>
            </w: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 xml:space="preserve">   Consumi delle famiglie</w:t>
            </w:r>
          </w:p>
        </w:tc>
        <w:tc>
          <w:tcPr>
            <w:tcW w:w="1134" w:type="dxa"/>
            <w:shd w:val="clear" w:color="auto" w:fill="DAEEF3" w:themeFill="accent5" w:themeFillTint="33"/>
          </w:tcPr>
          <w:p w:rsidR="001A1F95" w:rsidRPr="001F58A8" w:rsidRDefault="001A1F95" w:rsidP="00F05234">
            <w:pPr>
              <w:pStyle w:val="TabNumeri"/>
            </w:pPr>
            <w:r w:rsidRPr="001F58A8">
              <w:t>2,0</w:t>
            </w:r>
          </w:p>
        </w:tc>
        <w:tc>
          <w:tcPr>
            <w:tcW w:w="1134" w:type="dxa"/>
            <w:shd w:val="clear" w:color="auto" w:fill="DAEEF3" w:themeFill="accent5" w:themeFillTint="33"/>
          </w:tcPr>
          <w:p w:rsidR="001A1F95" w:rsidRPr="001F58A8" w:rsidRDefault="001A1F95" w:rsidP="00F05234">
            <w:pPr>
              <w:pStyle w:val="TabNumeri"/>
            </w:pPr>
            <w:r w:rsidRPr="001F58A8">
              <w:t>1,0</w:t>
            </w:r>
          </w:p>
        </w:tc>
        <w:tc>
          <w:tcPr>
            <w:tcW w:w="1134" w:type="dxa"/>
            <w:shd w:val="clear" w:color="auto" w:fill="DAEEF3" w:themeFill="accent5" w:themeFillTint="33"/>
          </w:tcPr>
          <w:p w:rsidR="001A1F95" w:rsidRPr="001F58A8" w:rsidRDefault="001A1F95" w:rsidP="00F05234">
            <w:pPr>
              <w:pStyle w:val="TabNumeri"/>
            </w:pPr>
            <w:r w:rsidRPr="001F58A8">
              <w:t>0,8</w:t>
            </w:r>
          </w:p>
        </w:tc>
        <w:tc>
          <w:tcPr>
            <w:tcW w:w="1134" w:type="dxa"/>
            <w:shd w:val="clear" w:color="auto" w:fill="DAEEF3" w:themeFill="accent5" w:themeFillTint="33"/>
          </w:tcPr>
          <w:p w:rsidR="001A1F95" w:rsidRPr="001F58A8" w:rsidRDefault="001A1F95" w:rsidP="00F05234">
            <w:pPr>
              <w:pStyle w:val="TabNumeri"/>
            </w:pPr>
            <w:r w:rsidRPr="001F58A8">
              <w:t>1,0</w:t>
            </w:r>
          </w:p>
        </w:tc>
      </w:tr>
      <w:tr w:rsidR="001A1F95" w:rsidTr="00F05234">
        <w:trPr>
          <w:cantSplit/>
          <w:trHeight w:val="227"/>
        </w:trPr>
        <w:tc>
          <w:tcPr>
            <w:tcW w:w="4820" w:type="dxa"/>
          </w:tcPr>
          <w:p w:rsidR="001A1F95" w:rsidRDefault="001A1F95" w:rsidP="00F05234">
            <w:pPr>
              <w:pStyle w:val="TabEtichette"/>
              <w:rPr>
                <w:rFonts w:eastAsia="Arial Unicode MS"/>
              </w:rPr>
            </w:pPr>
            <w:r>
              <w:t xml:space="preserve">   Consumi delle AAPP e ISP</w:t>
            </w:r>
          </w:p>
        </w:tc>
        <w:tc>
          <w:tcPr>
            <w:tcW w:w="1134" w:type="dxa"/>
          </w:tcPr>
          <w:p w:rsidR="001A1F95" w:rsidRPr="001F58A8" w:rsidRDefault="001A1F95" w:rsidP="00F05234">
            <w:pPr>
              <w:pStyle w:val="TabNumeri"/>
            </w:pPr>
            <w:r w:rsidRPr="001F58A8">
              <w:t>0,4</w:t>
            </w:r>
          </w:p>
        </w:tc>
        <w:tc>
          <w:tcPr>
            <w:tcW w:w="1134" w:type="dxa"/>
          </w:tcPr>
          <w:p w:rsidR="001A1F95" w:rsidRPr="001F58A8" w:rsidRDefault="001A1F95" w:rsidP="00F05234">
            <w:pPr>
              <w:pStyle w:val="TabNumeri"/>
            </w:pPr>
            <w:r w:rsidRPr="001F58A8">
              <w:t>0,4</w:t>
            </w:r>
          </w:p>
        </w:tc>
        <w:tc>
          <w:tcPr>
            <w:tcW w:w="1134" w:type="dxa"/>
          </w:tcPr>
          <w:p w:rsidR="001A1F95" w:rsidRPr="001F58A8" w:rsidRDefault="001A1F95" w:rsidP="00F05234">
            <w:pPr>
              <w:pStyle w:val="TabNumeri"/>
            </w:pPr>
            <w:r w:rsidRPr="001F58A8">
              <w:t>0,3</w:t>
            </w:r>
          </w:p>
        </w:tc>
        <w:tc>
          <w:tcPr>
            <w:tcW w:w="1134" w:type="dxa"/>
          </w:tcPr>
          <w:p w:rsidR="001A1F95" w:rsidRPr="001F58A8" w:rsidRDefault="001A1F95" w:rsidP="00F05234">
            <w:pPr>
              <w:pStyle w:val="TabNumeri"/>
            </w:pPr>
            <w:r w:rsidRPr="001F58A8">
              <w:t>0,2</w:t>
            </w: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 xml:space="preserve">   Investimenti fissi lordi</w:t>
            </w:r>
          </w:p>
        </w:tc>
        <w:tc>
          <w:tcPr>
            <w:tcW w:w="1134" w:type="dxa"/>
            <w:shd w:val="clear" w:color="auto" w:fill="DAEEF3" w:themeFill="accent5" w:themeFillTint="33"/>
          </w:tcPr>
          <w:p w:rsidR="001A1F95" w:rsidRPr="001F58A8" w:rsidRDefault="001A1F95" w:rsidP="00F05234">
            <w:pPr>
              <w:pStyle w:val="TabNumeri"/>
            </w:pPr>
            <w:r w:rsidRPr="001F58A8">
              <w:t>6,3</w:t>
            </w:r>
          </w:p>
        </w:tc>
        <w:tc>
          <w:tcPr>
            <w:tcW w:w="1134" w:type="dxa"/>
            <w:shd w:val="clear" w:color="auto" w:fill="DAEEF3" w:themeFill="accent5" w:themeFillTint="33"/>
          </w:tcPr>
          <w:p w:rsidR="001A1F95" w:rsidRPr="001F58A8" w:rsidRDefault="001A1F95" w:rsidP="00F05234">
            <w:pPr>
              <w:pStyle w:val="TabNumeri"/>
            </w:pPr>
            <w:r w:rsidRPr="001F58A8">
              <w:t>5,0</w:t>
            </w:r>
          </w:p>
        </w:tc>
        <w:tc>
          <w:tcPr>
            <w:tcW w:w="1134" w:type="dxa"/>
            <w:shd w:val="clear" w:color="auto" w:fill="DAEEF3" w:themeFill="accent5" w:themeFillTint="33"/>
          </w:tcPr>
          <w:p w:rsidR="001A1F95" w:rsidRPr="001F58A8" w:rsidRDefault="001A1F95" w:rsidP="00F05234">
            <w:pPr>
              <w:pStyle w:val="TabNumeri"/>
            </w:pPr>
            <w:r w:rsidRPr="001F58A8">
              <w:t>1,4</w:t>
            </w:r>
          </w:p>
        </w:tc>
        <w:tc>
          <w:tcPr>
            <w:tcW w:w="1134" w:type="dxa"/>
            <w:shd w:val="clear" w:color="auto" w:fill="DAEEF3" w:themeFill="accent5" w:themeFillTint="33"/>
          </w:tcPr>
          <w:p w:rsidR="001A1F95" w:rsidRPr="001F58A8" w:rsidRDefault="001A1F95" w:rsidP="00F05234">
            <w:pPr>
              <w:pStyle w:val="TabNumeri"/>
            </w:pPr>
            <w:r w:rsidRPr="001F58A8">
              <w:t>2,2</w:t>
            </w:r>
          </w:p>
        </w:tc>
      </w:tr>
      <w:tr w:rsidR="001A1F95" w:rsidTr="00F05234">
        <w:trPr>
          <w:cantSplit/>
          <w:trHeight w:val="227"/>
        </w:trPr>
        <w:tc>
          <w:tcPr>
            <w:tcW w:w="4820" w:type="dxa"/>
          </w:tcPr>
          <w:p w:rsidR="001A1F95" w:rsidRDefault="001A1F95" w:rsidP="00F05234">
            <w:pPr>
              <w:pStyle w:val="TabEtichette"/>
              <w:rPr>
                <w:rFonts w:eastAsia="Arial Unicode MS"/>
              </w:rPr>
            </w:pPr>
            <w:r>
              <w:t>Importazioni di beni dall’estero</w:t>
            </w:r>
          </w:p>
        </w:tc>
        <w:tc>
          <w:tcPr>
            <w:tcW w:w="1134" w:type="dxa"/>
          </w:tcPr>
          <w:p w:rsidR="001A1F95" w:rsidRPr="001F58A8" w:rsidRDefault="001A1F95" w:rsidP="00F05234">
            <w:pPr>
              <w:pStyle w:val="TabNumeri"/>
            </w:pPr>
            <w:r w:rsidRPr="001F58A8">
              <w:t>4,8</w:t>
            </w:r>
          </w:p>
        </w:tc>
        <w:tc>
          <w:tcPr>
            <w:tcW w:w="1134" w:type="dxa"/>
          </w:tcPr>
          <w:p w:rsidR="001A1F95" w:rsidRPr="001F58A8" w:rsidRDefault="001A1F95" w:rsidP="00F05234">
            <w:pPr>
              <w:pStyle w:val="TabNumeri"/>
            </w:pPr>
            <w:r w:rsidRPr="001F58A8">
              <w:t>-0,1</w:t>
            </w:r>
          </w:p>
        </w:tc>
        <w:tc>
          <w:tcPr>
            <w:tcW w:w="1134" w:type="dxa"/>
          </w:tcPr>
          <w:p w:rsidR="001A1F95" w:rsidRPr="001F58A8" w:rsidRDefault="001A1F95" w:rsidP="00F05234">
            <w:pPr>
              <w:pStyle w:val="TabNumeri"/>
            </w:pPr>
            <w:r w:rsidRPr="001F58A8">
              <w:t>5,2</w:t>
            </w:r>
          </w:p>
        </w:tc>
        <w:tc>
          <w:tcPr>
            <w:tcW w:w="1134" w:type="dxa"/>
          </w:tcPr>
          <w:p w:rsidR="001A1F95" w:rsidRPr="001F58A8" w:rsidRDefault="001A1F95" w:rsidP="00F05234">
            <w:pPr>
              <w:pStyle w:val="TabNumeri"/>
            </w:pPr>
            <w:r w:rsidRPr="001F58A8">
              <w:t>2,9</w:t>
            </w: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Esportazioni di beni verso l’estero</w:t>
            </w:r>
          </w:p>
        </w:tc>
        <w:tc>
          <w:tcPr>
            <w:tcW w:w="1134" w:type="dxa"/>
            <w:shd w:val="clear" w:color="auto" w:fill="DAEEF3" w:themeFill="accent5" w:themeFillTint="33"/>
          </w:tcPr>
          <w:p w:rsidR="001A1F95" w:rsidRPr="001F58A8" w:rsidRDefault="001A1F95" w:rsidP="00F05234">
            <w:pPr>
              <w:pStyle w:val="TabNumeri"/>
            </w:pPr>
            <w:r w:rsidRPr="001F58A8">
              <w:t>5,2</w:t>
            </w:r>
          </w:p>
        </w:tc>
        <w:tc>
          <w:tcPr>
            <w:tcW w:w="1134" w:type="dxa"/>
            <w:shd w:val="clear" w:color="auto" w:fill="DAEEF3" w:themeFill="accent5" w:themeFillTint="33"/>
          </w:tcPr>
          <w:p w:rsidR="001A1F95" w:rsidRPr="001F58A8" w:rsidRDefault="001A1F95" w:rsidP="00F05234">
            <w:pPr>
              <w:pStyle w:val="TabNumeri"/>
            </w:pPr>
            <w:r w:rsidRPr="001F58A8">
              <w:t>3,9</w:t>
            </w:r>
          </w:p>
        </w:tc>
        <w:tc>
          <w:tcPr>
            <w:tcW w:w="1134" w:type="dxa"/>
            <w:shd w:val="clear" w:color="auto" w:fill="DAEEF3" w:themeFill="accent5" w:themeFillTint="33"/>
          </w:tcPr>
          <w:p w:rsidR="001A1F95" w:rsidRPr="001F58A8" w:rsidRDefault="001A1F95" w:rsidP="00F05234">
            <w:pPr>
              <w:pStyle w:val="TabNumeri"/>
            </w:pPr>
            <w:r w:rsidRPr="001F58A8">
              <w:t>4,9</w:t>
            </w:r>
          </w:p>
        </w:tc>
        <w:tc>
          <w:tcPr>
            <w:tcW w:w="1134" w:type="dxa"/>
            <w:shd w:val="clear" w:color="auto" w:fill="DAEEF3" w:themeFill="accent5" w:themeFillTint="33"/>
          </w:tcPr>
          <w:p w:rsidR="001A1F95" w:rsidRPr="001F58A8" w:rsidRDefault="001A1F95" w:rsidP="00F05234">
            <w:pPr>
              <w:pStyle w:val="TabNumeri"/>
            </w:pPr>
            <w:r w:rsidRPr="001F58A8">
              <w:t>1,7</w:t>
            </w:r>
          </w:p>
        </w:tc>
      </w:tr>
      <w:tr w:rsidR="001A1F95" w:rsidTr="00F05234">
        <w:trPr>
          <w:cantSplit/>
          <w:trHeight w:val="227"/>
        </w:trPr>
        <w:tc>
          <w:tcPr>
            <w:tcW w:w="4820" w:type="dxa"/>
          </w:tcPr>
          <w:p w:rsidR="001A1F95" w:rsidRPr="00EC6592" w:rsidRDefault="001A1F95" w:rsidP="00F05234">
            <w:pPr>
              <w:pStyle w:val="TabEtichetteBold"/>
              <w:rPr>
                <w:rFonts w:eastAsia="Arial Unicode MS"/>
              </w:rPr>
            </w:pPr>
            <w:r w:rsidRPr="00EC6592">
              <w:t>Valore aggiunto ai prezzi base</w:t>
            </w:r>
          </w:p>
        </w:tc>
        <w:tc>
          <w:tcPr>
            <w:tcW w:w="1134" w:type="dxa"/>
          </w:tcPr>
          <w:p w:rsidR="001A1F95" w:rsidRPr="001F58A8" w:rsidRDefault="001A1F95" w:rsidP="00F05234">
            <w:pPr>
              <w:pStyle w:val="TabNumeri"/>
            </w:pPr>
          </w:p>
        </w:tc>
        <w:tc>
          <w:tcPr>
            <w:tcW w:w="1134" w:type="dxa"/>
          </w:tcPr>
          <w:p w:rsidR="001A1F95" w:rsidRPr="001F58A8" w:rsidRDefault="001A1F95" w:rsidP="00F05234">
            <w:pPr>
              <w:pStyle w:val="TabNumeri"/>
            </w:pPr>
          </w:p>
        </w:tc>
        <w:tc>
          <w:tcPr>
            <w:tcW w:w="1134" w:type="dxa"/>
          </w:tcPr>
          <w:p w:rsidR="001A1F95" w:rsidRPr="001F58A8" w:rsidRDefault="001A1F95" w:rsidP="00F05234">
            <w:pPr>
              <w:pStyle w:val="TabNumeri"/>
            </w:pPr>
          </w:p>
        </w:tc>
        <w:tc>
          <w:tcPr>
            <w:tcW w:w="1134" w:type="dxa"/>
          </w:tcPr>
          <w:p w:rsidR="001A1F95" w:rsidRPr="001F58A8" w:rsidRDefault="001A1F95" w:rsidP="00F05234">
            <w:pPr>
              <w:pStyle w:val="TabNumeri"/>
            </w:pP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Agricoltura</w:t>
            </w:r>
          </w:p>
        </w:tc>
        <w:tc>
          <w:tcPr>
            <w:tcW w:w="1134" w:type="dxa"/>
            <w:shd w:val="clear" w:color="auto" w:fill="DAEEF3" w:themeFill="accent5" w:themeFillTint="33"/>
          </w:tcPr>
          <w:p w:rsidR="001A1F95" w:rsidRPr="001F58A8" w:rsidRDefault="001A1F95" w:rsidP="00F05234">
            <w:pPr>
              <w:pStyle w:val="TabNumeri"/>
            </w:pPr>
            <w:r w:rsidRPr="001F58A8">
              <w:t>-5,5</w:t>
            </w:r>
          </w:p>
        </w:tc>
        <w:tc>
          <w:tcPr>
            <w:tcW w:w="1134" w:type="dxa"/>
            <w:shd w:val="clear" w:color="auto" w:fill="DAEEF3" w:themeFill="accent5" w:themeFillTint="33"/>
          </w:tcPr>
          <w:p w:rsidR="001A1F95" w:rsidRPr="001F58A8" w:rsidRDefault="001A1F95" w:rsidP="00F05234">
            <w:pPr>
              <w:pStyle w:val="TabNumeri"/>
            </w:pPr>
            <w:r w:rsidRPr="001F58A8">
              <w:t>0,3</w:t>
            </w:r>
          </w:p>
        </w:tc>
        <w:tc>
          <w:tcPr>
            <w:tcW w:w="1134" w:type="dxa"/>
            <w:shd w:val="clear" w:color="auto" w:fill="DAEEF3" w:themeFill="accent5" w:themeFillTint="33"/>
          </w:tcPr>
          <w:p w:rsidR="001A1F95" w:rsidRPr="001F58A8" w:rsidRDefault="001A1F95" w:rsidP="00F05234">
            <w:pPr>
              <w:pStyle w:val="TabNumeri"/>
            </w:pPr>
            <w:r w:rsidRPr="001F58A8">
              <w:t>1,0</w:t>
            </w:r>
          </w:p>
        </w:tc>
        <w:tc>
          <w:tcPr>
            <w:tcW w:w="1134" w:type="dxa"/>
            <w:shd w:val="clear" w:color="auto" w:fill="DAEEF3" w:themeFill="accent5" w:themeFillTint="33"/>
          </w:tcPr>
          <w:p w:rsidR="001A1F95" w:rsidRPr="001F58A8" w:rsidRDefault="001A1F95" w:rsidP="00F05234">
            <w:pPr>
              <w:pStyle w:val="TabNumeri"/>
            </w:pPr>
            <w:r w:rsidRPr="001F58A8">
              <w:t>0,8</w:t>
            </w:r>
          </w:p>
        </w:tc>
      </w:tr>
      <w:tr w:rsidR="001A1F95" w:rsidTr="00F05234">
        <w:trPr>
          <w:cantSplit/>
          <w:trHeight w:val="227"/>
        </w:trPr>
        <w:tc>
          <w:tcPr>
            <w:tcW w:w="4820" w:type="dxa"/>
          </w:tcPr>
          <w:p w:rsidR="001A1F95" w:rsidRDefault="001A1F95" w:rsidP="00F05234">
            <w:pPr>
              <w:pStyle w:val="TabEtichette"/>
              <w:rPr>
                <w:rFonts w:eastAsia="Arial Unicode MS"/>
              </w:rPr>
            </w:pPr>
            <w:r>
              <w:t>Industria</w:t>
            </w:r>
          </w:p>
        </w:tc>
        <w:tc>
          <w:tcPr>
            <w:tcW w:w="1134" w:type="dxa"/>
          </w:tcPr>
          <w:p w:rsidR="001A1F95" w:rsidRPr="001F58A8" w:rsidRDefault="001A1F95" w:rsidP="00F05234">
            <w:pPr>
              <w:pStyle w:val="TabNumeri"/>
            </w:pPr>
            <w:r w:rsidRPr="001F58A8">
              <w:t>3,5</w:t>
            </w:r>
          </w:p>
        </w:tc>
        <w:tc>
          <w:tcPr>
            <w:tcW w:w="1134" w:type="dxa"/>
          </w:tcPr>
          <w:p w:rsidR="001A1F95" w:rsidRPr="001F58A8" w:rsidRDefault="001A1F95" w:rsidP="00F05234">
            <w:pPr>
              <w:pStyle w:val="TabNumeri"/>
            </w:pPr>
            <w:r w:rsidRPr="001F58A8">
              <w:t>3,5</w:t>
            </w:r>
          </w:p>
        </w:tc>
        <w:tc>
          <w:tcPr>
            <w:tcW w:w="1134" w:type="dxa"/>
          </w:tcPr>
          <w:p w:rsidR="001A1F95" w:rsidRPr="001F58A8" w:rsidRDefault="001A1F95" w:rsidP="00F05234">
            <w:pPr>
              <w:pStyle w:val="TabNumeri"/>
            </w:pPr>
            <w:r w:rsidRPr="001F58A8">
              <w:t>1,0</w:t>
            </w:r>
          </w:p>
        </w:tc>
        <w:tc>
          <w:tcPr>
            <w:tcW w:w="1134" w:type="dxa"/>
          </w:tcPr>
          <w:p w:rsidR="001A1F95" w:rsidRPr="001F58A8" w:rsidRDefault="001A1F95" w:rsidP="00F05234">
            <w:pPr>
              <w:pStyle w:val="TabNumeri"/>
            </w:pPr>
            <w:r w:rsidRPr="001F58A8">
              <w:t>1,2</w:t>
            </w: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Costruzioni</w:t>
            </w:r>
          </w:p>
        </w:tc>
        <w:tc>
          <w:tcPr>
            <w:tcW w:w="1134" w:type="dxa"/>
            <w:shd w:val="clear" w:color="auto" w:fill="DAEEF3" w:themeFill="accent5" w:themeFillTint="33"/>
          </w:tcPr>
          <w:p w:rsidR="001A1F95" w:rsidRPr="001F58A8" w:rsidRDefault="001A1F95" w:rsidP="00F05234">
            <w:pPr>
              <w:pStyle w:val="TabNumeri"/>
            </w:pPr>
            <w:r w:rsidRPr="001F58A8">
              <w:t>1,1</w:t>
            </w:r>
          </w:p>
        </w:tc>
        <w:tc>
          <w:tcPr>
            <w:tcW w:w="1134" w:type="dxa"/>
            <w:shd w:val="clear" w:color="auto" w:fill="DAEEF3" w:themeFill="accent5" w:themeFillTint="33"/>
          </w:tcPr>
          <w:p w:rsidR="001A1F95" w:rsidRPr="001F58A8" w:rsidRDefault="001A1F95" w:rsidP="00F05234">
            <w:pPr>
              <w:pStyle w:val="TabNumeri"/>
            </w:pPr>
            <w:r w:rsidRPr="001F58A8">
              <w:t>1,3</w:t>
            </w:r>
          </w:p>
        </w:tc>
        <w:tc>
          <w:tcPr>
            <w:tcW w:w="1134" w:type="dxa"/>
            <w:shd w:val="clear" w:color="auto" w:fill="DAEEF3" w:themeFill="accent5" w:themeFillTint="33"/>
          </w:tcPr>
          <w:p w:rsidR="001A1F95" w:rsidRPr="001F58A8" w:rsidRDefault="001A1F95" w:rsidP="00F05234">
            <w:pPr>
              <w:pStyle w:val="TabNumeri"/>
            </w:pPr>
            <w:r w:rsidRPr="001F58A8">
              <w:t>3,9</w:t>
            </w:r>
          </w:p>
        </w:tc>
        <w:tc>
          <w:tcPr>
            <w:tcW w:w="1134" w:type="dxa"/>
            <w:shd w:val="clear" w:color="auto" w:fill="DAEEF3" w:themeFill="accent5" w:themeFillTint="33"/>
          </w:tcPr>
          <w:p w:rsidR="001A1F95" w:rsidRPr="001F58A8" w:rsidRDefault="001A1F95" w:rsidP="00F05234">
            <w:pPr>
              <w:pStyle w:val="TabNumeri"/>
            </w:pPr>
            <w:r w:rsidRPr="001F58A8">
              <w:t>3,0</w:t>
            </w:r>
          </w:p>
        </w:tc>
      </w:tr>
      <w:tr w:rsidR="001A1F95" w:rsidTr="00F05234">
        <w:trPr>
          <w:cantSplit/>
          <w:trHeight w:val="227"/>
        </w:trPr>
        <w:tc>
          <w:tcPr>
            <w:tcW w:w="4820" w:type="dxa"/>
          </w:tcPr>
          <w:p w:rsidR="001A1F95" w:rsidRDefault="001A1F95" w:rsidP="00F05234">
            <w:pPr>
              <w:pStyle w:val="TabEtichette"/>
              <w:rPr>
                <w:rFonts w:eastAsia="Arial Unicode MS"/>
              </w:rPr>
            </w:pPr>
            <w:r>
              <w:t>Servizi</w:t>
            </w:r>
          </w:p>
        </w:tc>
        <w:tc>
          <w:tcPr>
            <w:tcW w:w="1134" w:type="dxa"/>
          </w:tcPr>
          <w:p w:rsidR="001A1F95" w:rsidRPr="001F58A8" w:rsidRDefault="001A1F95" w:rsidP="00F05234">
            <w:pPr>
              <w:pStyle w:val="TabNumeri"/>
            </w:pPr>
            <w:r w:rsidRPr="001F58A8">
              <w:t>1,4</w:t>
            </w:r>
          </w:p>
        </w:tc>
        <w:tc>
          <w:tcPr>
            <w:tcW w:w="1134" w:type="dxa"/>
          </w:tcPr>
          <w:p w:rsidR="001A1F95" w:rsidRPr="001F58A8" w:rsidRDefault="001A1F95" w:rsidP="00F05234">
            <w:pPr>
              <w:pStyle w:val="TabNumeri"/>
            </w:pPr>
            <w:r w:rsidRPr="001F58A8">
              <w:t>0,8</w:t>
            </w:r>
          </w:p>
        </w:tc>
        <w:tc>
          <w:tcPr>
            <w:tcW w:w="1134" w:type="dxa"/>
          </w:tcPr>
          <w:p w:rsidR="001A1F95" w:rsidRPr="001F58A8" w:rsidRDefault="001A1F95" w:rsidP="00F05234">
            <w:pPr>
              <w:pStyle w:val="TabNumeri"/>
            </w:pPr>
            <w:r w:rsidRPr="001F58A8">
              <w:t>0,2</w:t>
            </w:r>
          </w:p>
        </w:tc>
        <w:tc>
          <w:tcPr>
            <w:tcW w:w="1134" w:type="dxa"/>
          </w:tcPr>
          <w:p w:rsidR="001A1F95" w:rsidRPr="001F58A8" w:rsidRDefault="001A1F95" w:rsidP="00F05234">
            <w:pPr>
              <w:pStyle w:val="TabNumeri"/>
            </w:pPr>
            <w:r w:rsidRPr="001F58A8">
              <w:t>0,7</w:t>
            </w:r>
          </w:p>
        </w:tc>
      </w:tr>
      <w:tr w:rsidR="001A1F95" w:rsidTr="00F05234">
        <w:trPr>
          <w:cantSplit/>
          <w:trHeight w:val="227"/>
        </w:trPr>
        <w:tc>
          <w:tcPr>
            <w:tcW w:w="4820" w:type="dxa"/>
            <w:shd w:val="clear" w:color="auto" w:fill="DAEEF3" w:themeFill="accent5" w:themeFillTint="33"/>
          </w:tcPr>
          <w:p w:rsidR="001A1F95" w:rsidRDefault="001A1F95" w:rsidP="00F05234">
            <w:pPr>
              <w:pStyle w:val="TabEtichette"/>
              <w:rPr>
                <w:rFonts w:eastAsia="Arial Unicode MS"/>
              </w:rPr>
            </w:pPr>
            <w:r>
              <w:t>Totale</w:t>
            </w:r>
          </w:p>
        </w:tc>
        <w:tc>
          <w:tcPr>
            <w:tcW w:w="1134" w:type="dxa"/>
            <w:shd w:val="clear" w:color="auto" w:fill="DAEEF3" w:themeFill="accent5" w:themeFillTint="33"/>
          </w:tcPr>
          <w:p w:rsidR="001A1F95" w:rsidRPr="001F58A8" w:rsidRDefault="001A1F95" w:rsidP="00F05234">
            <w:pPr>
              <w:pStyle w:val="TabNumeri"/>
            </w:pPr>
            <w:r w:rsidRPr="001F58A8">
              <w:t>1,8</w:t>
            </w:r>
          </w:p>
        </w:tc>
        <w:tc>
          <w:tcPr>
            <w:tcW w:w="1134" w:type="dxa"/>
            <w:shd w:val="clear" w:color="auto" w:fill="DAEEF3" w:themeFill="accent5" w:themeFillTint="33"/>
          </w:tcPr>
          <w:p w:rsidR="001A1F95" w:rsidRPr="001F58A8" w:rsidRDefault="001A1F95" w:rsidP="00F05234">
            <w:pPr>
              <w:pStyle w:val="TabNumeri"/>
            </w:pPr>
            <w:r w:rsidRPr="001F58A8">
              <w:t>1,5</w:t>
            </w:r>
          </w:p>
        </w:tc>
        <w:tc>
          <w:tcPr>
            <w:tcW w:w="1134" w:type="dxa"/>
            <w:shd w:val="clear" w:color="auto" w:fill="DAEEF3" w:themeFill="accent5" w:themeFillTint="33"/>
          </w:tcPr>
          <w:p w:rsidR="001A1F95" w:rsidRPr="001F58A8" w:rsidRDefault="001A1F95" w:rsidP="00F05234">
            <w:pPr>
              <w:pStyle w:val="TabNumeri"/>
            </w:pPr>
            <w:r w:rsidRPr="001F58A8">
              <w:t>0,6</w:t>
            </w:r>
          </w:p>
        </w:tc>
        <w:tc>
          <w:tcPr>
            <w:tcW w:w="1134" w:type="dxa"/>
            <w:shd w:val="clear" w:color="auto" w:fill="DAEEF3" w:themeFill="accent5" w:themeFillTint="33"/>
          </w:tcPr>
          <w:p w:rsidR="001A1F95" w:rsidRDefault="001A1F95" w:rsidP="00F05234">
            <w:pPr>
              <w:pStyle w:val="TabNumeri"/>
            </w:pPr>
            <w:r w:rsidRPr="001F58A8">
              <w:t>0,9</w:t>
            </w:r>
          </w:p>
        </w:tc>
      </w:tr>
      <w:tr w:rsidR="001A1F95" w:rsidTr="00F05234">
        <w:trPr>
          <w:cantSplit/>
          <w:trHeight w:val="227"/>
        </w:trPr>
        <w:tc>
          <w:tcPr>
            <w:tcW w:w="4820" w:type="dxa"/>
          </w:tcPr>
          <w:p w:rsidR="001A1F95" w:rsidRPr="00EC6592" w:rsidRDefault="001A1F95" w:rsidP="00F05234">
            <w:pPr>
              <w:pStyle w:val="TabEtichetteBold"/>
              <w:rPr>
                <w:rFonts w:eastAsia="Arial Unicode MS"/>
              </w:rPr>
            </w:pPr>
            <w:r w:rsidRPr="00EC6592">
              <w:t>Rapporti caratteristici</w:t>
            </w:r>
          </w:p>
        </w:tc>
        <w:tc>
          <w:tcPr>
            <w:tcW w:w="1134" w:type="dxa"/>
          </w:tcPr>
          <w:p w:rsidR="001A1F95" w:rsidRPr="00C07302" w:rsidRDefault="001A1F95" w:rsidP="00F05234">
            <w:pPr>
              <w:pStyle w:val="TabNumeri"/>
            </w:pPr>
          </w:p>
        </w:tc>
        <w:tc>
          <w:tcPr>
            <w:tcW w:w="1134" w:type="dxa"/>
          </w:tcPr>
          <w:p w:rsidR="001A1F95" w:rsidRPr="00C07302" w:rsidRDefault="001A1F95" w:rsidP="00F05234">
            <w:pPr>
              <w:pStyle w:val="TabNumeri"/>
            </w:pPr>
          </w:p>
        </w:tc>
        <w:tc>
          <w:tcPr>
            <w:tcW w:w="1134" w:type="dxa"/>
          </w:tcPr>
          <w:p w:rsidR="001A1F95" w:rsidRPr="00C07302" w:rsidRDefault="001A1F95" w:rsidP="00F05234">
            <w:pPr>
              <w:pStyle w:val="TabNumeri"/>
            </w:pPr>
          </w:p>
        </w:tc>
        <w:tc>
          <w:tcPr>
            <w:tcW w:w="1134" w:type="dxa"/>
          </w:tcPr>
          <w:p w:rsidR="001A1F95" w:rsidRPr="00C07302" w:rsidRDefault="001A1F95" w:rsidP="00F05234">
            <w:pPr>
              <w:pStyle w:val="TabNumeri"/>
            </w:pPr>
          </w:p>
        </w:tc>
      </w:tr>
      <w:tr w:rsidR="001A1F95" w:rsidTr="00F05234">
        <w:trPr>
          <w:cantSplit/>
          <w:trHeight w:val="227"/>
        </w:trPr>
        <w:tc>
          <w:tcPr>
            <w:tcW w:w="4820" w:type="dxa"/>
            <w:shd w:val="clear" w:color="auto" w:fill="DAEEF3" w:themeFill="accent5" w:themeFillTint="33"/>
          </w:tcPr>
          <w:p w:rsidR="001A1F95" w:rsidRPr="00983308" w:rsidRDefault="001A1F95" w:rsidP="00F05234">
            <w:pPr>
              <w:pStyle w:val="TabEtichette"/>
            </w:pPr>
            <w:r w:rsidRPr="00983308">
              <w:t>Forze di lavoro</w:t>
            </w:r>
          </w:p>
        </w:tc>
        <w:tc>
          <w:tcPr>
            <w:tcW w:w="1134" w:type="dxa"/>
            <w:shd w:val="clear" w:color="auto" w:fill="DAEEF3" w:themeFill="accent5" w:themeFillTint="33"/>
          </w:tcPr>
          <w:p w:rsidR="001A1F95" w:rsidRPr="00253E6A" w:rsidRDefault="001A1F95" w:rsidP="00F05234">
            <w:pPr>
              <w:pStyle w:val="TabNumeri"/>
            </w:pPr>
            <w:r w:rsidRPr="00253E6A">
              <w:t>-0,1</w:t>
            </w:r>
          </w:p>
        </w:tc>
        <w:tc>
          <w:tcPr>
            <w:tcW w:w="1134" w:type="dxa"/>
            <w:shd w:val="clear" w:color="auto" w:fill="DAEEF3" w:themeFill="accent5" w:themeFillTint="33"/>
          </w:tcPr>
          <w:p w:rsidR="001A1F95" w:rsidRPr="00253E6A" w:rsidRDefault="001A1F95" w:rsidP="00F05234">
            <w:pPr>
              <w:pStyle w:val="TabNumeri"/>
            </w:pPr>
            <w:r w:rsidRPr="00253E6A">
              <w:t>0,9</w:t>
            </w:r>
          </w:p>
        </w:tc>
        <w:tc>
          <w:tcPr>
            <w:tcW w:w="1134" w:type="dxa"/>
            <w:shd w:val="clear" w:color="auto" w:fill="DAEEF3" w:themeFill="accent5" w:themeFillTint="33"/>
          </w:tcPr>
          <w:p w:rsidR="001A1F95" w:rsidRPr="00253E6A" w:rsidRDefault="001A1F95" w:rsidP="00F05234">
            <w:pPr>
              <w:pStyle w:val="TabNumeri"/>
            </w:pPr>
            <w:r w:rsidRPr="00253E6A">
              <w:t>1,8</w:t>
            </w:r>
          </w:p>
        </w:tc>
        <w:tc>
          <w:tcPr>
            <w:tcW w:w="1134" w:type="dxa"/>
            <w:shd w:val="clear" w:color="auto" w:fill="DAEEF3" w:themeFill="accent5" w:themeFillTint="33"/>
          </w:tcPr>
          <w:p w:rsidR="001A1F95" w:rsidRPr="00253E6A" w:rsidRDefault="001A1F95" w:rsidP="00F05234">
            <w:pPr>
              <w:pStyle w:val="TabNumeri"/>
            </w:pPr>
            <w:r w:rsidRPr="00253E6A">
              <w:t>0,2</w:t>
            </w:r>
          </w:p>
        </w:tc>
      </w:tr>
      <w:tr w:rsidR="001A1F95" w:rsidTr="00F05234">
        <w:trPr>
          <w:cantSplit/>
          <w:trHeight w:val="227"/>
        </w:trPr>
        <w:tc>
          <w:tcPr>
            <w:tcW w:w="4820" w:type="dxa"/>
          </w:tcPr>
          <w:p w:rsidR="001A1F95" w:rsidRDefault="001A1F95" w:rsidP="00F05234">
            <w:pPr>
              <w:pStyle w:val="TabEtichette"/>
            </w:pPr>
            <w:r w:rsidRPr="00983308">
              <w:t>Occupati</w:t>
            </w:r>
          </w:p>
        </w:tc>
        <w:tc>
          <w:tcPr>
            <w:tcW w:w="1134" w:type="dxa"/>
          </w:tcPr>
          <w:p w:rsidR="001A1F95" w:rsidRPr="00253E6A" w:rsidRDefault="001A1F95" w:rsidP="00F05234">
            <w:pPr>
              <w:pStyle w:val="TabNumeri"/>
            </w:pPr>
            <w:r w:rsidRPr="00253E6A">
              <w:t>0,3</w:t>
            </w:r>
          </w:p>
        </w:tc>
        <w:tc>
          <w:tcPr>
            <w:tcW w:w="1134" w:type="dxa"/>
          </w:tcPr>
          <w:p w:rsidR="001A1F95" w:rsidRPr="00253E6A" w:rsidRDefault="001A1F95" w:rsidP="00F05234">
            <w:pPr>
              <w:pStyle w:val="TabNumeri"/>
            </w:pPr>
            <w:r w:rsidRPr="00253E6A">
              <w:t>1,6</w:t>
            </w:r>
          </w:p>
        </w:tc>
        <w:tc>
          <w:tcPr>
            <w:tcW w:w="1134" w:type="dxa"/>
          </w:tcPr>
          <w:p w:rsidR="001A1F95" w:rsidRPr="00253E6A" w:rsidRDefault="001A1F95" w:rsidP="00F05234">
            <w:pPr>
              <w:pStyle w:val="TabNumeri"/>
            </w:pPr>
            <w:r w:rsidRPr="00253E6A">
              <w:t>2,0</w:t>
            </w:r>
          </w:p>
        </w:tc>
        <w:tc>
          <w:tcPr>
            <w:tcW w:w="1134" w:type="dxa"/>
          </w:tcPr>
          <w:p w:rsidR="001A1F95" w:rsidRPr="00253E6A" w:rsidRDefault="001A1F95" w:rsidP="00F05234">
            <w:pPr>
              <w:pStyle w:val="TabNumeri"/>
            </w:pPr>
            <w:r w:rsidRPr="00253E6A">
              <w:t>0,6</w:t>
            </w:r>
          </w:p>
        </w:tc>
      </w:tr>
      <w:tr w:rsidR="001A1F95" w:rsidTr="00F05234">
        <w:trPr>
          <w:cantSplit/>
          <w:trHeight w:val="227"/>
        </w:trPr>
        <w:tc>
          <w:tcPr>
            <w:tcW w:w="4820" w:type="dxa"/>
            <w:shd w:val="clear" w:color="auto" w:fill="DAEEF3" w:themeFill="accent5" w:themeFillTint="33"/>
          </w:tcPr>
          <w:p w:rsidR="001A1F95" w:rsidRPr="007427DC" w:rsidRDefault="001A1F95" w:rsidP="00F05234">
            <w:pPr>
              <w:pStyle w:val="tabetic"/>
            </w:pPr>
            <w:r>
              <w:t xml:space="preserve"> Tasso di attività (2)(3</w:t>
            </w:r>
            <w:r w:rsidRPr="007427DC">
              <w:t>)</w:t>
            </w:r>
          </w:p>
        </w:tc>
        <w:tc>
          <w:tcPr>
            <w:tcW w:w="1134" w:type="dxa"/>
            <w:shd w:val="clear" w:color="auto" w:fill="DAEEF3" w:themeFill="accent5" w:themeFillTint="33"/>
          </w:tcPr>
          <w:p w:rsidR="001A1F95" w:rsidRPr="00253E6A" w:rsidRDefault="001A1F95" w:rsidP="00F05234">
            <w:pPr>
              <w:pStyle w:val="TabNumeri"/>
            </w:pPr>
            <w:r w:rsidRPr="00253E6A">
              <w:t>47,8</w:t>
            </w:r>
          </w:p>
        </w:tc>
        <w:tc>
          <w:tcPr>
            <w:tcW w:w="1134" w:type="dxa"/>
            <w:shd w:val="clear" w:color="auto" w:fill="DAEEF3" w:themeFill="accent5" w:themeFillTint="33"/>
          </w:tcPr>
          <w:p w:rsidR="001A1F95" w:rsidRPr="00253E6A" w:rsidRDefault="001A1F95" w:rsidP="00F05234">
            <w:pPr>
              <w:pStyle w:val="TabNumeri"/>
            </w:pPr>
            <w:r w:rsidRPr="00253E6A">
              <w:t>48,2</w:t>
            </w:r>
          </w:p>
        </w:tc>
        <w:tc>
          <w:tcPr>
            <w:tcW w:w="1134" w:type="dxa"/>
            <w:shd w:val="clear" w:color="auto" w:fill="DAEEF3" w:themeFill="accent5" w:themeFillTint="33"/>
          </w:tcPr>
          <w:p w:rsidR="001A1F95" w:rsidRPr="00253E6A" w:rsidRDefault="001A1F95" w:rsidP="00F05234">
            <w:pPr>
              <w:pStyle w:val="TabNumeri"/>
            </w:pPr>
            <w:r w:rsidRPr="00253E6A">
              <w:t>48,9</w:t>
            </w:r>
          </w:p>
        </w:tc>
        <w:tc>
          <w:tcPr>
            <w:tcW w:w="1134" w:type="dxa"/>
            <w:shd w:val="clear" w:color="auto" w:fill="DAEEF3" w:themeFill="accent5" w:themeFillTint="33"/>
          </w:tcPr>
          <w:p w:rsidR="001A1F95" w:rsidRPr="00253E6A" w:rsidRDefault="001A1F95" w:rsidP="00F05234">
            <w:pPr>
              <w:pStyle w:val="TabNumeri"/>
            </w:pPr>
            <w:r w:rsidRPr="00253E6A">
              <w:t>48,9</w:t>
            </w:r>
          </w:p>
        </w:tc>
      </w:tr>
      <w:tr w:rsidR="001A1F95" w:rsidTr="00F05234">
        <w:trPr>
          <w:cantSplit/>
          <w:trHeight w:val="227"/>
        </w:trPr>
        <w:tc>
          <w:tcPr>
            <w:tcW w:w="4820" w:type="dxa"/>
          </w:tcPr>
          <w:p w:rsidR="001A1F95" w:rsidRPr="007427DC" w:rsidRDefault="001A1F95" w:rsidP="00F05234">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1A1F95" w:rsidRPr="00253E6A" w:rsidRDefault="001A1F95" w:rsidP="00F05234">
            <w:pPr>
              <w:pStyle w:val="TabNumeri"/>
            </w:pPr>
            <w:r w:rsidRPr="00253E6A">
              <w:t>44,6</w:t>
            </w:r>
          </w:p>
        </w:tc>
        <w:tc>
          <w:tcPr>
            <w:tcW w:w="1134" w:type="dxa"/>
          </w:tcPr>
          <w:p w:rsidR="001A1F95" w:rsidRPr="00253E6A" w:rsidRDefault="001A1F95" w:rsidP="00F05234">
            <w:pPr>
              <w:pStyle w:val="TabNumeri"/>
            </w:pPr>
            <w:r w:rsidRPr="00253E6A">
              <w:t>45,3</w:t>
            </w:r>
          </w:p>
        </w:tc>
        <w:tc>
          <w:tcPr>
            <w:tcW w:w="1134" w:type="dxa"/>
          </w:tcPr>
          <w:p w:rsidR="001A1F95" w:rsidRPr="00253E6A" w:rsidRDefault="001A1F95" w:rsidP="00F05234">
            <w:pPr>
              <w:pStyle w:val="TabNumeri"/>
            </w:pPr>
            <w:r w:rsidRPr="00253E6A">
              <w:t>46,2</w:t>
            </w:r>
          </w:p>
        </w:tc>
        <w:tc>
          <w:tcPr>
            <w:tcW w:w="1134" w:type="dxa"/>
          </w:tcPr>
          <w:p w:rsidR="001A1F95" w:rsidRPr="00253E6A" w:rsidRDefault="001A1F95" w:rsidP="00F05234">
            <w:pPr>
              <w:pStyle w:val="TabNumeri"/>
            </w:pPr>
            <w:r w:rsidRPr="00253E6A">
              <w:t>46,3</w:t>
            </w:r>
          </w:p>
        </w:tc>
      </w:tr>
      <w:tr w:rsidR="001A1F95" w:rsidTr="00F05234">
        <w:trPr>
          <w:cantSplit/>
          <w:trHeight w:val="227"/>
        </w:trPr>
        <w:tc>
          <w:tcPr>
            <w:tcW w:w="4820" w:type="dxa"/>
            <w:shd w:val="clear" w:color="auto" w:fill="DAEEF3" w:themeFill="accent5" w:themeFillTint="33"/>
          </w:tcPr>
          <w:p w:rsidR="001A1F95" w:rsidRPr="007427DC" w:rsidRDefault="001A1F95" w:rsidP="00F05234">
            <w:pPr>
              <w:pStyle w:val="tabetic"/>
            </w:pPr>
            <w:r>
              <w:t xml:space="preserve"> Tasso di disoccupazione (2</w:t>
            </w:r>
            <w:r w:rsidRPr="007427DC">
              <w:t>)</w:t>
            </w:r>
          </w:p>
        </w:tc>
        <w:tc>
          <w:tcPr>
            <w:tcW w:w="1134" w:type="dxa"/>
            <w:shd w:val="clear" w:color="auto" w:fill="DAEEF3" w:themeFill="accent5" w:themeFillTint="33"/>
          </w:tcPr>
          <w:p w:rsidR="001A1F95" w:rsidRPr="00253E6A" w:rsidRDefault="001A1F95" w:rsidP="00F05234">
            <w:pPr>
              <w:pStyle w:val="TabNumeri"/>
            </w:pPr>
            <w:r w:rsidRPr="00253E6A">
              <w:t>6,5</w:t>
            </w:r>
          </w:p>
        </w:tc>
        <w:tc>
          <w:tcPr>
            <w:tcW w:w="1134" w:type="dxa"/>
            <w:shd w:val="clear" w:color="auto" w:fill="DAEEF3" w:themeFill="accent5" w:themeFillTint="33"/>
          </w:tcPr>
          <w:p w:rsidR="001A1F95" w:rsidRPr="00253E6A" w:rsidRDefault="001A1F95" w:rsidP="00F05234">
            <w:pPr>
              <w:pStyle w:val="TabNumeri"/>
            </w:pPr>
            <w:r w:rsidRPr="00253E6A">
              <w:t>5,9</w:t>
            </w:r>
          </w:p>
        </w:tc>
        <w:tc>
          <w:tcPr>
            <w:tcW w:w="1134" w:type="dxa"/>
            <w:shd w:val="clear" w:color="auto" w:fill="DAEEF3" w:themeFill="accent5" w:themeFillTint="33"/>
          </w:tcPr>
          <w:p w:rsidR="001A1F95" w:rsidRPr="00253E6A" w:rsidRDefault="001A1F95" w:rsidP="00F05234">
            <w:pPr>
              <w:pStyle w:val="TabNumeri"/>
            </w:pPr>
            <w:r w:rsidRPr="00253E6A">
              <w:t>5,6</w:t>
            </w:r>
          </w:p>
        </w:tc>
        <w:tc>
          <w:tcPr>
            <w:tcW w:w="1134" w:type="dxa"/>
            <w:shd w:val="clear" w:color="auto" w:fill="DAEEF3" w:themeFill="accent5" w:themeFillTint="33"/>
          </w:tcPr>
          <w:p w:rsidR="001A1F95" w:rsidRPr="00253E6A" w:rsidRDefault="001A1F95" w:rsidP="00F05234">
            <w:pPr>
              <w:pStyle w:val="TabNumeri"/>
            </w:pPr>
            <w:r w:rsidRPr="00253E6A">
              <w:t>5,3</w:t>
            </w:r>
          </w:p>
        </w:tc>
      </w:tr>
      <w:tr w:rsidR="001A1F95" w:rsidTr="00F05234">
        <w:trPr>
          <w:cantSplit/>
        </w:trPr>
        <w:tc>
          <w:tcPr>
            <w:tcW w:w="9356" w:type="dxa"/>
            <w:gridSpan w:val="5"/>
            <w:tcBorders>
              <w:top w:val="single" w:sz="4" w:space="0" w:color="800000"/>
            </w:tcBorders>
          </w:tcPr>
          <w:p w:rsidR="001A1F95" w:rsidRDefault="001A1F95" w:rsidP="00F05234">
            <w:pPr>
              <w:pStyle w:val="TabNoteSuperiori"/>
            </w:pPr>
            <w:r>
              <w:t>(1) Al netto delle scorte. (2) Rapporto percentuale. (3) Quota sulla popolazione presente totale.</w:t>
            </w:r>
          </w:p>
          <w:p w:rsidR="001A1F95" w:rsidRPr="007C570B" w:rsidRDefault="001A1F95" w:rsidP="00F05234">
            <w:pPr>
              <w:pStyle w:val="TabNoteInferiori"/>
            </w:pPr>
            <w:r w:rsidRPr="00B60C06">
              <w:t xml:space="preserve">Fonte: elaborazione Unioncamere E.R. su dati Prometeia, Scenari per le economie locali, </w:t>
            </w:r>
            <w:r>
              <w:t xml:space="preserve">luglio </w:t>
            </w:r>
            <w:r>
              <w:fldChar w:fldCharType="begin"/>
            </w:r>
            <w:r>
              <w:instrText xml:space="preserve"> DATE  \@ "yyyy"  \* MERGEFORMAT </w:instrText>
            </w:r>
            <w:r>
              <w:fldChar w:fldCharType="separate"/>
            </w:r>
            <w:r>
              <w:rPr>
                <w:noProof/>
              </w:rPr>
              <w:t>2019</w:t>
            </w:r>
            <w:r>
              <w:fldChar w:fldCharType="end"/>
            </w:r>
            <w:r w:rsidRPr="00B60C06">
              <w:t>.</w:t>
            </w:r>
          </w:p>
        </w:tc>
      </w:tr>
    </w:tbl>
    <w:p w:rsidR="000530E2" w:rsidRDefault="000530E2" w:rsidP="000530E2">
      <w:r w:rsidRPr="00E40C89">
        <w:t xml:space="preserve">La crescita del prodotto interno lordo attesa nel 2019 dovrebbe rallentare sensibilmente allo 0,6 per cento e riprendersi solo parzialmente nel 2020 (+0,9 per cento). Il Pil regionale in termini reali nel 2019 dovrebbe risultare superiore dell’8,4 per cento rispetto ai livelli minimi toccati al culmine della crisi nel </w:t>
      </w:r>
      <w:r w:rsidRPr="00E40C89">
        <w:lastRenderedPageBreak/>
        <w:t>2009, ma ancora sostanzialmente in linea con il livello del 2007.</w:t>
      </w:r>
      <w:r>
        <w:t xml:space="preserve"> </w:t>
      </w:r>
      <w:r w:rsidRPr="009D6626">
        <w:t xml:space="preserve">L’andamento regionale si conferma leggermente migliore di quello nazionale. </w:t>
      </w:r>
      <w:r w:rsidRPr="00737832">
        <w:t>Nonostante il rallentamento, l’Emilia-Romagna si prospetta al vertice tra le regioni italiane per capacità di crescita insieme con la Lombardia nel 2019 e insieme a Lombardia e Veneto nel 2020.</w:t>
      </w:r>
      <w:r>
        <w:t xml:space="preserve"> La crescita dei consumi, già bassa, rallenterà solo lievemente nel 2019 (+0,8 per cento), per riprendersi minimamente nel 2020, con una crescita dello 0,8 per cento. Nel 2019 i consumi privati aggregati risulteranno superiori del 3,2 per cento rispetto a quelli del picco del 2011, ma probabilmente con una maggiore diseguaglianza. Gli investimenti fissi lordi hanno trainato la crescita della domanda interna, ma nel 2019 subiranno un brusco rallentamento (+1,4 per cento) e la fase di incertezza ne conterrà la dinamica al 2,2 per cento nel 2020. I livelli di accumulazione nel 2019 saranno inferiori del 19,0 per cento rispetto a quelli del precedente massimo risalente al 2008. La dinamica delle esportazioni regionali, nonostante la debole crescita del commercio mondiale, resta sostenuta nel 2019 (+4,9 per cento). La tendenza positiva dovrebbe spegnersi nel 2020, con un aumento di solo l’1,7 per cento delle vendite all’estero. Al termine dell’anno corrente in valore reale supereranno del 29,1 per cento il livello massimo precedente la crisi, toccato nel 2007. Una misura sia del successo sui mercati esteri, sia dei rischi potenziali derivanti da restrizioni commerciali.</w:t>
      </w:r>
    </w:p>
    <w:p w:rsidR="003B2A5B" w:rsidRDefault="003B2A5B" w:rsidP="003B2A5B">
      <w:pPr>
        <w:pStyle w:val="Titolo4"/>
      </w:pPr>
      <w:r>
        <w:t>La formazione del valore aggiunto: i settori</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1A1F95" w:rsidTr="00F05234">
        <w:trPr>
          <w:cantSplit/>
        </w:trPr>
        <w:tc>
          <w:tcPr>
            <w:tcW w:w="9356" w:type="dxa"/>
          </w:tcPr>
          <w:p w:rsidR="001A1F95" w:rsidRDefault="001A1F95" w:rsidP="00F05234">
            <w:pPr>
              <w:pStyle w:val="FigTitolo"/>
              <w:ind w:left="1134" w:hanging="1134"/>
            </w:pPr>
            <w:r>
              <w:t>Il quadro regionale: tasso di variazione e numero indice del Pil (2000=100)</w:t>
            </w:r>
          </w:p>
          <w:p w:rsidR="001A1F95" w:rsidRDefault="001A1F95" w:rsidP="00F05234">
            <w:pPr>
              <w:pStyle w:val="Figure"/>
            </w:pPr>
            <w:r w:rsidRPr="00AD0198">
              <w:rPr>
                <w:noProof/>
              </w:rPr>
              <w:drawing>
                <wp:inline distT="0" distB="0" distL="0" distR="0" wp14:anchorId="3EDE581D" wp14:editId="72E72580">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A1F95" w:rsidRDefault="001A1F95" w:rsidP="00F05234">
            <w:pPr>
              <w:pStyle w:val="TabNoteInferiori"/>
            </w:pPr>
            <w:r w:rsidRPr="0029075E">
              <w:t xml:space="preserve">Fonte: </w:t>
            </w:r>
            <w:r w:rsidRPr="00B60C06">
              <w:t xml:space="preserve">elaborazione Unioncamere E.R. su dati Prometeia, Scenari per le economie locali, </w:t>
            </w:r>
            <w:r>
              <w:t xml:space="preserve">luglio </w:t>
            </w:r>
            <w:r>
              <w:fldChar w:fldCharType="begin"/>
            </w:r>
            <w:r>
              <w:instrText xml:space="preserve"> DATE  \@ "yyyy"  \* MERGEFORMAT </w:instrText>
            </w:r>
            <w:r>
              <w:fldChar w:fldCharType="separate"/>
            </w:r>
            <w:r>
              <w:rPr>
                <w:noProof/>
              </w:rPr>
              <w:t>2019</w:t>
            </w:r>
            <w:r>
              <w:fldChar w:fldCharType="end"/>
            </w:r>
            <w:r w:rsidRPr="00B60C06">
              <w:t>..</w:t>
            </w:r>
            <w:r w:rsidRPr="0029075E">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1A1F95" w:rsidTr="00F05234">
        <w:trPr>
          <w:cantSplit/>
        </w:trPr>
        <w:tc>
          <w:tcPr>
            <w:tcW w:w="9356" w:type="dxa"/>
          </w:tcPr>
          <w:p w:rsidR="001A1F95" w:rsidRDefault="001A1F95" w:rsidP="00F05234">
            <w:pPr>
              <w:pStyle w:val="FigTitolo"/>
              <w:ind w:left="1134" w:hanging="1134"/>
            </w:pPr>
            <w:r>
              <w:t>Il quadro regionale, i settori : tassi di variazione e numeri indice del valore aggiunto (2000=100)</w:t>
            </w:r>
          </w:p>
          <w:p w:rsidR="001A1F95" w:rsidRDefault="001A1F95" w:rsidP="00F05234">
            <w:pPr>
              <w:pStyle w:val="Figure"/>
            </w:pPr>
            <w:r w:rsidRPr="00AD0198">
              <w:rPr>
                <w:noProof/>
              </w:rPr>
              <w:drawing>
                <wp:inline distT="0" distB="0" distL="0" distR="0" wp14:anchorId="74A7B565" wp14:editId="60E6DAD3">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1F95" w:rsidRDefault="001A1F95" w:rsidP="00F05234">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luglio </w:t>
            </w:r>
            <w:r>
              <w:fldChar w:fldCharType="begin"/>
            </w:r>
            <w:r>
              <w:instrText xml:space="preserve"> DATE  \@ "yyyy"  \* MERGEFORMAT </w:instrText>
            </w:r>
            <w:r>
              <w:fldChar w:fldCharType="separate"/>
            </w:r>
            <w:r>
              <w:rPr>
                <w:noProof/>
              </w:rPr>
              <w:t>2019</w:t>
            </w:r>
            <w:r>
              <w:fldChar w:fldCharType="end"/>
            </w:r>
            <w:r w:rsidRPr="006F0EA1">
              <w:t>.</w:t>
            </w:r>
          </w:p>
        </w:tc>
      </w:tr>
    </w:tbl>
    <w:p w:rsidR="003B2A5B" w:rsidRDefault="000530E2" w:rsidP="000530E2">
      <w:bookmarkStart w:id="6" w:name="_GoBack"/>
      <w:bookmarkEnd w:id="6"/>
      <w:r>
        <w:t xml:space="preserve">Nonostante il rallentamento, la ripresa è diffusa in tutti i settori. In dettaglio, la crescita del valore aggiunto reale prodotto dall’industria si ridurrà sensibilmente nel 2019 (+1,0 per cento). La tendenza si manterrà stabile anche nel 2020 (+1,2 per cento). Al termine dell’anno corrente, il valore aggiunto reale dell’industria risulterà superiore di solo il 5,5 per cento rispetto al precedente massimo del 2007. Il valore aggiunto delle costruzioni nel 2019 dovrebbe registrare una crescita sensibilmente più sostenuta e pari al 3,9 per cento. Nel 2020 la nuova tendenza positiva, proseguirà solo più contenuta (+3,0 per cento). Ma al </w:t>
      </w:r>
      <w:r>
        <w:lastRenderedPageBreak/>
        <w:t>termine del corrente anno il valore aggiunto delle costruzioni risulterà inferiore del 33,9 per cento rispetto al livello del precedente massimo del 2007. Infine, la dinamica del valore aggiunto del settore dei servizi subirà un ampio rallentamento nel 2019 scendendo allo 0,2 per cento. La tendenza positiva dovrebbe proseguire contenuta anche nel 2020 (+0,7 per cento). Al termine dell’anno corrente il valore aggiunto dei servizi dovrebbe risultare non di molto più elevato (+1,8 per cento) rispetto al precedente massimo toccato nel 2008.</w:t>
      </w:r>
    </w:p>
    <w:p w:rsidR="003B2A5B" w:rsidRDefault="003B2A5B" w:rsidP="003B2A5B">
      <w:pPr>
        <w:pStyle w:val="Titolo4"/>
      </w:pPr>
      <w:r>
        <w:t>Il mercato del lavoro</w:t>
      </w:r>
    </w:p>
    <w:p w:rsidR="003B2A5B" w:rsidRDefault="000530E2" w:rsidP="000530E2">
      <w:r>
        <w:t xml:space="preserve">Le forze di lavoro cresceranno rapidamente nel 2019 (+1,8 per cento). Il tasso di attività, calcolato come quota sulla popolazione presente totale, si porterà al 48,9 per cento nel 2019 e si manterrà a questo livello anche nel 2020. La tendenza positiva degli occupati accelererà nel 2019 (+2,0 per cento), ma rallenterà nel 2020 (+0,6 per cento). Il tasso di occupazione raggiungerà comunque il 46,2 per cento e dovrebbe giungere al 46,3 per cento nel 2020. Nel 2019 risulterà inferiore di solo un decimo di punto percentuale rispetto al livello del 2008 e di 1,1 punti al di sotto del precedente massimo risalente al 2002. Il tasso di disoccupazione era pari al 2,8 per cento nel 2007 e era salito all’8,4 per cento nel 2013. La tendenza positiva del mercato del lavoro lo ridurrà al 5,6 per cento nel 2019 e al 5,3 per cento nel 2020. </w:t>
      </w:r>
    </w:p>
    <w:sectPr w:rsidR="003B2A5B"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BF3" w:rsidRDefault="00F57BF3">
      <w:r>
        <w:separator/>
      </w:r>
    </w:p>
    <w:p w:rsidR="00F57BF3" w:rsidRDefault="00F57BF3"/>
  </w:endnote>
  <w:endnote w:type="continuationSeparator" w:id="0">
    <w:p w:rsidR="00F57BF3" w:rsidRDefault="00F57BF3">
      <w:r>
        <w:continuationSeparator/>
      </w:r>
    </w:p>
    <w:p w:rsidR="00F57BF3" w:rsidRDefault="00F57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A1F95">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A1F95">
      <w:rPr>
        <w:rStyle w:val="Numeropagina"/>
        <w:noProof/>
      </w:rPr>
      <w:t>5</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BF3" w:rsidRDefault="00F57BF3">
      <w:r>
        <w:separator/>
      </w:r>
    </w:p>
    <w:p w:rsidR="00F57BF3" w:rsidRDefault="00F57BF3"/>
  </w:footnote>
  <w:footnote w:type="continuationSeparator" w:id="0">
    <w:p w:rsidR="00F57BF3" w:rsidRDefault="00F57BF3">
      <w:r>
        <w:continuationSeparator/>
      </w:r>
    </w:p>
    <w:p w:rsidR="00F57BF3" w:rsidRDefault="00F57BF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3A01"/>
    <w:rsid w:val="00006931"/>
    <w:rsid w:val="00006FF0"/>
    <w:rsid w:val="000355D6"/>
    <w:rsid w:val="00051BA7"/>
    <w:rsid w:val="000530E2"/>
    <w:rsid w:val="00060534"/>
    <w:rsid w:val="00072096"/>
    <w:rsid w:val="00081287"/>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1F95"/>
    <w:rsid w:val="001A2E23"/>
    <w:rsid w:val="001B00BB"/>
    <w:rsid w:val="001B0AFD"/>
    <w:rsid w:val="001C7B8A"/>
    <w:rsid w:val="001D3F9B"/>
    <w:rsid w:val="001E2EB1"/>
    <w:rsid w:val="001F0E1F"/>
    <w:rsid w:val="00205EB4"/>
    <w:rsid w:val="002112CA"/>
    <w:rsid w:val="0021718E"/>
    <w:rsid w:val="00226FD7"/>
    <w:rsid w:val="0023194D"/>
    <w:rsid w:val="002331F6"/>
    <w:rsid w:val="00233DDE"/>
    <w:rsid w:val="00257D06"/>
    <w:rsid w:val="002624CD"/>
    <w:rsid w:val="00280045"/>
    <w:rsid w:val="00295CB4"/>
    <w:rsid w:val="00297826"/>
    <w:rsid w:val="002A4363"/>
    <w:rsid w:val="002A67C3"/>
    <w:rsid w:val="002B4A67"/>
    <w:rsid w:val="002B5405"/>
    <w:rsid w:val="002C4F76"/>
    <w:rsid w:val="002D0E0B"/>
    <w:rsid w:val="002E0C1E"/>
    <w:rsid w:val="002F2E42"/>
    <w:rsid w:val="002F3B2B"/>
    <w:rsid w:val="003079C8"/>
    <w:rsid w:val="00311B8C"/>
    <w:rsid w:val="00326BDD"/>
    <w:rsid w:val="00343BBA"/>
    <w:rsid w:val="0034602A"/>
    <w:rsid w:val="00370DD3"/>
    <w:rsid w:val="00374C2B"/>
    <w:rsid w:val="0037602F"/>
    <w:rsid w:val="00392CCA"/>
    <w:rsid w:val="003A0916"/>
    <w:rsid w:val="003A4CBD"/>
    <w:rsid w:val="003A7986"/>
    <w:rsid w:val="003B2A5B"/>
    <w:rsid w:val="003C6E43"/>
    <w:rsid w:val="003D4594"/>
    <w:rsid w:val="003F66B1"/>
    <w:rsid w:val="00403C5A"/>
    <w:rsid w:val="004045CE"/>
    <w:rsid w:val="00421C45"/>
    <w:rsid w:val="004308CF"/>
    <w:rsid w:val="0043343E"/>
    <w:rsid w:val="004727C6"/>
    <w:rsid w:val="00474F23"/>
    <w:rsid w:val="00475E64"/>
    <w:rsid w:val="0048031B"/>
    <w:rsid w:val="0048131E"/>
    <w:rsid w:val="004821B2"/>
    <w:rsid w:val="00497B8C"/>
    <w:rsid w:val="004B0C54"/>
    <w:rsid w:val="004B4540"/>
    <w:rsid w:val="004B73AB"/>
    <w:rsid w:val="004B7A63"/>
    <w:rsid w:val="004C08CA"/>
    <w:rsid w:val="004C2B43"/>
    <w:rsid w:val="004D12DD"/>
    <w:rsid w:val="004D2755"/>
    <w:rsid w:val="004D4956"/>
    <w:rsid w:val="004D5DA3"/>
    <w:rsid w:val="0050153E"/>
    <w:rsid w:val="00507F77"/>
    <w:rsid w:val="005202D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349B5"/>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3D47"/>
    <w:rsid w:val="006E5935"/>
    <w:rsid w:val="006F1520"/>
    <w:rsid w:val="006F328F"/>
    <w:rsid w:val="006F4958"/>
    <w:rsid w:val="00711AD4"/>
    <w:rsid w:val="00736372"/>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20C9"/>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B4B85"/>
    <w:rsid w:val="008D2187"/>
    <w:rsid w:val="008E1F7C"/>
    <w:rsid w:val="008F762B"/>
    <w:rsid w:val="00904F49"/>
    <w:rsid w:val="00906A3E"/>
    <w:rsid w:val="009124B3"/>
    <w:rsid w:val="009135F2"/>
    <w:rsid w:val="00927E9E"/>
    <w:rsid w:val="009317C6"/>
    <w:rsid w:val="00941E39"/>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85257"/>
    <w:rsid w:val="00A90F5A"/>
    <w:rsid w:val="00A92FA0"/>
    <w:rsid w:val="00A97F64"/>
    <w:rsid w:val="00AA3813"/>
    <w:rsid w:val="00AA704C"/>
    <w:rsid w:val="00AB3C50"/>
    <w:rsid w:val="00AC6CE4"/>
    <w:rsid w:val="00AD3962"/>
    <w:rsid w:val="00B0117D"/>
    <w:rsid w:val="00B13C9C"/>
    <w:rsid w:val="00B141FF"/>
    <w:rsid w:val="00B242E1"/>
    <w:rsid w:val="00B27432"/>
    <w:rsid w:val="00B300CF"/>
    <w:rsid w:val="00B33405"/>
    <w:rsid w:val="00B3596A"/>
    <w:rsid w:val="00B37865"/>
    <w:rsid w:val="00B510DE"/>
    <w:rsid w:val="00B74896"/>
    <w:rsid w:val="00B85404"/>
    <w:rsid w:val="00B937FD"/>
    <w:rsid w:val="00B95681"/>
    <w:rsid w:val="00BA4E1E"/>
    <w:rsid w:val="00BA6EC0"/>
    <w:rsid w:val="00BB4979"/>
    <w:rsid w:val="00BC1170"/>
    <w:rsid w:val="00BC1241"/>
    <w:rsid w:val="00BC5420"/>
    <w:rsid w:val="00BD16F9"/>
    <w:rsid w:val="00BD7C77"/>
    <w:rsid w:val="00BD7ED5"/>
    <w:rsid w:val="00BF4352"/>
    <w:rsid w:val="00C10760"/>
    <w:rsid w:val="00C35C72"/>
    <w:rsid w:val="00C40E72"/>
    <w:rsid w:val="00C43F0D"/>
    <w:rsid w:val="00C44E27"/>
    <w:rsid w:val="00C453E8"/>
    <w:rsid w:val="00C76B9F"/>
    <w:rsid w:val="00C91709"/>
    <w:rsid w:val="00CA0382"/>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9128E"/>
    <w:rsid w:val="00EA3B0A"/>
    <w:rsid w:val="00EC7F1C"/>
    <w:rsid w:val="00ED09E7"/>
    <w:rsid w:val="00ED3E7E"/>
    <w:rsid w:val="00EE115B"/>
    <w:rsid w:val="00EE2F9D"/>
    <w:rsid w:val="00F216E5"/>
    <w:rsid w:val="00F333A5"/>
    <w:rsid w:val="00F34C07"/>
    <w:rsid w:val="00F35EF2"/>
    <w:rsid w:val="00F36164"/>
    <w:rsid w:val="00F516F4"/>
    <w:rsid w:val="00F56FF5"/>
    <w:rsid w:val="00F57BF3"/>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 w:val="00FF48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F35E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1A1F95"/>
    <w:rPr>
      <w:b/>
      <w:bCs/>
    </w:rPr>
  </w:style>
  <w:style w:type="paragraph" w:customStyle="1" w:styleId="tabnum">
    <w:name w:val="tab num"/>
    <w:basedOn w:val="Normale"/>
    <w:qFormat/>
    <w:rsid w:val="001A1F95"/>
    <w:pPr>
      <w:keepLines/>
      <w:spacing w:line="240" w:lineRule="auto"/>
      <w:ind w:firstLine="0"/>
      <w:jc w:val="right"/>
    </w:pPr>
    <w:rPr>
      <w:sz w:val="16"/>
      <w:szCs w:val="24"/>
    </w:rPr>
  </w:style>
  <w:style w:type="paragraph" w:customStyle="1" w:styleId="tabetic">
    <w:name w:val="tab etic"/>
    <w:basedOn w:val="Normale"/>
    <w:qFormat/>
    <w:rsid w:val="001A1F95"/>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F35E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1A1F95"/>
    <w:rPr>
      <w:b/>
      <w:bCs/>
    </w:rPr>
  </w:style>
  <w:style w:type="paragraph" w:customStyle="1" w:styleId="tabnum">
    <w:name w:val="tab num"/>
    <w:basedOn w:val="Normale"/>
    <w:qFormat/>
    <w:rsid w:val="001A1F95"/>
    <w:pPr>
      <w:keepLines/>
      <w:spacing w:line="240" w:lineRule="auto"/>
      <w:ind w:firstLine="0"/>
      <w:jc w:val="right"/>
    </w:pPr>
    <w:rPr>
      <w:sz w:val="16"/>
      <w:szCs w:val="24"/>
    </w:rPr>
  </w:style>
  <w:style w:type="paragraph" w:customStyle="1" w:styleId="tabetic">
    <w:name w:val="tab etic"/>
    <w:basedOn w:val="Normale"/>
    <w:qFormat/>
    <w:rsid w:val="001A1F95"/>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3.5546069903322541</c:v>
                </c:pt>
                <c:pt idx="1">
                  <c:v>2.3175800834109861</c:v>
                </c:pt>
                <c:pt idx="2">
                  <c:v>-0.91623772720467178</c:v>
                </c:pt>
                <c:pt idx="3">
                  <c:v>-6.9147786794893751</c:v>
                </c:pt>
                <c:pt idx="4">
                  <c:v>2.1306386185962811</c:v>
                </c:pt>
                <c:pt idx="5">
                  <c:v>2.5733554103256395</c:v>
                </c:pt>
                <c:pt idx="6">
                  <c:v>-2.682209691998183</c:v>
                </c:pt>
                <c:pt idx="7">
                  <c:v>-0.77287069655636031</c:v>
                </c:pt>
                <c:pt idx="8">
                  <c:v>0.90306567413676042</c:v>
                </c:pt>
                <c:pt idx="9">
                  <c:v>0.69829718543703567</c:v>
                </c:pt>
                <c:pt idx="10">
                  <c:v>1.4099938108639964</c:v>
                </c:pt>
                <c:pt idx="11">
                  <c:v>1.8408617609438016</c:v>
                </c:pt>
                <c:pt idx="12">
                  <c:v>1.4568183838977733</c:v>
                </c:pt>
                <c:pt idx="13">
                  <c:v>0.60283309315982692</c:v>
                </c:pt>
                <c:pt idx="14">
                  <c:v>0.88186050628542567</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2.0065866547446909</c:v>
                </c:pt>
                <c:pt idx="1">
                  <c:v>1.4738685466187729</c:v>
                </c:pt>
                <c:pt idx="2">
                  <c:v>-1.0504028348038208</c:v>
                </c:pt>
                <c:pt idx="3">
                  <c:v>-5.4820550401474488</c:v>
                </c:pt>
                <c:pt idx="4">
                  <c:v>1.6865234030892129</c:v>
                </c:pt>
                <c:pt idx="5">
                  <c:v>0.57662302210419458</c:v>
                </c:pt>
                <c:pt idx="6">
                  <c:v>-2.8190137792549308</c:v>
                </c:pt>
                <c:pt idx="7">
                  <c:v>-1.7281608024923067</c:v>
                </c:pt>
                <c:pt idx="8">
                  <c:v>0.11367323787825345</c:v>
                </c:pt>
                <c:pt idx="9">
                  <c:v>0.9239924875097616</c:v>
                </c:pt>
                <c:pt idx="10">
                  <c:v>1.1189006179952443</c:v>
                </c:pt>
                <c:pt idx="11">
                  <c:v>1.6841826095151724</c:v>
                </c:pt>
                <c:pt idx="12">
                  <c:v>0.85826021589350265</c:v>
                </c:pt>
                <c:pt idx="13">
                  <c:v>0.1115116379897696</c:v>
                </c:pt>
                <c:pt idx="14">
                  <c:v>0.53073597615949097</c:v>
                </c:pt>
              </c:numCache>
            </c:numRef>
          </c:val>
        </c:ser>
        <c:dLbls>
          <c:showLegendKey val="0"/>
          <c:showVal val="0"/>
          <c:showCatName val="0"/>
          <c:showSerName val="0"/>
          <c:showPercent val="0"/>
          <c:showBubbleSize val="0"/>
        </c:dLbls>
        <c:gapWidth val="100"/>
        <c:axId val="382280704"/>
        <c:axId val="37815968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107.8367843691923</c:v>
                </c:pt>
                <c:pt idx="1">
                  <c:v>110.33598820632356</c:v>
                </c:pt>
                <c:pt idx="2">
                  <c:v>109.32504825569312</c:v>
                </c:pt>
                <c:pt idx="3">
                  <c:v>101.76546312756697</c:v>
                </c:pt>
                <c:pt idx="4">
                  <c:v>103.93371738535627</c:v>
                </c:pt>
                <c:pt idx="5">
                  <c:v>106.6083013248449</c:v>
                </c:pt>
                <c:pt idx="6">
                  <c:v>103.74884313423529</c:v>
                </c:pt>
                <c:pt idx="7">
                  <c:v>102.94699872763456</c:v>
                </c:pt>
                <c:pt idx="8">
                  <c:v>103.87667773569783</c:v>
                </c:pt>
                <c:pt idx="9">
                  <c:v>104.6020456526517</c:v>
                </c:pt>
                <c:pt idx="10">
                  <c:v>106.07692802239123</c:v>
                </c:pt>
                <c:pt idx="11">
                  <c:v>108.02965762753931</c:v>
                </c:pt>
                <c:pt idx="12">
                  <c:v>109.60345353991913</c:v>
                </c:pt>
                <c:pt idx="13">
                  <c:v>110.26417942910382</c:v>
                </c:pt>
                <c:pt idx="14">
                  <c:v>111.23655568006878</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106.88419087513041</c:v>
                </c:pt>
                <c:pt idx="1">
                  <c:v>108.45952334574694</c:v>
                </c:pt>
                <c:pt idx="2">
                  <c:v>107.3202614379085</c:v>
                </c:pt>
                <c:pt idx="3">
                  <c:v>101.43690563665223</c:v>
                </c:pt>
                <c:pt idx="4">
                  <c:v>103.14766278958389</c:v>
                </c:pt>
                <c:pt idx="5">
                  <c:v>103.74243595999103</c:v>
                </c:pt>
                <c:pt idx="6">
                  <c:v>100.81792239534416</c:v>
                </c:pt>
                <c:pt idx="7">
                  <c:v>99.0756265786207</c:v>
                </c:pt>
                <c:pt idx="8">
                  <c:v>99.188249051300787</c:v>
                </c:pt>
                <c:pt idx="9">
                  <c:v>100.10474102102728</c:v>
                </c:pt>
                <c:pt idx="10">
                  <c:v>101.22481358695407</c:v>
                </c:pt>
                <c:pt idx="11">
                  <c:v>102.92962429389972</c:v>
                </c:pt>
                <c:pt idx="12">
                  <c:v>103.8130283095829</c:v>
                </c:pt>
                <c:pt idx="13">
                  <c:v>103.9287919178977</c:v>
                </c:pt>
                <c:pt idx="14">
                  <c:v>104.4803794061939</c:v>
                </c:pt>
              </c:numCache>
            </c:numRef>
          </c:val>
          <c:smooth val="0"/>
        </c:ser>
        <c:dLbls>
          <c:showLegendKey val="0"/>
          <c:showVal val="0"/>
          <c:showCatName val="0"/>
          <c:showSerName val="0"/>
          <c:showPercent val="0"/>
          <c:showBubbleSize val="0"/>
        </c:dLbls>
        <c:marker val="1"/>
        <c:smooth val="0"/>
        <c:axId val="382280192"/>
        <c:axId val="378152064"/>
      </c:lineChart>
      <c:catAx>
        <c:axId val="382280192"/>
        <c:scaling>
          <c:orientation val="minMax"/>
        </c:scaling>
        <c:delete val="0"/>
        <c:axPos val="b"/>
        <c:numFmt formatCode="General" sourceLinked="1"/>
        <c:majorTickMark val="out"/>
        <c:minorTickMark val="none"/>
        <c:tickLblPos val="nextTo"/>
        <c:crossAx val="378152064"/>
        <c:crosses val="autoZero"/>
        <c:auto val="1"/>
        <c:lblAlgn val="ctr"/>
        <c:lblOffset val="100"/>
        <c:noMultiLvlLbl val="0"/>
      </c:catAx>
      <c:valAx>
        <c:axId val="378152064"/>
        <c:scaling>
          <c:orientation val="minMax"/>
          <c:min val="98"/>
        </c:scaling>
        <c:delete val="0"/>
        <c:axPos val="l"/>
        <c:majorGridlines>
          <c:spPr>
            <a:ln w="9525">
              <a:prstDash val="dash"/>
            </a:ln>
          </c:spPr>
        </c:majorGridlines>
        <c:numFmt formatCode="0" sourceLinked="0"/>
        <c:majorTickMark val="out"/>
        <c:minorTickMark val="none"/>
        <c:tickLblPos val="nextTo"/>
        <c:crossAx val="382280192"/>
        <c:crosses val="autoZero"/>
        <c:crossBetween val="between"/>
        <c:majorUnit val="2"/>
      </c:valAx>
      <c:valAx>
        <c:axId val="378159680"/>
        <c:scaling>
          <c:orientation val="minMax"/>
          <c:max val="4"/>
          <c:min val="-8"/>
        </c:scaling>
        <c:delete val="0"/>
        <c:axPos val="r"/>
        <c:numFmt formatCode="0.0" sourceLinked="1"/>
        <c:majorTickMark val="out"/>
        <c:minorTickMark val="none"/>
        <c:tickLblPos val="nextTo"/>
        <c:crossAx val="382280704"/>
        <c:crosses val="max"/>
        <c:crossBetween val="between"/>
        <c:majorUnit val="4"/>
      </c:valAx>
      <c:catAx>
        <c:axId val="382280704"/>
        <c:scaling>
          <c:orientation val="minMax"/>
        </c:scaling>
        <c:delete val="0"/>
        <c:axPos val="b"/>
        <c:numFmt formatCode="General" sourceLinked="1"/>
        <c:majorTickMark val="none"/>
        <c:minorTickMark val="none"/>
        <c:tickLblPos val="none"/>
        <c:crossAx val="37815968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5.9601743116641216E-2"/>
          <c:y val="0.708521672240088"/>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6.3881033987985836</c:v>
                </c:pt>
                <c:pt idx="1">
                  <c:v>4.1891068673833631</c:v>
                </c:pt>
                <c:pt idx="2">
                  <c:v>-2.1328027506523295</c:v>
                </c:pt>
                <c:pt idx="3">
                  <c:v>-19.456903290621529</c:v>
                </c:pt>
                <c:pt idx="4">
                  <c:v>13.21462838585874</c:v>
                </c:pt>
                <c:pt idx="5">
                  <c:v>5.1393628845884276</c:v>
                </c:pt>
                <c:pt idx="6">
                  <c:v>-3.1355795582782564</c:v>
                </c:pt>
                <c:pt idx="7">
                  <c:v>0.70957169650687213</c:v>
                </c:pt>
                <c:pt idx="8">
                  <c:v>1.7876494872226756</c:v>
                </c:pt>
                <c:pt idx="9">
                  <c:v>2.4378364201770752</c:v>
                </c:pt>
                <c:pt idx="10">
                  <c:v>2.2960023408068464</c:v>
                </c:pt>
                <c:pt idx="11">
                  <c:v>3.4750093109869651</c:v>
                </c:pt>
                <c:pt idx="12">
                  <c:v>3.4594662328384818</c:v>
                </c:pt>
                <c:pt idx="13">
                  <c:v>0.98368247182996083</c:v>
                </c:pt>
                <c:pt idx="14">
                  <c:v>1.1558523524200393</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Foglio1!$F$2:$F$16</c:f>
              <c:numCache>
                <c:formatCode>0.0</c:formatCode>
                <c:ptCount val="15"/>
                <c:pt idx="0">
                  <c:v>4.4386518386786422</c:v>
                </c:pt>
                <c:pt idx="1">
                  <c:v>0.60414504146206749</c:v>
                </c:pt>
                <c:pt idx="2">
                  <c:v>-5.5715925294751774</c:v>
                </c:pt>
                <c:pt idx="3">
                  <c:v>-7.4681104440597608</c:v>
                </c:pt>
                <c:pt idx="4">
                  <c:v>-7.9846092609791697</c:v>
                </c:pt>
                <c:pt idx="5">
                  <c:v>-7.5888222401661043</c:v>
                </c:pt>
                <c:pt idx="6">
                  <c:v>-7.1416311691554046</c:v>
                </c:pt>
                <c:pt idx="7">
                  <c:v>-2.7859927409597973</c:v>
                </c:pt>
                <c:pt idx="8">
                  <c:v>-8.4004563210841035</c:v>
                </c:pt>
                <c:pt idx="9">
                  <c:v>-1.6567913348681018</c:v>
                </c:pt>
                <c:pt idx="10">
                  <c:v>2.7899301558062639</c:v>
                </c:pt>
                <c:pt idx="11">
                  <c:v>1.0957625536681004</c:v>
                </c:pt>
                <c:pt idx="12">
                  <c:v>1.2915467219239085</c:v>
                </c:pt>
                <c:pt idx="13">
                  <c:v>3.9396395607891543</c:v>
                </c:pt>
                <c:pt idx="14">
                  <c:v>3.0328574276648146</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Foglio1!$G$2:$G$16</c:f>
              <c:numCache>
                <c:formatCode>0.0</c:formatCode>
                <c:ptCount val="15"/>
                <c:pt idx="0">
                  <c:v>2.4956162815221061</c:v>
                </c:pt>
                <c:pt idx="1">
                  <c:v>1.9719382985903477</c:v>
                </c:pt>
                <c:pt idx="2">
                  <c:v>0.17734135558900022</c:v>
                </c:pt>
                <c:pt idx="3">
                  <c:v>-2.5230434902715482</c:v>
                </c:pt>
                <c:pt idx="4">
                  <c:v>-0.43867314068714025</c:v>
                </c:pt>
                <c:pt idx="5">
                  <c:v>2.2789350026151789</c:v>
                </c:pt>
                <c:pt idx="6">
                  <c:v>-1.5405184769449853</c:v>
                </c:pt>
                <c:pt idx="7">
                  <c:v>-0.68002454401020485</c:v>
                </c:pt>
                <c:pt idx="8">
                  <c:v>1.31220555120104</c:v>
                </c:pt>
                <c:pt idx="9">
                  <c:v>0.15941403054147152</c:v>
                </c:pt>
                <c:pt idx="10">
                  <c:v>0.8233799712763501</c:v>
                </c:pt>
                <c:pt idx="11">
                  <c:v>1.431639558778719</c:v>
                </c:pt>
                <c:pt idx="12">
                  <c:v>0.8439607881560951</c:v>
                </c:pt>
                <c:pt idx="13">
                  <c:v>0.17750311071069724</c:v>
                </c:pt>
                <c:pt idx="14">
                  <c:v>0.65693503945662979</c:v>
                </c:pt>
              </c:numCache>
            </c:numRef>
          </c:val>
        </c:ser>
        <c:dLbls>
          <c:showLegendKey val="0"/>
          <c:showVal val="0"/>
          <c:showCatName val="0"/>
          <c:showSerName val="0"/>
          <c:showPercent val="0"/>
          <c:showBubbleSize val="0"/>
        </c:dLbls>
        <c:gapWidth val="100"/>
        <c:axId val="382445568"/>
        <c:axId val="37818771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layout>
                <c:manualLayout>
                  <c:x val="-3.7659107098742303E-2"/>
                  <c:y val="-0.13346902921050294"/>
                </c:manualLayout>
              </c:layout>
              <c:dLblPos val="r"/>
              <c:showLegendKey val="0"/>
              <c:showVal val="1"/>
              <c:showCatName val="0"/>
              <c:showSerName val="0"/>
              <c:showPercent val="0"/>
              <c:showBubbleSize val="0"/>
            </c:dLbl>
            <c:dLbl>
              <c:idx val="2"/>
              <c:delete val="1"/>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109.78970485475659</c:v>
                </c:pt>
                <c:pt idx="1">
                  <c:v>114.38891292050712</c:v>
                </c:pt>
                <c:pt idx="2">
                  <c:v>111.94922303929724</c:v>
                </c:pt>
                <c:pt idx="3">
                  <c:v>90.167370977938972</c:v>
                </c:pt>
                <c:pt idx="4">
                  <c:v>102.08265397797224</c:v>
                </c:pt>
                <c:pt idx="5">
                  <c:v>107.32905200811899</c:v>
                </c:pt>
                <c:pt idx="6">
                  <c:v>103.96366419325858</c:v>
                </c:pt>
                <c:pt idx="7">
                  <c:v>104.70136092902538</c:v>
                </c:pt>
                <c:pt idx="8">
                  <c:v>106.57305427078828</c:v>
                </c:pt>
                <c:pt idx="9">
                  <c:v>109.17113100189664</c:v>
                </c:pt>
                <c:pt idx="10">
                  <c:v>111.67770272518551</c:v>
                </c:pt>
                <c:pt idx="11">
                  <c:v>115.55851329318206</c:v>
                </c:pt>
                <c:pt idx="12">
                  <c:v>119.55622103972988</c:v>
                </c:pt>
                <c:pt idx="13">
                  <c:v>120.73227463007998</c:v>
                </c:pt>
                <c:pt idx="14">
                  <c:v>122.12776146652197</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
              <c:dLblPos val="t"/>
              <c:showLegendKey val="0"/>
              <c:showVal val="1"/>
              <c:showCatName val="0"/>
              <c:showSerName val="0"/>
              <c:showPercent val="0"/>
              <c:showBubbleSize val="0"/>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dLbl>
            <c:dLbl>
              <c:idx val="18"/>
              <c:dLblPos val="t"/>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136.68914502526823</c:v>
                </c:pt>
                <c:pt idx="1">
                  <c:v>137.51494571715529</c:v>
                </c:pt>
                <c:pt idx="2">
                  <c:v>129.8531732746664</c:v>
                </c:pt>
                <c:pt idx="3">
                  <c:v>120.15559487939802</c:v>
                </c:pt>
                <c:pt idx="4">
                  <c:v>110.561640123073</c:v>
                </c:pt>
                <c:pt idx="5">
                  <c:v>102.17131378832082</c:v>
                </c:pt>
                <c:pt idx="6">
                  <c:v>94.874615396878539</c:v>
                </c:pt>
                <c:pt idx="7">
                  <c:v>92.231415498907964</c:v>
                </c:pt>
                <c:pt idx="8">
                  <c:v>84.483555725604603</c:v>
                </c:pt>
                <c:pt idx="9">
                  <c:v>83.083839494954333</c:v>
                </c:pt>
                <c:pt idx="10">
                  <c:v>85.40182058762575</c:v>
                </c:pt>
                <c:pt idx="11">
                  <c:v>86.337621757775764</c:v>
                </c:pt>
                <c:pt idx="12">
                  <c:v>87.452712481375386</c:v>
                </c:pt>
                <c:pt idx="13">
                  <c:v>90.898034139274841</c:v>
                </c:pt>
                <c:pt idx="14">
                  <c:v>93.65484191926916</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2"/>
              <c:layout>
                <c:manualLayout>
                  <c:x val="-3.9809517649367604E-2"/>
                  <c:y val="7.9208195757538374E-2"/>
                </c:manualLayout>
              </c:layout>
              <c:spPr/>
              <c:txPr>
                <a:bodyPr/>
                <a:lstStyle/>
                <a:p>
                  <a:pPr>
                    <a:defRPr>
                      <a:solidFill>
                        <a:srgbClr val="0070C0"/>
                      </a:solidFill>
                    </a:defRPr>
                  </a:pPr>
                  <a:endParaRPr lang="it-IT"/>
                </a:p>
              </c:txPr>
              <c:dLblPos val="r"/>
              <c:showLegendKey val="0"/>
              <c:showVal val="1"/>
              <c:showCatName val="0"/>
              <c:showSerName val="0"/>
              <c:showPercent val="0"/>
              <c:showBubbleSize val="0"/>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105.82661508578909</c:v>
                </c:pt>
                <c:pt idx="1">
                  <c:v>107.91345063876754</c:v>
                </c:pt>
                <c:pt idx="2">
                  <c:v>108.10482581499322</c:v>
                </c:pt>
                <c:pt idx="3">
                  <c:v>105.37729404459863</c:v>
                </c:pt>
                <c:pt idx="4">
                  <c:v>104.91503215924207</c:v>
                </c:pt>
                <c:pt idx="5">
                  <c:v>107.305977550124</c:v>
                </c:pt>
                <c:pt idx="6">
                  <c:v>105.6529091390979</c:v>
                </c:pt>
                <c:pt idx="7">
                  <c:v>104.93444342549122</c:v>
                </c:pt>
                <c:pt idx="8">
                  <c:v>106.31139901724244</c:v>
                </c:pt>
                <c:pt idx="9">
                  <c:v>106.48087430334085</c:v>
                </c:pt>
                <c:pt idx="10">
                  <c:v>107.35761649559451</c:v>
                </c:pt>
                <c:pt idx="11">
                  <c:v>108.89459060270738</c:v>
                </c:pt>
                <c:pt idx="12">
                  <c:v>109.81361824781735</c:v>
                </c:pt>
                <c:pt idx="13">
                  <c:v>110.00854083619119</c:v>
                </c:pt>
                <c:pt idx="14">
                  <c:v>110.73122548733909</c:v>
                </c:pt>
              </c:numCache>
            </c:numRef>
          </c:val>
          <c:smooth val="0"/>
        </c:ser>
        <c:dLbls>
          <c:showLegendKey val="0"/>
          <c:showVal val="0"/>
          <c:showCatName val="0"/>
          <c:showSerName val="0"/>
          <c:showPercent val="0"/>
          <c:showBubbleSize val="0"/>
        </c:dLbls>
        <c:marker val="1"/>
        <c:smooth val="0"/>
        <c:axId val="382445056"/>
        <c:axId val="378187136"/>
      </c:lineChart>
      <c:catAx>
        <c:axId val="382445056"/>
        <c:scaling>
          <c:orientation val="minMax"/>
        </c:scaling>
        <c:delete val="0"/>
        <c:axPos val="b"/>
        <c:majorGridlines/>
        <c:numFmt formatCode="0" sourceLinked="0"/>
        <c:majorTickMark val="out"/>
        <c:minorTickMark val="none"/>
        <c:tickLblPos val="low"/>
        <c:spPr>
          <a:ln w="3175">
            <a:solidFill>
              <a:schemeClr val="tx1"/>
            </a:solidFill>
          </a:ln>
        </c:spPr>
        <c:crossAx val="378187136"/>
        <c:crossesAt val="100"/>
        <c:auto val="1"/>
        <c:lblAlgn val="ctr"/>
        <c:lblOffset val="100"/>
        <c:noMultiLvlLbl val="0"/>
      </c:catAx>
      <c:valAx>
        <c:axId val="378187136"/>
        <c:scaling>
          <c:orientation val="minMax"/>
          <c:max val="140"/>
          <c:min val="80"/>
        </c:scaling>
        <c:delete val="0"/>
        <c:axPos val="l"/>
        <c:numFmt formatCode="0" sourceLinked="0"/>
        <c:majorTickMark val="out"/>
        <c:minorTickMark val="none"/>
        <c:tickLblPos val="nextTo"/>
        <c:crossAx val="382445056"/>
        <c:crossesAt val="1"/>
        <c:crossBetween val="between"/>
        <c:majorUnit val="10"/>
        <c:minorUnit val="5"/>
      </c:valAx>
      <c:valAx>
        <c:axId val="378187712"/>
        <c:scaling>
          <c:orientation val="minMax"/>
          <c:min val="-20"/>
        </c:scaling>
        <c:delete val="0"/>
        <c:axPos val="r"/>
        <c:numFmt formatCode="0_ ;[Red]\-0\ " sourceLinked="0"/>
        <c:majorTickMark val="out"/>
        <c:minorTickMark val="none"/>
        <c:tickLblPos val="nextTo"/>
        <c:crossAx val="382445568"/>
        <c:crosses val="max"/>
        <c:crossBetween val="between"/>
      </c:valAx>
      <c:catAx>
        <c:axId val="382445568"/>
        <c:scaling>
          <c:orientation val="minMax"/>
        </c:scaling>
        <c:delete val="0"/>
        <c:axPos val="b"/>
        <c:numFmt formatCode="General" sourceLinked="1"/>
        <c:majorTickMark val="none"/>
        <c:minorTickMark val="none"/>
        <c:tickLblPos val="none"/>
        <c:crossAx val="37818771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6E206-AF47-4012-9A3E-C01F46DF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7</Pages>
  <Words>3350</Words>
  <Characters>19098</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5</cp:revision>
  <cp:lastPrinted>2012-03-30T09:15:00Z</cp:lastPrinted>
  <dcterms:created xsi:type="dcterms:W3CDTF">2019-09-19T13:11:00Z</dcterms:created>
  <dcterms:modified xsi:type="dcterms:W3CDTF">2019-09-19T13:18:00Z</dcterms:modified>
</cp:coreProperties>
</file>