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699FF4" w14:textId="77777777" w:rsidR="00541FB1" w:rsidRDefault="00BD7C77" w:rsidP="00072096">
      <w:pPr>
        <w:pStyle w:val="Titolo1"/>
      </w:pPr>
      <w:r>
        <w:t>X</w:t>
      </w:r>
      <w:r w:rsidR="00FF4238">
        <w:t>.</w:t>
      </w:r>
      <w:r w:rsidR="00072096">
        <w:tab/>
        <w:t>Scenario economico</w:t>
      </w:r>
    </w:p>
    <w:p w14:paraId="422A41EF" w14:textId="77777777" w:rsidR="00BA6EC0" w:rsidRDefault="00CF2079" w:rsidP="00BA6EC0">
      <w:pPr>
        <w:pStyle w:val="Titolo2"/>
      </w:pPr>
      <w:r>
        <w:t>X</w:t>
      </w:r>
      <w:r w:rsidR="00BA6EC0">
        <w:t>.</w:t>
      </w:r>
      <w:r w:rsidR="00FF4238">
        <w:t>1.</w:t>
      </w:r>
      <w:r w:rsidR="00BA6EC0">
        <w:tab/>
      </w:r>
      <w:r w:rsidR="00C43F0D">
        <w:t>L’economia mondiale</w:t>
      </w:r>
    </w:p>
    <w:tbl>
      <w:tblPr>
        <w:tblpPr w:topFromText="284" w:bottomFromText="284" w:tblpXSpec="center" w:tblpYSpec="bottom"/>
        <w:tblOverlap w:val="never"/>
        <w:tblW w:w="9358" w:type="dxa"/>
        <w:tblLayout w:type="fixed"/>
        <w:tblCellMar>
          <w:left w:w="0" w:type="dxa"/>
          <w:right w:w="0" w:type="dxa"/>
        </w:tblCellMar>
        <w:tblLook w:val="0000" w:firstRow="0" w:lastRow="0" w:firstColumn="0" w:lastColumn="0" w:noHBand="0" w:noVBand="0"/>
      </w:tblPr>
      <w:tblGrid>
        <w:gridCol w:w="3402"/>
        <w:gridCol w:w="510"/>
        <w:gridCol w:w="510"/>
        <w:gridCol w:w="510"/>
        <w:gridCol w:w="340"/>
        <w:gridCol w:w="2552"/>
        <w:gridCol w:w="510"/>
        <w:gridCol w:w="510"/>
        <w:gridCol w:w="514"/>
      </w:tblGrid>
      <w:tr w:rsidR="00BF7C78" w:rsidRPr="00BC2A0C" w14:paraId="5AFAC3D0" w14:textId="77777777" w:rsidTr="00A4116A">
        <w:trPr>
          <w:cantSplit/>
        </w:trPr>
        <w:tc>
          <w:tcPr>
            <w:tcW w:w="9358" w:type="dxa"/>
            <w:gridSpan w:val="9"/>
            <w:tcBorders>
              <w:bottom w:val="single" w:sz="4" w:space="0" w:color="800000"/>
            </w:tcBorders>
          </w:tcPr>
          <w:p w14:paraId="0282476D" w14:textId="77777777" w:rsidR="00BF7C78" w:rsidRPr="00BC2A0C" w:rsidRDefault="00BF7C78" w:rsidP="00A4116A">
            <w:pPr>
              <w:pStyle w:val="TabTitolo"/>
            </w:pPr>
            <w:r w:rsidRPr="007C3BBD">
              <w:t>La previsione del Fondo Monetario Internazionale (a)(b)</w:t>
            </w:r>
          </w:p>
        </w:tc>
      </w:tr>
      <w:tr w:rsidR="00BF7C78" w:rsidRPr="00BC2A0C" w14:paraId="0A6773E2" w14:textId="77777777" w:rsidTr="00A4116A">
        <w:trPr>
          <w:cantSplit/>
        </w:trPr>
        <w:tc>
          <w:tcPr>
            <w:tcW w:w="3402" w:type="dxa"/>
            <w:tcBorders>
              <w:top w:val="single" w:sz="4" w:space="0" w:color="800000"/>
              <w:bottom w:val="single" w:sz="4" w:space="0" w:color="800000"/>
            </w:tcBorders>
          </w:tcPr>
          <w:p w14:paraId="6136EAA3" w14:textId="77777777" w:rsidR="00BF7C78" w:rsidRPr="00BC2A0C" w:rsidRDefault="00BF7C78" w:rsidP="00A4116A">
            <w:pPr>
              <w:pStyle w:val="TabIntestazioni"/>
            </w:pPr>
          </w:p>
        </w:tc>
        <w:tc>
          <w:tcPr>
            <w:tcW w:w="510" w:type="dxa"/>
            <w:tcBorders>
              <w:top w:val="single" w:sz="4" w:space="0" w:color="800000"/>
              <w:bottom w:val="single" w:sz="4" w:space="0" w:color="800000"/>
            </w:tcBorders>
          </w:tcPr>
          <w:p w14:paraId="12D46B86" w14:textId="77777777" w:rsidR="00BF7C78" w:rsidRPr="003234B1" w:rsidRDefault="00BF7C78" w:rsidP="00A4116A">
            <w:pPr>
              <w:pStyle w:val="TabIntestazioni"/>
            </w:pPr>
            <w:r w:rsidRPr="003234B1">
              <w:t>201</w:t>
            </w:r>
            <w:r>
              <w:t>9</w:t>
            </w:r>
          </w:p>
        </w:tc>
        <w:tc>
          <w:tcPr>
            <w:tcW w:w="510" w:type="dxa"/>
            <w:tcBorders>
              <w:top w:val="single" w:sz="4" w:space="0" w:color="800000"/>
              <w:bottom w:val="single" w:sz="4" w:space="0" w:color="800000"/>
            </w:tcBorders>
          </w:tcPr>
          <w:p w14:paraId="7A2DB444" w14:textId="77777777" w:rsidR="00BF7C78" w:rsidRPr="003234B1" w:rsidRDefault="00BF7C78" w:rsidP="00A4116A">
            <w:pPr>
              <w:pStyle w:val="TabIntestazioni"/>
            </w:pPr>
            <w:r w:rsidRPr="003234B1">
              <w:t>20</w:t>
            </w:r>
            <w:r>
              <w:t>20</w:t>
            </w:r>
          </w:p>
        </w:tc>
        <w:tc>
          <w:tcPr>
            <w:tcW w:w="510" w:type="dxa"/>
            <w:tcBorders>
              <w:top w:val="single" w:sz="4" w:space="0" w:color="800000"/>
              <w:bottom w:val="single" w:sz="4" w:space="0" w:color="800000"/>
            </w:tcBorders>
          </w:tcPr>
          <w:p w14:paraId="46698492" w14:textId="77777777" w:rsidR="00BF7C78" w:rsidRPr="003234B1" w:rsidRDefault="00BF7C78" w:rsidP="00A4116A">
            <w:pPr>
              <w:pStyle w:val="TabIntestazioni"/>
            </w:pPr>
            <w:r w:rsidRPr="003234B1">
              <w:t>20</w:t>
            </w:r>
            <w:r>
              <w:t>21</w:t>
            </w:r>
          </w:p>
        </w:tc>
        <w:tc>
          <w:tcPr>
            <w:tcW w:w="340" w:type="dxa"/>
            <w:tcBorders>
              <w:top w:val="single" w:sz="4" w:space="0" w:color="800000"/>
              <w:bottom w:val="single" w:sz="4" w:space="0" w:color="800000"/>
            </w:tcBorders>
          </w:tcPr>
          <w:p w14:paraId="590FB638" w14:textId="77777777" w:rsidR="00BF7C78" w:rsidRPr="00BC2A0C" w:rsidRDefault="00BF7C78" w:rsidP="00A4116A">
            <w:pPr>
              <w:pStyle w:val="TabIntestazioni"/>
            </w:pPr>
          </w:p>
        </w:tc>
        <w:tc>
          <w:tcPr>
            <w:tcW w:w="2552" w:type="dxa"/>
            <w:tcBorders>
              <w:top w:val="single" w:sz="4" w:space="0" w:color="800000"/>
              <w:bottom w:val="single" w:sz="4" w:space="0" w:color="800000"/>
            </w:tcBorders>
          </w:tcPr>
          <w:p w14:paraId="4ACE72BC" w14:textId="77777777" w:rsidR="00BF7C78" w:rsidRPr="00BC2A0C" w:rsidRDefault="00BF7C78" w:rsidP="00A4116A">
            <w:pPr>
              <w:pStyle w:val="TabIntestazioni"/>
            </w:pPr>
          </w:p>
        </w:tc>
        <w:tc>
          <w:tcPr>
            <w:tcW w:w="510" w:type="dxa"/>
            <w:tcBorders>
              <w:top w:val="single" w:sz="4" w:space="0" w:color="800000"/>
              <w:bottom w:val="single" w:sz="4" w:space="0" w:color="800000"/>
            </w:tcBorders>
          </w:tcPr>
          <w:p w14:paraId="6D1481D1" w14:textId="77777777" w:rsidR="00BF7C78" w:rsidRPr="003234B1" w:rsidRDefault="00BF7C78" w:rsidP="00A4116A">
            <w:pPr>
              <w:pStyle w:val="TabIntestazioni"/>
            </w:pPr>
            <w:r w:rsidRPr="003234B1">
              <w:t>201</w:t>
            </w:r>
            <w:r>
              <w:t>9</w:t>
            </w:r>
          </w:p>
        </w:tc>
        <w:tc>
          <w:tcPr>
            <w:tcW w:w="510" w:type="dxa"/>
            <w:tcBorders>
              <w:top w:val="single" w:sz="4" w:space="0" w:color="800000"/>
              <w:bottom w:val="single" w:sz="4" w:space="0" w:color="800000"/>
            </w:tcBorders>
          </w:tcPr>
          <w:p w14:paraId="46C521DE" w14:textId="77777777" w:rsidR="00BF7C78" w:rsidRPr="003234B1" w:rsidRDefault="00BF7C78" w:rsidP="00A4116A">
            <w:pPr>
              <w:pStyle w:val="TabIntestazioni"/>
            </w:pPr>
            <w:r w:rsidRPr="003234B1">
              <w:t>20</w:t>
            </w:r>
            <w:r>
              <w:t>20</w:t>
            </w:r>
          </w:p>
        </w:tc>
        <w:tc>
          <w:tcPr>
            <w:tcW w:w="514" w:type="dxa"/>
            <w:tcBorders>
              <w:top w:val="single" w:sz="4" w:space="0" w:color="800000"/>
              <w:bottom w:val="single" w:sz="4" w:space="0" w:color="800000"/>
            </w:tcBorders>
          </w:tcPr>
          <w:p w14:paraId="13B10DB4" w14:textId="77777777" w:rsidR="00BF7C78" w:rsidRPr="003234B1" w:rsidRDefault="00BF7C78" w:rsidP="00A4116A">
            <w:pPr>
              <w:pStyle w:val="TabIntestazioni"/>
            </w:pPr>
            <w:r w:rsidRPr="003234B1">
              <w:t>20</w:t>
            </w:r>
            <w:r>
              <w:t>21</w:t>
            </w:r>
          </w:p>
        </w:tc>
      </w:tr>
      <w:tr w:rsidR="00BF7C78" w:rsidRPr="00BC2A0C" w14:paraId="3B49C7BC" w14:textId="77777777" w:rsidTr="00A4116A">
        <w:trPr>
          <w:cantSplit/>
          <w:trHeight w:val="255"/>
        </w:trPr>
        <w:tc>
          <w:tcPr>
            <w:tcW w:w="9358" w:type="dxa"/>
            <w:gridSpan w:val="9"/>
            <w:shd w:val="clear" w:color="auto" w:fill="F2F2F2" w:themeFill="background1" w:themeFillShade="F2"/>
          </w:tcPr>
          <w:p w14:paraId="3DD54F23" w14:textId="77777777" w:rsidR="00BF7C78" w:rsidRPr="00997C5D" w:rsidRDefault="00BF7C78" w:rsidP="00A4116A">
            <w:pPr>
              <w:pStyle w:val="TabIntestaSup"/>
            </w:pPr>
            <w:r>
              <w:t>Prodotto</w:t>
            </w:r>
          </w:p>
        </w:tc>
      </w:tr>
      <w:tr w:rsidR="00BF7C78" w:rsidRPr="00BC2A0C" w14:paraId="5321FE56" w14:textId="77777777" w:rsidTr="00A4116A">
        <w:trPr>
          <w:cantSplit/>
          <w:trHeight w:val="255"/>
        </w:trPr>
        <w:tc>
          <w:tcPr>
            <w:tcW w:w="3402" w:type="dxa"/>
          </w:tcPr>
          <w:p w14:paraId="18803EDB" w14:textId="77777777" w:rsidR="00BF7C78" w:rsidRPr="00BC2A0C" w:rsidRDefault="00BF7C78" w:rsidP="00A4116A">
            <w:pPr>
              <w:pStyle w:val="TabEtichette"/>
            </w:pPr>
            <w:r w:rsidRPr="00BC2A0C">
              <w:t>Prodotto mondiale</w:t>
            </w:r>
          </w:p>
        </w:tc>
        <w:tc>
          <w:tcPr>
            <w:tcW w:w="510" w:type="dxa"/>
          </w:tcPr>
          <w:p w14:paraId="0AF81CF2" w14:textId="77777777" w:rsidR="00BF7C78" w:rsidRPr="0040417A" w:rsidRDefault="00BF7C78" w:rsidP="00A4116A">
            <w:pPr>
              <w:pStyle w:val="TabNumeri"/>
            </w:pPr>
            <w:r w:rsidRPr="0040417A">
              <w:t xml:space="preserve">2,9 </w:t>
            </w:r>
          </w:p>
        </w:tc>
        <w:tc>
          <w:tcPr>
            <w:tcW w:w="510" w:type="dxa"/>
          </w:tcPr>
          <w:p w14:paraId="6B7B2B08" w14:textId="77777777" w:rsidR="00BF7C78" w:rsidRPr="0040417A" w:rsidRDefault="00BF7C78" w:rsidP="00A4116A">
            <w:pPr>
              <w:pStyle w:val="TabNumeri"/>
            </w:pPr>
            <w:r w:rsidRPr="0040417A">
              <w:t xml:space="preserve">3,3 </w:t>
            </w:r>
          </w:p>
        </w:tc>
        <w:tc>
          <w:tcPr>
            <w:tcW w:w="510" w:type="dxa"/>
          </w:tcPr>
          <w:p w14:paraId="6F2EB7CE" w14:textId="77777777" w:rsidR="00BF7C78" w:rsidRPr="0040417A" w:rsidRDefault="00BF7C78" w:rsidP="00A4116A">
            <w:pPr>
              <w:pStyle w:val="TabNumeri"/>
            </w:pPr>
            <w:r w:rsidRPr="0040417A">
              <w:t xml:space="preserve">3,4 </w:t>
            </w:r>
          </w:p>
        </w:tc>
        <w:tc>
          <w:tcPr>
            <w:tcW w:w="340" w:type="dxa"/>
          </w:tcPr>
          <w:p w14:paraId="6E4E5B3C" w14:textId="77777777" w:rsidR="00BF7C78" w:rsidRPr="00BC2A0C" w:rsidRDefault="00BF7C78" w:rsidP="00A4116A">
            <w:pPr>
              <w:pStyle w:val="TabEtichette"/>
            </w:pPr>
          </w:p>
        </w:tc>
        <w:tc>
          <w:tcPr>
            <w:tcW w:w="2552" w:type="dxa"/>
          </w:tcPr>
          <w:p w14:paraId="4F0F014F" w14:textId="77777777" w:rsidR="00BF7C78" w:rsidRPr="00903CBB" w:rsidRDefault="00BF7C78" w:rsidP="00A4116A">
            <w:pPr>
              <w:pStyle w:val="TabEtichette"/>
            </w:pPr>
            <w:r w:rsidRPr="00903CBB">
              <w:t>Stati Uniti</w:t>
            </w:r>
          </w:p>
        </w:tc>
        <w:tc>
          <w:tcPr>
            <w:tcW w:w="510" w:type="dxa"/>
          </w:tcPr>
          <w:p w14:paraId="0DB21EED" w14:textId="77777777" w:rsidR="00BF7C78" w:rsidRPr="000D66D3" w:rsidRDefault="00BF7C78" w:rsidP="00A4116A">
            <w:pPr>
              <w:pStyle w:val="TabNumeri"/>
            </w:pPr>
            <w:r w:rsidRPr="000D66D3">
              <w:t xml:space="preserve">2,3 </w:t>
            </w:r>
          </w:p>
        </w:tc>
        <w:tc>
          <w:tcPr>
            <w:tcW w:w="510" w:type="dxa"/>
          </w:tcPr>
          <w:p w14:paraId="05591ACE" w14:textId="77777777" w:rsidR="00BF7C78" w:rsidRPr="000D66D3" w:rsidRDefault="00BF7C78" w:rsidP="00A4116A">
            <w:pPr>
              <w:pStyle w:val="TabNumeri"/>
            </w:pPr>
            <w:r w:rsidRPr="000D66D3">
              <w:t xml:space="preserve">2,0 </w:t>
            </w:r>
          </w:p>
        </w:tc>
        <w:tc>
          <w:tcPr>
            <w:tcW w:w="514" w:type="dxa"/>
          </w:tcPr>
          <w:p w14:paraId="466606DC" w14:textId="77777777" w:rsidR="00BF7C78" w:rsidRPr="000D66D3" w:rsidRDefault="00BF7C78" w:rsidP="00A4116A">
            <w:pPr>
              <w:pStyle w:val="TabNumeri"/>
            </w:pPr>
            <w:r w:rsidRPr="000D66D3">
              <w:t xml:space="preserve">1,7 </w:t>
            </w:r>
          </w:p>
        </w:tc>
      </w:tr>
      <w:tr w:rsidR="00BF7C78" w:rsidRPr="00BC2A0C" w14:paraId="1353AFB4" w14:textId="77777777" w:rsidTr="00A4116A">
        <w:trPr>
          <w:cantSplit/>
          <w:trHeight w:val="255"/>
        </w:trPr>
        <w:tc>
          <w:tcPr>
            <w:tcW w:w="3402" w:type="dxa"/>
            <w:shd w:val="clear" w:color="auto" w:fill="F2F2F2" w:themeFill="background1" w:themeFillShade="F2"/>
          </w:tcPr>
          <w:p w14:paraId="5A270FF8" w14:textId="77777777" w:rsidR="00BF7C78" w:rsidRPr="00BC2A0C" w:rsidRDefault="00BF7C78" w:rsidP="00A4116A">
            <w:pPr>
              <w:pStyle w:val="TabEtichette"/>
            </w:pPr>
            <w:r w:rsidRPr="00B85524">
              <w:t>Economie avanzate</w:t>
            </w:r>
          </w:p>
        </w:tc>
        <w:tc>
          <w:tcPr>
            <w:tcW w:w="510" w:type="dxa"/>
            <w:shd w:val="clear" w:color="auto" w:fill="F2F2F2" w:themeFill="background1" w:themeFillShade="F2"/>
          </w:tcPr>
          <w:p w14:paraId="279C780F" w14:textId="77777777" w:rsidR="00BF7C78" w:rsidRPr="0040417A" w:rsidRDefault="00BF7C78" w:rsidP="00A4116A">
            <w:pPr>
              <w:pStyle w:val="TabNumeri"/>
            </w:pPr>
            <w:r w:rsidRPr="0040417A">
              <w:t xml:space="preserve">1,7 </w:t>
            </w:r>
          </w:p>
        </w:tc>
        <w:tc>
          <w:tcPr>
            <w:tcW w:w="510" w:type="dxa"/>
            <w:shd w:val="clear" w:color="auto" w:fill="F2F2F2" w:themeFill="background1" w:themeFillShade="F2"/>
          </w:tcPr>
          <w:p w14:paraId="38B69E8F" w14:textId="77777777" w:rsidR="00BF7C78" w:rsidRPr="0040417A" w:rsidRDefault="00BF7C78" w:rsidP="00A4116A">
            <w:pPr>
              <w:pStyle w:val="TabNumeri"/>
            </w:pPr>
            <w:r w:rsidRPr="0040417A">
              <w:t xml:space="preserve">1,6 </w:t>
            </w:r>
          </w:p>
        </w:tc>
        <w:tc>
          <w:tcPr>
            <w:tcW w:w="510" w:type="dxa"/>
            <w:shd w:val="clear" w:color="auto" w:fill="F2F2F2" w:themeFill="background1" w:themeFillShade="F2"/>
          </w:tcPr>
          <w:p w14:paraId="50ED95E3" w14:textId="77777777" w:rsidR="00BF7C78" w:rsidRPr="0040417A" w:rsidRDefault="00BF7C78" w:rsidP="00A4116A">
            <w:pPr>
              <w:pStyle w:val="TabNumeri"/>
            </w:pPr>
            <w:r w:rsidRPr="0040417A">
              <w:t xml:space="preserve">1,6 </w:t>
            </w:r>
          </w:p>
        </w:tc>
        <w:tc>
          <w:tcPr>
            <w:tcW w:w="340" w:type="dxa"/>
            <w:shd w:val="clear" w:color="auto" w:fill="F2F2F2" w:themeFill="background1" w:themeFillShade="F2"/>
          </w:tcPr>
          <w:p w14:paraId="459BF94F" w14:textId="77777777" w:rsidR="00BF7C78" w:rsidRPr="00BC2A0C" w:rsidRDefault="00BF7C78" w:rsidP="00A4116A">
            <w:pPr>
              <w:pStyle w:val="TabEtichette"/>
            </w:pPr>
          </w:p>
        </w:tc>
        <w:tc>
          <w:tcPr>
            <w:tcW w:w="2552" w:type="dxa"/>
            <w:shd w:val="clear" w:color="auto" w:fill="F2F2F2" w:themeFill="background1" w:themeFillShade="F2"/>
          </w:tcPr>
          <w:p w14:paraId="0BB82F5B" w14:textId="77777777" w:rsidR="00BF7C78" w:rsidRPr="00903CBB" w:rsidRDefault="00BF7C78" w:rsidP="00A4116A">
            <w:pPr>
              <w:pStyle w:val="TabEtichette"/>
            </w:pPr>
            <w:r w:rsidRPr="00903CBB">
              <w:t>Cina</w:t>
            </w:r>
          </w:p>
        </w:tc>
        <w:tc>
          <w:tcPr>
            <w:tcW w:w="510" w:type="dxa"/>
            <w:shd w:val="clear" w:color="auto" w:fill="F2F2F2" w:themeFill="background1" w:themeFillShade="F2"/>
          </w:tcPr>
          <w:p w14:paraId="33FD7FDD" w14:textId="77777777" w:rsidR="00BF7C78" w:rsidRPr="000D66D3" w:rsidRDefault="00BF7C78" w:rsidP="00A4116A">
            <w:pPr>
              <w:pStyle w:val="TabNumeri"/>
            </w:pPr>
            <w:r w:rsidRPr="000D66D3">
              <w:t xml:space="preserve">6,1 </w:t>
            </w:r>
          </w:p>
        </w:tc>
        <w:tc>
          <w:tcPr>
            <w:tcW w:w="510" w:type="dxa"/>
            <w:shd w:val="clear" w:color="auto" w:fill="F2F2F2" w:themeFill="background1" w:themeFillShade="F2"/>
          </w:tcPr>
          <w:p w14:paraId="1F1F17E8" w14:textId="77777777" w:rsidR="00BF7C78" w:rsidRPr="000D66D3" w:rsidRDefault="00BF7C78" w:rsidP="00A4116A">
            <w:pPr>
              <w:pStyle w:val="TabNumeri"/>
            </w:pPr>
            <w:r w:rsidRPr="000D66D3">
              <w:t xml:space="preserve">6,0 </w:t>
            </w:r>
          </w:p>
        </w:tc>
        <w:tc>
          <w:tcPr>
            <w:tcW w:w="514" w:type="dxa"/>
            <w:shd w:val="clear" w:color="auto" w:fill="F2F2F2" w:themeFill="background1" w:themeFillShade="F2"/>
          </w:tcPr>
          <w:p w14:paraId="06E4D1DD" w14:textId="77777777" w:rsidR="00BF7C78" w:rsidRPr="000D66D3" w:rsidRDefault="00BF7C78" w:rsidP="00A4116A">
            <w:pPr>
              <w:pStyle w:val="TabNumeri"/>
            </w:pPr>
            <w:r w:rsidRPr="000D66D3">
              <w:t xml:space="preserve">5,8 </w:t>
            </w:r>
          </w:p>
        </w:tc>
      </w:tr>
      <w:tr w:rsidR="00BF7C78" w:rsidRPr="00BC2A0C" w14:paraId="2899AF4A" w14:textId="77777777" w:rsidTr="00A4116A">
        <w:trPr>
          <w:cantSplit/>
          <w:trHeight w:val="255"/>
        </w:trPr>
        <w:tc>
          <w:tcPr>
            <w:tcW w:w="3402" w:type="dxa"/>
          </w:tcPr>
          <w:p w14:paraId="0C884A82" w14:textId="77777777" w:rsidR="00BF7C78" w:rsidRPr="00BC2A0C" w:rsidRDefault="00BF7C78" w:rsidP="00A4116A">
            <w:pPr>
              <w:pStyle w:val="TabEtichette"/>
            </w:pPr>
            <w:r w:rsidRPr="00BC2A0C">
              <w:t>Economie emergenti e in sviluppo</w:t>
            </w:r>
          </w:p>
        </w:tc>
        <w:tc>
          <w:tcPr>
            <w:tcW w:w="510" w:type="dxa"/>
          </w:tcPr>
          <w:p w14:paraId="639F26F4" w14:textId="77777777" w:rsidR="00BF7C78" w:rsidRPr="0040417A" w:rsidRDefault="00BF7C78" w:rsidP="00A4116A">
            <w:pPr>
              <w:pStyle w:val="TabNumeri"/>
            </w:pPr>
            <w:r w:rsidRPr="0040417A">
              <w:t xml:space="preserve">3,7 </w:t>
            </w:r>
          </w:p>
        </w:tc>
        <w:tc>
          <w:tcPr>
            <w:tcW w:w="510" w:type="dxa"/>
          </w:tcPr>
          <w:p w14:paraId="6BA654A6" w14:textId="77777777" w:rsidR="00BF7C78" w:rsidRPr="0040417A" w:rsidRDefault="00BF7C78" w:rsidP="00A4116A">
            <w:pPr>
              <w:pStyle w:val="TabNumeri"/>
            </w:pPr>
            <w:r w:rsidRPr="0040417A">
              <w:t xml:space="preserve">4,4 </w:t>
            </w:r>
          </w:p>
        </w:tc>
        <w:tc>
          <w:tcPr>
            <w:tcW w:w="510" w:type="dxa"/>
          </w:tcPr>
          <w:p w14:paraId="670A67BA" w14:textId="77777777" w:rsidR="00BF7C78" w:rsidRPr="0040417A" w:rsidRDefault="00BF7C78" w:rsidP="00A4116A">
            <w:pPr>
              <w:pStyle w:val="TabNumeri"/>
            </w:pPr>
            <w:r w:rsidRPr="0040417A">
              <w:t xml:space="preserve">4,6 </w:t>
            </w:r>
          </w:p>
        </w:tc>
        <w:tc>
          <w:tcPr>
            <w:tcW w:w="340" w:type="dxa"/>
          </w:tcPr>
          <w:p w14:paraId="153A3B7D" w14:textId="77777777" w:rsidR="00BF7C78" w:rsidRPr="00BC2A0C" w:rsidRDefault="00BF7C78" w:rsidP="00A4116A">
            <w:pPr>
              <w:pStyle w:val="TabEtichette"/>
            </w:pPr>
          </w:p>
        </w:tc>
        <w:tc>
          <w:tcPr>
            <w:tcW w:w="2552" w:type="dxa"/>
          </w:tcPr>
          <w:p w14:paraId="7608F9FB" w14:textId="77777777" w:rsidR="00BF7C78" w:rsidRPr="00903CBB" w:rsidRDefault="00BF7C78" w:rsidP="00A4116A">
            <w:pPr>
              <w:pStyle w:val="TabEtichette"/>
            </w:pPr>
            <w:r w:rsidRPr="00903CBB">
              <w:t>Giappone</w:t>
            </w:r>
          </w:p>
        </w:tc>
        <w:tc>
          <w:tcPr>
            <w:tcW w:w="510" w:type="dxa"/>
          </w:tcPr>
          <w:p w14:paraId="516B0EA4" w14:textId="77777777" w:rsidR="00BF7C78" w:rsidRPr="000D66D3" w:rsidRDefault="00BF7C78" w:rsidP="00A4116A">
            <w:pPr>
              <w:pStyle w:val="TabNumeri"/>
            </w:pPr>
            <w:r w:rsidRPr="000D66D3">
              <w:t xml:space="preserve">1,0 </w:t>
            </w:r>
          </w:p>
        </w:tc>
        <w:tc>
          <w:tcPr>
            <w:tcW w:w="510" w:type="dxa"/>
          </w:tcPr>
          <w:p w14:paraId="131D782E" w14:textId="77777777" w:rsidR="00BF7C78" w:rsidRPr="000D66D3" w:rsidRDefault="00BF7C78" w:rsidP="00A4116A">
            <w:pPr>
              <w:pStyle w:val="TabNumeri"/>
            </w:pPr>
            <w:r w:rsidRPr="000D66D3">
              <w:t xml:space="preserve">0,7 </w:t>
            </w:r>
          </w:p>
        </w:tc>
        <w:tc>
          <w:tcPr>
            <w:tcW w:w="514" w:type="dxa"/>
          </w:tcPr>
          <w:p w14:paraId="6C9844F0" w14:textId="77777777" w:rsidR="00BF7C78" w:rsidRPr="000D66D3" w:rsidRDefault="00BF7C78" w:rsidP="00A4116A">
            <w:pPr>
              <w:pStyle w:val="TabNumeri"/>
            </w:pPr>
            <w:r w:rsidRPr="000D66D3">
              <w:t xml:space="preserve">0,5 </w:t>
            </w:r>
          </w:p>
        </w:tc>
      </w:tr>
      <w:tr w:rsidR="00BF7C78" w:rsidRPr="00BC2A0C" w14:paraId="46AAC77B" w14:textId="77777777" w:rsidTr="00A4116A">
        <w:trPr>
          <w:cantSplit/>
          <w:trHeight w:val="255"/>
        </w:trPr>
        <w:tc>
          <w:tcPr>
            <w:tcW w:w="3402" w:type="dxa"/>
            <w:shd w:val="clear" w:color="auto" w:fill="F2F2F2" w:themeFill="background1" w:themeFillShade="F2"/>
          </w:tcPr>
          <w:p w14:paraId="2AE6665A" w14:textId="77777777" w:rsidR="00BF7C78" w:rsidRPr="00C103CD" w:rsidRDefault="00BF7C78" w:rsidP="00A4116A">
            <w:pPr>
              <w:pStyle w:val="TabEtichette"/>
            </w:pPr>
            <w:r>
              <w:t xml:space="preserve">  Europa e</w:t>
            </w:r>
            <w:r w:rsidRPr="00C103CD">
              <w:t>mergente e in sviluppo</w:t>
            </w:r>
          </w:p>
        </w:tc>
        <w:tc>
          <w:tcPr>
            <w:tcW w:w="510" w:type="dxa"/>
            <w:shd w:val="clear" w:color="auto" w:fill="F2F2F2" w:themeFill="background1" w:themeFillShade="F2"/>
          </w:tcPr>
          <w:p w14:paraId="63F15493" w14:textId="77777777" w:rsidR="00BF7C78" w:rsidRPr="0040417A" w:rsidRDefault="00BF7C78" w:rsidP="00A4116A">
            <w:pPr>
              <w:pStyle w:val="TabNumeri"/>
            </w:pPr>
            <w:r w:rsidRPr="0040417A">
              <w:t xml:space="preserve">1,8 </w:t>
            </w:r>
          </w:p>
        </w:tc>
        <w:tc>
          <w:tcPr>
            <w:tcW w:w="510" w:type="dxa"/>
            <w:shd w:val="clear" w:color="auto" w:fill="F2F2F2" w:themeFill="background1" w:themeFillShade="F2"/>
          </w:tcPr>
          <w:p w14:paraId="3C4668FD" w14:textId="77777777" w:rsidR="00BF7C78" w:rsidRPr="0040417A" w:rsidRDefault="00BF7C78" w:rsidP="00A4116A">
            <w:pPr>
              <w:pStyle w:val="TabNumeri"/>
            </w:pPr>
            <w:r w:rsidRPr="0040417A">
              <w:t xml:space="preserve">2,6 </w:t>
            </w:r>
          </w:p>
        </w:tc>
        <w:tc>
          <w:tcPr>
            <w:tcW w:w="510" w:type="dxa"/>
            <w:shd w:val="clear" w:color="auto" w:fill="F2F2F2" w:themeFill="background1" w:themeFillShade="F2"/>
          </w:tcPr>
          <w:p w14:paraId="743686BA" w14:textId="77777777" w:rsidR="00BF7C78" w:rsidRPr="0040417A" w:rsidRDefault="00BF7C78" w:rsidP="00A4116A">
            <w:pPr>
              <w:pStyle w:val="TabNumeri"/>
            </w:pPr>
            <w:r w:rsidRPr="0040417A">
              <w:t xml:space="preserve">2,5 </w:t>
            </w:r>
          </w:p>
        </w:tc>
        <w:tc>
          <w:tcPr>
            <w:tcW w:w="340" w:type="dxa"/>
            <w:shd w:val="clear" w:color="auto" w:fill="F2F2F2" w:themeFill="background1" w:themeFillShade="F2"/>
          </w:tcPr>
          <w:p w14:paraId="6ADB7F16" w14:textId="77777777" w:rsidR="00BF7C78" w:rsidRPr="00BC2A0C" w:rsidRDefault="00BF7C78" w:rsidP="00A4116A">
            <w:pPr>
              <w:pStyle w:val="TabEtichette"/>
            </w:pPr>
          </w:p>
        </w:tc>
        <w:tc>
          <w:tcPr>
            <w:tcW w:w="2552" w:type="dxa"/>
            <w:shd w:val="clear" w:color="auto" w:fill="F2F2F2" w:themeFill="background1" w:themeFillShade="F2"/>
          </w:tcPr>
          <w:p w14:paraId="01A75007" w14:textId="77777777" w:rsidR="00BF7C78" w:rsidRPr="00903CBB" w:rsidRDefault="00BF7C78" w:rsidP="00A4116A">
            <w:pPr>
              <w:pStyle w:val="TabEtichette"/>
            </w:pPr>
            <w:r w:rsidRPr="00903CBB">
              <w:t>Area dell'euro</w:t>
            </w:r>
          </w:p>
        </w:tc>
        <w:tc>
          <w:tcPr>
            <w:tcW w:w="510" w:type="dxa"/>
            <w:shd w:val="clear" w:color="auto" w:fill="F2F2F2" w:themeFill="background1" w:themeFillShade="F2"/>
          </w:tcPr>
          <w:p w14:paraId="0AB5D8B7" w14:textId="77777777" w:rsidR="00BF7C78" w:rsidRPr="000D66D3" w:rsidRDefault="00BF7C78" w:rsidP="00A4116A">
            <w:pPr>
              <w:pStyle w:val="TabNumeri"/>
            </w:pPr>
            <w:r w:rsidRPr="000D66D3">
              <w:t xml:space="preserve">1,2 </w:t>
            </w:r>
          </w:p>
        </w:tc>
        <w:tc>
          <w:tcPr>
            <w:tcW w:w="510" w:type="dxa"/>
            <w:shd w:val="clear" w:color="auto" w:fill="F2F2F2" w:themeFill="background1" w:themeFillShade="F2"/>
          </w:tcPr>
          <w:p w14:paraId="7D47927C" w14:textId="77777777" w:rsidR="00BF7C78" w:rsidRPr="000D66D3" w:rsidRDefault="00BF7C78" w:rsidP="00A4116A">
            <w:pPr>
              <w:pStyle w:val="TabNumeri"/>
            </w:pPr>
            <w:r w:rsidRPr="000D66D3">
              <w:t xml:space="preserve">1,3 </w:t>
            </w:r>
          </w:p>
        </w:tc>
        <w:tc>
          <w:tcPr>
            <w:tcW w:w="514" w:type="dxa"/>
            <w:shd w:val="clear" w:color="auto" w:fill="F2F2F2" w:themeFill="background1" w:themeFillShade="F2"/>
          </w:tcPr>
          <w:p w14:paraId="3DCB989E" w14:textId="77777777" w:rsidR="00BF7C78" w:rsidRPr="000D66D3" w:rsidRDefault="00BF7C78" w:rsidP="00A4116A">
            <w:pPr>
              <w:pStyle w:val="TabNumeri"/>
            </w:pPr>
            <w:r w:rsidRPr="000D66D3">
              <w:t xml:space="preserve">1,4 </w:t>
            </w:r>
          </w:p>
        </w:tc>
      </w:tr>
      <w:tr w:rsidR="00BF7C78" w:rsidRPr="00BC2A0C" w14:paraId="5E5D26D0" w14:textId="77777777" w:rsidTr="00A4116A">
        <w:trPr>
          <w:cantSplit/>
          <w:trHeight w:val="255"/>
        </w:trPr>
        <w:tc>
          <w:tcPr>
            <w:tcW w:w="3402" w:type="dxa"/>
          </w:tcPr>
          <w:p w14:paraId="20B38A9C" w14:textId="77777777" w:rsidR="00BF7C78" w:rsidRPr="00C103CD" w:rsidRDefault="00BF7C78" w:rsidP="00A4116A">
            <w:pPr>
              <w:pStyle w:val="TabEtichette"/>
            </w:pPr>
            <w:r w:rsidRPr="00C103CD">
              <w:t xml:space="preserve">  Paesi Asiatici in </w:t>
            </w:r>
            <w:r>
              <w:t>s</w:t>
            </w:r>
            <w:r w:rsidRPr="00C103CD">
              <w:t>viluppo</w:t>
            </w:r>
            <w:r>
              <w:t xml:space="preserve"> e emergenti</w:t>
            </w:r>
          </w:p>
        </w:tc>
        <w:tc>
          <w:tcPr>
            <w:tcW w:w="510" w:type="dxa"/>
          </w:tcPr>
          <w:p w14:paraId="22D93CBE" w14:textId="77777777" w:rsidR="00BF7C78" w:rsidRPr="0040417A" w:rsidRDefault="00BF7C78" w:rsidP="00A4116A">
            <w:pPr>
              <w:pStyle w:val="TabNumeri"/>
            </w:pPr>
            <w:r w:rsidRPr="0040417A">
              <w:t xml:space="preserve">5,6 </w:t>
            </w:r>
          </w:p>
        </w:tc>
        <w:tc>
          <w:tcPr>
            <w:tcW w:w="510" w:type="dxa"/>
          </w:tcPr>
          <w:p w14:paraId="02FC161A" w14:textId="77777777" w:rsidR="00BF7C78" w:rsidRPr="0040417A" w:rsidRDefault="00BF7C78" w:rsidP="00A4116A">
            <w:pPr>
              <w:pStyle w:val="TabNumeri"/>
            </w:pPr>
            <w:r w:rsidRPr="0040417A">
              <w:t xml:space="preserve">5,8 </w:t>
            </w:r>
          </w:p>
        </w:tc>
        <w:tc>
          <w:tcPr>
            <w:tcW w:w="510" w:type="dxa"/>
          </w:tcPr>
          <w:p w14:paraId="1BE88517" w14:textId="77777777" w:rsidR="00BF7C78" w:rsidRPr="0040417A" w:rsidRDefault="00BF7C78" w:rsidP="00A4116A">
            <w:pPr>
              <w:pStyle w:val="TabNumeri"/>
            </w:pPr>
            <w:r w:rsidRPr="0040417A">
              <w:t xml:space="preserve">5,9 </w:t>
            </w:r>
          </w:p>
        </w:tc>
        <w:tc>
          <w:tcPr>
            <w:tcW w:w="340" w:type="dxa"/>
          </w:tcPr>
          <w:p w14:paraId="42468C30" w14:textId="77777777" w:rsidR="00BF7C78" w:rsidRPr="00BC2A0C" w:rsidRDefault="00BF7C78" w:rsidP="00A4116A">
            <w:pPr>
              <w:pStyle w:val="TabEtichette"/>
            </w:pPr>
          </w:p>
        </w:tc>
        <w:tc>
          <w:tcPr>
            <w:tcW w:w="2552" w:type="dxa"/>
          </w:tcPr>
          <w:p w14:paraId="277CED33" w14:textId="77777777" w:rsidR="00BF7C78" w:rsidRPr="00903CBB" w:rsidRDefault="00BF7C78" w:rsidP="00A4116A">
            <w:pPr>
              <w:pStyle w:val="TabEtichette"/>
            </w:pPr>
            <w:r w:rsidRPr="00903CBB">
              <w:t xml:space="preserve">  Germania</w:t>
            </w:r>
          </w:p>
        </w:tc>
        <w:tc>
          <w:tcPr>
            <w:tcW w:w="510" w:type="dxa"/>
          </w:tcPr>
          <w:p w14:paraId="7EA4763F" w14:textId="77777777" w:rsidR="00BF7C78" w:rsidRPr="000D66D3" w:rsidRDefault="00BF7C78" w:rsidP="00A4116A">
            <w:pPr>
              <w:pStyle w:val="TabNumeri"/>
            </w:pPr>
            <w:r w:rsidRPr="000D66D3">
              <w:t xml:space="preserve">0,5 </w:t>
            </w:r>
          </w:p>
        </w:tc>
        <w:tc>
          <w:tcPr>
            <w:tcW w:w="510" w:type="dxa"/>
          </w:tcPr>
          <w:p w14:paraId="06593BFC" w14:textId="77777777" w:rsidR="00BF7C78" w:rsidRPr="000D66D3" w:rsidRDefault="00BF7C78" w:rsidP="00A4116A">
            <w:pPr>
              <w:pStyle w:val="TabNumeri"/>
            </w:pPr>
            <w:r w:rsidRPr="000D66D3">
              <w:t xml:space="preserve">1,1 </w:t>
            </w:r>
          </w:p>
        </w:tc>
        <w:tc>
          <w:tcPr>
            <w:tcW w:w="514" w:type="dxa"/>
          </w:tcPr>
          <w:p w14:paraId="285EF802" w14:textId="77777777" w:rsidR="00BF7C78" w:rsidRPr="000D66D3" w:rsidRDefault="00BF7C78" w:rsidP="00A4116A">
            <w:pPr>
              <w:pStyle w:val="TabNumeri"/>
            </w:pPr>
            <w:r w:rsidRPr="000D66D3">
              <w:t xml:space="preserve">1,4 </w:t>
            </w:r>
          </w:p>
        </w:tc>
      </w:tr>
      <w:tr w:rsidR="00BF7C78" w:rsidRPr="00BC2A0C" w14:paraId="55CE201A" w14:textId="77777777" w:rsidTr="00A4116A">
        <w:trPr>
          <w:cantSplit/>
          <w:trHeight w:val="255"/>
        </w:trPr>
        <w:tc>
          <w:tcPr>
            <w:tcW w:w="3402" w:type="dxa"/>
            <w:shd w:val="clear" w:color="auto" w:fill="F2F2F2" w:themeFill="background1" w:themeFillShade="F2"/>
          </w:tcPr>
          <w:p w14:paraId="36A6DB58" w14:textId="77777777" w:rsidR="00BF7C78" w:rsidRPr="00C103CD" w:rsidRDefault="00BF7C78" w:rsidP="00A4116A">
            <w:pPr>
              <w:pStyle w:val="TabEtichette"/>
            </w:pPr>
            <w:r w:rsidRPr="00C103CD">
              <w:t xml:space="preserve">  M. Oriente</w:t>
            </w:r>
            <w:r>
              <w:t>,</w:t>
            </w:r>
            <w:r w:rsidRPr="00C103CD">
              <w:t xml:space="preserve"> Nord Africa</w:t>
            </w:r>
            <w:r>
              <w:t>,</w:t>
            </w:r>
            <w:r w:rsidRPr="00C103CD">
              <w:t xml:space="preserve"> Afg</w:t>
            </w:r>
            <w:r>
              <w:t>anistan,</w:t>
            </w:r>
            <w:r w:rsidRPr="00C103CD">
              <w:t xml:space="preserve"> Pak</w:t>
            </w:r>
            <w:r>
              <w:t>istan</w:t>
            </w:r>
          </w:p>
        </w:tc>
        <w:tc>
          <w:tcPr>
            <w:tcW w:w="510" w:type="dxa"/>
            <w:shd w:val="clear" w:color="auto" w:fill="F2F2F2" w:themeFill="background1" w:themeFillShade="F2"/>
          </w:tcPr>
          <w:p w14:paraId="3A399A62" w14:textId="77777777" w:rsidR="00BF7C78" w:rsidRPr="0040417A" w:rsidRDefault="00BF7C78" w:rsidP="00A4116A">
            <w:pPr>
              <w:pStyle w:val="TabNumeri"/>
            </w:pPr>
            <w:r w:rsidRPr="0040417A">
              <w:t xml:space="preserve">0,8 </w:t>
            </w:r>
          </w:p>
        </w:tc>
        <w:tc>
          <w:tcPr>
            <w:tcW w:w="510" w:type="dxa"/>
            <w:shd w:val="clear" w:color="auto" w:fill="F2F2F2" w:themeFill="background1" w:themeFillShade="F2"/>
          </w:tcPr>
          <w:p w14:paraId="4EE46C28" w14:textId="77777777" w:rsidR="00BF7C78" w:rsidRPr="0040417A" w:rsidRDefault="00BF7C78" w:rsidP="00A4116A">
            <w:pPr>
              <w:pStyle w:val="TabNumeri"/>
            </w:pPr>
            <w:r w:rsidRPr="0040417A">
              <w:t xml:space="preserve">2,8 </w:t>
            </w:r>
          </w:p>
        </w:tc>
        <w:tc>
          <w:tcPr>
            <w:tcW w:w="510" w:type="dxa"/>
            <w:shd w:val="clear" w:color="auto" w:fill="F2F2F2" w:themeFill="background1" w:themeFillShade="F2"/>
          </w:tcPr>
          <w:p w14:paraId="2C160A1B" w14:textId="77777777" w:rsidR="00BF7C78" w:rsidRPr="0040417A" w:rsidRDefault="00BF7C78" w:rsidP="00A4116A">
            <w:pPr>
              <w:pStyle w:val="TabNumeri"/>
            </w:pPr>
            <w:r w:rsidRPr="0040417A">
              <w:t xml:space="preserve">3,2 </w:t>
            </w:r>
          </w:p>
        </w:tc>
        <w:tc>
          <w:tcPr>
            <w:tcW w:w="340" w:type="dxa"/>
            <w:shd w:val="clear" w:color="auto" w:fill="F2F2F2" w:themeFill="background1" w:themeFillShade="F2"/>
          </w:tcPr>
          <w:p w14:paraId="648E83E6" w14:textId="77777777" w:rsidR="00BF7C78" w:rsidRPr="00BC2A0C" w:rsidRDefault="00BF7C78" w:rsidP="00A4116A">
            <w:pPr>
              <w:pStyle w:val="TabEtichette"/>
            </w:pPr>
          </w:p>
        </w:tc>
        <w:tc>
          <w:tcPr>
            <w:tcW w:w="2552" w:type="dxa"/>
            <w:shd w:val="clear" w:color="auto" w:fill="F2F2F2" w:themeFill="background1" w:themeFillShade="F2"/>
          </w:tcPr>
          <w:p w14:paraId="4A670371" w14:textId="77777777" w:rsidR="00BF7C78" w:rsidRPr="00903CBB" w:rsidRDefault="00BF7C78" w:rsidP="00A4116A">
            <w:pPr>
              <w:pStyle w:val="TabEtichette"/>
            </w:pPr>
            <w:r w:rsidRPr="00903CBB">
              <w:t xml:space="preserve">  Francia</w:t>
            </w:r>
          </w:p>
        </w:tc>
        <w:tc>
          <w:tcPr>
            <w:tcW w:w="510" w:type="dxa"/>
            <w:shd w:val="clear" w:color="auto" w:fill="F2F2F2" w:themeFill="background1" w:themeFillShade="F2"/>
          </w:tcPr>
          <w:p w14:paraId="6CFBEDAD" w14:textId="77777777" w:rsidR="00BF7C78" w:rsidRPr="000D66D3" w:rsidRDefault="00BF7C78" w:rsidP="00A4116A">
            <w:pPr>
              <w:pStyle w:val="TabNumeri"/>
            </w:pPr>
            <w:r w:rsidRPr="000D66D3">
              <w:t xml:space="preserve">1,3 </w:t>
            </w:r>
          </w:p>
        </w:tc>
        <w:tc>
          <w:tcPr>
            <w:tcW w:w="510" w:type="dxa"/>
            <w:shd w:val="clear" w:color="auto" w:fill="F2F2F2" w:themeFill="background1" w:themeFillShade="F2"/>
          </w:tcPr>
          <w:p w14:paraId="17D9E7B5" w14:textId="77777777" w:rsidR="00BF7C78" w:rsidRPr="000D66D3" w:rsidRDefault="00BF7C78" w:rsidP="00A4116A">
            <w:pPr>
              <w:pStyle w:val="TabNumeri"/>
            </w:pPr>
            <w:r w:rsidRPr="000D66D3">
              <w:t xml:space="preserve">1,3 </w:t>
            </w:r>
          </w:p>
        </w:tc>
        <w:tc>
          <w:tcPr>
            <w:tcW w:w="514" w:type="dxa"/>
            <w:shd w:val="clear" w:color="auto" w:fill="F2F2F2" w:themeFill="background1" w:themeFillShade="F2"/>
          </w:tcPr>
          <w:p w14:paraId="1D9AC6EC" w14:textId="77777777" w:rsidR="00BF7C78" w:rsidRPr="000D66D3" w:rsidRDefault="00BF7C78" w:rsidP="00A4116A">
            <w:pPr>
              <w:pStyle w:val="TabNumeri"/>
            </w:pPr>
            <w:r w:rsidRPr="000D66D3">
              <w:t xml:space="preserve">1,3 </w:t>
            </w:r>
          </w:p>
        </w:tc>
      </w:tr>
      <w:tr w:rsidR="00BF7C78" w:rsidRPr="00BC2A0C" w14:paraId="09EC38DE" w14:textId="77777777" w:rsidTr="00A4116A">
        <w:trPr>
          <w:cantSplit/>
          <w:trHeight w:val="255"/>
        </w:trPr>
        <w:tc>
          <w:tcPr>
            <w:tcW w:w="3402" w:type="dxa"/>
          </w:tcPr>
          <w:p w14:paraId="5FB27383" w14:textId="77777777" w:rsidR="00BF7C78" w:rsidRPr="00C103CD" w:rsidRDefault="00BF7C78" w:rsidP="00A4116A">
            <w:pPr>
              <w:pStyle w:val="TabEtichette"/>
            </w:pPr>
            <w:r w:rsidRPr="00C103CD">
              <w:t xml:space="preserve">  Africa Sub-Sahariana</w:t>
            </w:r>
          </w:p>
        </w:tc>
        <w:tc>
          <w:tcPr>
            <w:tcW w:w="510" w:type="dxa"/>
          </w:tcPr>
          <w:p w14:paraId="5C066246" w14:textId="77777777" w:rsidR="00BF7C78" w:rsidRPr="0040417A" w:rsidRDefault="00BF7C78" w:rsidP="00A4116A">
            <w:pPr>
              <w:pStyle w:val="TabNumeri"/>
            </w:pPr>
            <w:r w:rsidRPr="0040417A">
              <w:t xml:space="preserve">3,3 </w:t>
            </w:r>
          </w:p>
        </w:tc>
        <w:tc>
          <w:tcPr>
            <w:tcW w:w="510" w:type="dxa"/>
          </w:tcPr>
          <w:p w14:paraId="7BF4F0AA" w14:textId="77777777" w:rsidR="00BF7C78" w:rsidRPr="0040417A" w:rsidRDefault="00BF7C78" w:rsidP="00A4116A">
            <w:pPr>
              <w:pStyle w:val="TabNumeri"/>
            </w:pPr>
            <w:r w:rsidRPr="0040417A">
              <w:t xml:space="preserve">3,5 </w:t>
            </w:r>
          </w:p>
        </w:tc>
        <w:tc>
          <w:tcPr>
            <w:tcW w:w="510" w:type="dxa"/>
          </w:tcPr>
          <w:p w14:paraId="7EC1B6C5" w14:textId="77777777" w:rsidR="00BF7C78" w:rsidRPr="0040417A" w:rsidRDefault="00BF7C78" w:rsidP="00A4116A">
            <w:pPr>
              <w:pStyle w:val="TabNumeri"/>
            </w:pPr>
            <w:r w:rsidRPr="0040417A">
              <w:t xml:space="preserve">3,5 </w:t>
            </w:r>
          </w:p>
        </w:tc>
        <w:tc>
          <w:tcPr>
            <w:tcW w:w="340" w:type="dxa"/>
          </w:tcPr>
          <w:p w14:paraId="688D9E12" w14:textId="77777777" w:rsidR="00BF7C78" w:rsidRPr="00BC2A0C" w:rsidRDefault="00BF7C78" w:rsidP="00A4116A">
            <w:pPr>
              <w:pStyle w:val="TabEtichette"/>
            </w:pPr>
          </w:p>
        </w:tc>
        <w:tc>
          <w:tcPr>
            <w:tcW w:w="2552" w:type="dxa"/>
          </w:tcPr>
          <w:p w14:paraId="1BF61825" w14:textId="77777777" w:rsidR="00BF7C78" w:rsidRPr="00903CBB" w:rsidRDefault="00BF7C78" w:rsidP="00A4116A">
            <w:pPr>
              <w:pStyle w:val="TabEtichette"/>
            </w:pPr>
            <w:r w:rsidRPr="00903CBB">
              <w:t>Russia</w:t>
            </w:r>
          </w:p>
        </w:tc>
        <w:tc>
          <w:tcPr>
            <w:tcW w:w="510" w:type="dxa"/>
          </w:tcPr>
          <w:p w14:paraId="4B0903BB" w14:textId="77777777" w:rsidR="00BF7C78" w:rsidRPr="000D66D3" w:rsidRDefault="00BF7C78" w:rsidP="00A4116A">
            <w:pPr>
              <w:pStyle w:val="TabNumeri"/>
            </w:pPr>
            <w:r w:rsidRPr="000D66D3">
              <w:t xml:space="preserve">1,1 </w:t>
            </w:r>
          </w:p>
        </w:tc>
        <w:tc>
          <w:tcPr>
            <w:tcW w:w="510" w:type="dxa"/>
          </w:tcPr>
          <w:p w14:paraId="33E0F0EE" w14:textId="77777777" w:rsidR="00BF7C78" w:rsidRPr="000D66D3" w:rsidRDefault="00BF7C78" w:rsidP="00A4116A">
            <w:pPr>
              <w:pStyle w:val="TabNumeri"/>
            </w:pPr>
            <w:r w:rsidRPr="000D66D3">
              <w:t xml:space="preserve">1,9 </w:t>
            </w:r>
          </w:p>
        </w:tc>
        <w:tc>
          <w:tcPr>
            <w:tcW w:w="514" w:type="dxa"/>
          </w:tcPr>
          <w:p w14:paraId="5787A5B0" w14:textId="77777777" w:rsidR="00BF7C78" w:rsidRPr="000D66D3" w:rsidRDefault="00BF7C78" w:rsidP="00A4116A">
            <w:pPr>
              <w:pStyle w:val="TabNumeri"/>
            </w:pPr>
            <w:r w:rsidRPr="000D66D3">
              <w:t xml:space="preserve">2,0 </w:t>
            </w:r>
          </w:p>
        </w:tc>
      </w:tr>
      <w:tr w:rsidR="00BF7C78" w:rsidRPr="00BC2A0C" w14:paraId="0083069B" w14:textId="77777777" w:rsidTr="00A4116A">
        <w:trPr>
          <w:cantSplit/>
          <w:trHeight w:val="255"/>
        </w:trPr>
        <w:tc>
          <w:tcPr>
            <w:tcW w:w="3402" w:type="dxa"/>
            <w:shd w:val="clear" w:color="auto" w:fill="F2F2F2" w:themeFill="background1" w:themeFillShade="F2"/>
          </w:tcPr>
          <w:p w14:paraId="464E4DA7" w14:textId="77777777" w:rsidR="00BF7C78" w:rsidRDefault="00BF7C78" w:rsidP="00A4116A">
            <w:pPr>
              <w:pStyle w:val="TabEtichette"/>
            </w:pPr>
            <w:r w:rsidRPr="00C103CD">
              <w:t xml:space="preserve">  America Latina e Caraibi</w:t>
            </w:r>
          </w:p>
        </w:tc>
        <w:tc>
          <w:tcPr>
            <w:tcW w:w="510" w:type="dxa"/>
            <w:shd w:val="clear" w:color="auto" w:fill="F2F2F2" w:themeFill="background1" w:themeFillShade="F2"/>
          </w:tcPr>
          <w:p w14:paraId="4505D191" w14:textId="77777777" w:rsidR="00BF7C78" w:rsidRPr="0040417A" w:rsidRDefault="00BF7C78" w:rsidP="00A4116A">
            <w:pPr>
              <w:pStyle w:val="TabNumeri"/>
            </w:pPr>
            <w:r w:rsidRPr="0040417A">
              <w:t xml:space="preserve">0,1 </w:t>
            </w:r>
          </w:p>
        </w:tc>
        <w:tc>
          <w:tcPr>
            <w:tcW w:w="510" w:type="dxa"/>
            <w:shd w:val="clear" w:color="auto" w:fill="F2F2F2" w:themeFill="background1" w:themeFillShade="F2"/>
          </w:tcPr>
          <w:p w14:paraId="0B456F9C" w14:textId="77777777" w:rsidR="00BF7C78" w:rsidRPr="0040417A" w:rsidRDefault="00BF7C78" w:rsidP="00A4116A">
            <w:pPr>
              <w:pStyle w:val="TabNumeri"/>
            </w:pPr>
            <w:r w:rsidRPr="0040417A">
              <w:t xml:space="preserve">1,6 </w:t>
            </w:r>
          </w:p>
        </w:tc>
        <w:tc>
          <w:tcPr>
            <w:tcW w:w="510" w:type="dxa"/>
            <w:shd w:val="clear" w:color="auto" w:fill="F2F2F2" w:themeFill="background1" w:themeFillShade="F2"/>
          </w:tcPr>
          <w:p w14:paraId="01D7758A" w14:textId="77777777" w:rsidR="00BF7C78" w:rsidRDefault="00BF7C78" w:rsidP="00A4116A">
            <w:pPr>
              <w:pStyle w:val="TabNumeri"/>
            </w:pPr>
            <w:r w:rsidRPr="0040417A">
              <w:t xml:space="preserve">2,3 </w:t>
            </w:r>
          </w:p>
        </w:tc>
        <w:tc>
          <w:tcPr>
            <w:tcW w:w="340" w:type="dxa"/>
            <w:shd w:val="clear" w:color="auto" w:fill="F2F2F2" w:themeFill="background1" w:themeFillShade="F2"/>
          </w:tcPr>
          <w:p w14:paraId="41C4D5A5" w14:textId="77777777" w:rsidR="00BF7C78" w:rsidRPr="00BC2A0C" w:rsidRDefault="00BF7C78" w:rsidP="00A4116A">
            <w:pPr>
              <w:pStyle w:val="TabEtichette"/>
            </w:pPr>
          </w:p>
        </w:tc>
        <w:tc>
          <w:tcPr>
            <w:tcW w:w="2552" w:type="dxa"/>
            <w:shd w:val="clear" w:color="auto" w:fill="F2F2F2" w:themeFill="background1" w:themeFillShade="F2"/>
          </w:tcPr>
          <w:p w14:paraId="374502B8" w14:textId="77777777" w:rsidR="00BF7C78" w:rsidRPr="00903CBB" w:rsidRDefault="00BF7C78" w:rsidP="00A4116A">
            <w:pPr>
              <w:pStyle w:val="TabEtichette"/>
            </w:pPr>
            <w:r w:rsidRPr="00903CBB">
              <w:t>India</w:t>
            </w:r>
          </w:p>
        </w:tc>
        <w:tc>
          <w:tcPr>
            <w:tcW w:w="510" w:type="dxa"/>
            <w:shd w:val="clear" w:color="auto" w:fill="F2F2F2" w:themeFill="background1" w:themeFillShade="F2"/>
          </w:tcPr>
          <w:p w14:paraId="6D862D46" w14:textId="77777777" w:rsidR="00BF7C78" w:rsidRPr="000D66D3" w:rsidRDefault="00BF7C78" w:rsidP="00A4116A">
            <w:pPr>
              <w:pStyle w:val="TabNumeri"/>
            </w:pPr>
            <w:r w:rsidRPr="000D66D3">
              <w:t xml:space="preserve">4,8 </w:t>
            </w:r>
          </w:p>
        </w:tc>
        <w:tc>
          <w:tcPr>
            <w:tcW w:w="510" w:type="dxa"/>
            <w:shd w:val="clear" w:color="auto" w:fill="F2F2F2" w:themeFill="background1" w:themeFillShade="F2"/>
          </w:tcPr>
          <w:p w14:paraId="4F83CDDD" w14:textId="77777777" w:rsidR="00BF7C78" w:rsidRPr="000D66D3" w:rsidRDefault="00BF7C78" w:rsidP="00A4116A">
            <w:pPr>
              <w:pStyle w:val="TabNumeri"/>
            </w:pPr>
            <w:r w:rsidRPr="000D66D3">
              <w:t xml:space="preserve">5,8 </w:t>
            </w:r>
          </w:p>
        </w:tc>
        <w:tc>
          <w:tcPr>
            <w:tcW w:w="514" w:type="dxa"/>
            <w:shd w:val="clear" w:color="auto" w:fill="F2F2F2" w:themeFill="background1" w:themeFillShade="F2"/>
          </w:tcPr>
          <w:p w14:paraId="0E7D85CF" w14:textId="77777777" w:rsidR="00BF7C78" w:rsidRPr="000D66D3" w:rsidRDefault="00BF7C78" w:rsidP="00A4116A">
            <w:pPr>
              <w:pStyle w:val="TabNumeri"/>
            </w:pPr>
            <w:r w:rsidRPr="000D66D3">
              <w:t xml:space="preserve">6,5 </w:t>
            </w:r>
          </w:p>
        </w:tc>
      </w:tr>
      <w:tr w:rsidR="00BF7C78" w:rsidRPr="00BC2A0C" w14:paraId="00B04085" w14:textId="77777777" w:rsidTr="00A4116A">
        <w:trPr>
          <w:cantSplit/>
          <w:trHeight w:val="255"/>
        </w:trPr>
        <w:tc>
          <w:tcPr>
            <w:tcW w:w="3402" w:type="dxa"/>
          </w:tcPr>
          <w:p w14:paraId="3DA128D3" w14:textId="77777777" w:rsidR="00BF7C78" w:rsidRDefault="00BF7C78" w:rsidP="00A4116A">
            <w:pPr>
              <w:pStyle w:val="TabEtichette"/>
            </w:pPr>
          </w:p>
        </w:tc>
        <w:tc>
          <w:tcPr>
            <w:tcW w:w="510" w:type="dxa"/>
          </w:tcPr>
          <w:p w14:paraId="6AA7E930" w14:textId="77777777" w:rsidR="00BF7C78" w:rsidRPr="00310AE2" w:rsidRDefault="00BF7C78" w:rsidP="00A4116A">
            <w:pPr>
              <w:pStyle w:val="TabNumeri"/>
            </w:pPr>
          </w:p>
        </w:tc>
        <w:tc>
          <w:tcPr>
            <w:tcW w:w="510" w:type="dxa"/>
          </w:tcPr>
          <w:p w14:paraId="46A9C721" w14:textId="77777777" w:rsidR="00BF7C78" w:rsidRPr="00310AE2" w:rsidRDefault="00BF7C78" w:rsidP="00A4116A">
            <w:pPr>
              <w:pStyle w:val="TabNumeri"/>
            </w:pPr>
          </w:p>
        </w:tc>
        <w:tc>
          <w:tcPr>
            <w:tcW w:w="510" w:type="dxa"/>
          </w:tcPr>
          <w:p w14:paraId="7A491E04" w14:textId="77777777" w:rsidR="00BF7C78" w:rsidRDefault="00BF7C78" w:rsidP="00A4116A">
            <w:pPr>
              <w:pStyle w:val="TabNumeri"/>
            </w:pPr>
          </w:p>
        </w:tc>
        <w:tc>
          <w:tcPr>
            <w:tcW w:w="340" w:type="dxa"/>
          </w:tcPr>
          <w:p w14:paraId="62118845" w14:textId="77777777" w:rsidR="00BF7C78" w:rsidRPr="00BC2A0C" w:rsidRDefault="00BF7C78" w:rsidP="00A4116A">
            <w:pPr>
              <w:pStyle w:val="TabEtichette"/>
            </w:pPr>
          </w:p>
        </w:tc>
        <w:tc>
          <w:tcPr>
            <w:tcW w:w="2552" w:type="dxa"/>
          </w:tcPr>
          <w:p w14:paraId="55A5B2FB" w14:textId="77777777" w:rsidR="00BF7C78" w:rsidRPr="00903CBB" w:rsidRDefault="00BF7C78" w:rsidP="00A4116A">
            <w:pPr>
              <w:pStyle w:val="TabEtichette"/>
            </w:pPr>
            <w:r w:rsidRPr="00903CBB">
              <w:t>Brasile</w:t>
            </w:r>
          </w:p>
        </w:tc>
        <w:tc>
          <w:tcPr>
            <w:tcW w:w="510" w:type="dxa"/>
          </w:tcPr>
          <w:p w14:paraId="50D020F2" w14:textId="77777777" w:rsidR="00BF7C78" w:rsidRPr="000D66D3" w:rsidRDefault="00BF7C78" w:rsidP="00A4116A">
            <w:pPr>
              <w:pStyle w:val="TabNumeri"/>
            </w:pPr>
            <w:r w:rsidRPr="000D66D3">
              <w:t xml:space="preserve">1,2 </w:t>
            </w:r>
          </w:p>
        </w:tc>
        <w:tc>
          <w:tcPr>
            <w:tcW w:w="510" w:type="dxa"/>
          </w:tcPr>
          <w:p w14:paraId="5B8CD4FB" w14:textId="77777777" w:rsidR="00BF7C78" w:rsidRPr="000D66D3" w:rsidRDefault="00BF7C78" w:rsidP="00A4116A">
            <w:pPr>
              <w:pStyle w:val="TabNumeri"/>
            </w:pPr>
            <w:r w:rsidRPr="000D66D3">
              <w:t xml:space="preserve">2,2 </w:t>
            </w:r>
          </w:p>
        </w:tc>
        <w:tc>
          <w:tcPr>
            <w:tcW w:w="514" w:type="dxa"/>
          </w:tcPr>
          <w:p w14:paraId="44D37EB2" w14:textId="77777777" w:rsidR="00BF7C78" w:rsidRPr="000D66D3" w:rsidRDefault="00BF7C78" w:rsidP="00A4116A">
            <w:pPr>
              <w:pStyle w:val="TabNumeri"/>
            </w:pPr>
            <w:r w:rsidRPr="000D66D3">
              <w:t xml:space="preserve">2,3 </w:t>
            </w:r>
          </w:p>
        </w:tc>
      </w:tr>
      <w:tr w:rsidR="00BF7C78" w:rsidRPr="00BC2A0C" w14:paraId="6CBD2EB3" w14:textId="77777777" w:rsidTr="00A4116A">
        <w:trPr>
          <w:cantSplit/>
          <w:trHeight w:val="255"/>
        </w:trPr>
        <w:tc>
          <w:tcPr>
            <w:tcW w:w="3402" w:type="dxa"/>
            <w:shd w:val="clear" w:color="auto" w:fill="F2F2F2" w:themeFill="background1" w:themeFillShade="F2"/>
          </w:tcPr>
          <w:p w14:paraId="04A7D73B" w14:textId="77777777" w:rsidR="00BF7C78" w:rsidRPr="007C2916" w:rsidRDefault="00BF7C78" w:rsidP="00A4116A">
            <w:pPr>
              <w:pStyle w:val="TabEtichette"/>
            </w:pPr>
          </w:p>
        </w:tc>
        <w:tc>
          <w:tcPr>
            <w:tcW w:w="510" w:type="dxa"/>
            <w:shd w:val="clear" w:color="auto" w:fill="F2F2F2" w:themeFill="background1" w:themeFillShade="F2"/>
          </w:tcPr>
          <w:p w14:paraId="35F8ACA8" w14:textId="77777777" w:rsidR="00BF7C78" w:rsidRPr="003234B1" w:rsidRDefault="00BF7C78" w:rsidP="00A4116A">
            <w:pPr>
              <w:pStyle w:val="TabNumeri"/>
            </w:pPr>
          </w:p>
        </w:tc>
        <w:tc>
          <w:tcPr>
            <w:tcW w:w="510" w:type="dxa"/>
            <w:shd w:val="clear" w:color="auto" w:fill="F2F2F2" w:themeFill="background1" w:themeFillShade="F2"/>
          </w:tcPr>
          <w:p w14:paraId="20046D2D" w14:textId="77777777" w:rsidR="00BF7C78" w:rsidRPr="003234B1" w:rsidRDefault="00BF7C78" w:rsidP="00A4116A">
            <w:pPr>
              <w:pStyle w:val="TabNumeri"/>
            </w:pPr>
          </w:p>
        </w:tc>
        <w:tc>
          <w:tcPr>
            <w:tcW w:w="510" w:type="dxa"/>
            <w:shd w:val="clear" w:color="auto" w:fill="F2F2F2" w:themeFill="background1" w:themeFillShade="F2"/>
          </w:tcPr>
          <w:p w14:paraId="64DD1E27" w14:textId="77777777" w:rsidR="00BF7C78" w:rsidRPr="003234B1" w:rsidRDefault="00BF7C78" w:rsidP="00A4116A">
            <w:pPr>
              <w:pStyle w:val="TabNumeri"/>
            </w:pPr>
          </w:p>
        </w:tc>
        <w:tc>
          <w:tcPr>
            <w:tcW w:w="340" w:type="dxa"/>
            <w:shd w:val="clear" w:color="auto" w:fill="F2F2F2" w:themeFill="background1" w:themeFillShade="F2"/>
          </w:tcPr>
          <w:p w14:paraId="11DAB0F6" w14:textId="77777777" w:rsidR="00BF7C78" w:rsidRPr="00BC2A0C" w:rsidRDefault="00BF7C78" w:rsidP="00A4116A">
            <w:pPr>
              <w:pStyle w:val="TabEtichette"/>
            </w:pPr>
          </w:p>
        </w:tc>
        <w:tc>
          <w:tcPr>
            <w:tcW w:w="2552" w:type="dxa"/>
            <w:shd w:val="clear" w:color="auto" w:fill="F2F2F2" w:themeFill="background1" w:themeFillShade="F2"/>
          </w:tcPr>
          <w:p w14:paraId="0DC38B56" w14:textId="77777777" w:rsidR="00BF7C78" w:rsidRDefault="00BF7C78" w:rsidP="00A4116A">
            <w:pPr>
              <w:pStyle w:val="TabEtichette"/>
            </w:pPr>
            <w:r w:rsidRPr="00903CBB">
              <w:t>Messico</w:t>
            </w:r>
          </w:p>
        </w:tc>
        <w:tc>
          <w:tcPr>
            <w:tcW w:w="510" w:type="dxa"/>
            <w:shd w:val="clear" w:color="auto" w:fill="F2F2F2" w:themeFill="background1" w:themeFillShade="F2"/>
          </w:tcPr>
          <w:p w14:paraId="21C51E0A" w14:textId="77777777" w:rsidR="00BF7C78" w:rsidRPr="000D66D3" w:rsidRDefault="00BF7C78" w:rsidP="00A4116A">
            <w:pPr>
              <w:pStyle w:val="TabNumeri"/>
            </w:pPr>
            <w:r w:rsidRPr="000D66D3">
              <w:t xml:space="preserve">0,0 </w:t>
            </w:r>
          </w:p>
        </w:tc>
        <w:tc>
          <w:tcPr>
            <w:tcW w:w="510" w:type="dxa"/>
            <w:shd w:val="clear" w:color="auto" w:fill="F2F2F2" w:themeFill="background1" w:themeFillShade="F2"/>
          </w:tcPr>
          <w:p w14:paraId="221E172A" w14:textId="77777777" w:rsidR="00BF7C78" w:rsidRPr="000D66D3" w:rsidRDefault="00BF7C78" w:rsidP="00A4116A">
            <w:pPr>
              <w:pStyle w:val="TabNumeri"/>
            </w:pPr>
            <w:r w:rsidRPr="000D66D3">
              <w:t xml:space="preserve">1,0 </w:t>
            </w:r>
          </w:p>
        </w:tc>
        <w:tc>
          <w:tcPr>
            <w:tcW w:w="514" w:type="dxa"/>
            <w:shd w:val="clear" w:color="auto" w:fill="F2F2F2" w:themeFill="background1" w:themeFillShade="F2"/>
          </w:tcPr>
          <w:p w14:paraId="776B5C34" w14:textId="77777777" w:rsidR="00BF7C78" w:rsidRDefault="00BF7C78" w:rsidP="00A4116A">
            <w:pPr>
              <w:pStyle w:val="TabNumeri"/>
            </w:pPr>
            <w:r w:rsidRPr="000D66D3">
              <w:t xml:space="preserve">1,6 </w:t>
            </w:r>
          </w:p>
        </w:tc>
      </w:tr>
      <w:tr w:rsidR="00BF7C78" w:rsidRPr="00BC2A0C" w14:paraId="3C2E12E9" w14:textId="77777777" w:rsidTr="00A4116A">
        <w:trPr>
          <w:cantSplit/>
          <w:trHeight w:val="255"/>
        </w:trPr>
        <w:tc>
          <w:tcPr>
            <w:tcW w:w="9358" w:type="dxa"/>
            <w:gridSpan w:val="9"/>
          </w:tcPr>
          <w:p w14:paraId="30B573F4" w14:textId="77777777" w:rsidR="00BF7C78" w:rsidRPr="009100D8" w:rsidRDefault="00BF7C78" w:rsidP="00A4116A">
            <w:pPr>
              <w:pStyle w:val="TabIntestaSup"/>
            </w:pPr>
            <w:r>
              <w:t>Commercio mondiale e tassi di interesse</w:t>
            </w:r>
          </w:p>
        </w:tc>
      </w:tr>
      <w:tr w:rsidR="00BF7C78" w:rsidRPr="00BC2A0C" w14:paraId="3C0BCCFC" w14:textId="77777777" w:rsidTr="00A4116A">
        <w:trPr>
          <w:cantSplit/>
          <w:trHeight w:val="255"/>
        </w:trPr>
        <w:tc>
          <w:tcPr>
            <w:tcW w:w="3402" w:type="dxa"/>
            <w:shd w:val="clear" w:color="auto" w:fill="F2F2F2" w:themeFill="background1" w:themeFillShade="F2"/>
          </w:tcPr>
          <w:p w14:paraId="4E98421F" w14:textId="77777777" w:rsidR="00BF7C78" w:rsidRPr="00BC2A0C" w:rsidRDefault="00BF7C78" w:rsidP="00A4116A">
            <w:pPr>
              <w:pStyle w:val="TabEtichette"/>
            </w:pPr>
            <w:r w:rsidRPr="00BC2A0C">
              <w:t>Commercio mondiale(c)</w:t>
            </w:r>
          </w:p>
        </w:tc>
        <w:tc>
          <w:tcPr>
            <w:tcW w:w="510" w:type="dxa"/>
            <w:shd w:val="clear" w:color="auto" w:fill="F2F2F2" w:themeFill="background1" w:themeFillShade="F2"/>
          </w:tcPr>
          <w:p w14:paraId="422D720F" w14:textId="77777777" w:rsidR="00BF7C78" w:rsidRPr="00EA1C14" w:rsidRDefault="00BF7C78" w:rsidP="00A4116A">
            <w:pPr>
              <w:pStyle w:val="TabNumeri"/>
            </w:pPr>
            <w:r w:rsidRPr="00EA1C14">
              <w:t xml:space="preserve">1,0 </w:t>
            </w:r>
          </w:p>
        </w:tc>
        <w:tc>
          <w:tcPr>
            <w:tcW w:w="510" w:type="dxa"/>
            <w:shd w:val="clear" w:color="auto" w:fill="F2F2F2" w:themeFill="background1" w:themeFillShade="F2"/>
          </w:tcPr>
          <w:p w14:paraId="647D7846" w14:textId="77777777" w:rsidR="00BF7C78" w:rsidRPr="00EA1C14" w:rsidRDefault="00BF7C78" w:rsidP="00A4116A">
            <w:pPr>
              <w:pStyle w:val="TabNumeri"/>
            </w:pPr>
            <w:r w:rsidRPr="00EA1C14">
              <w:t xml:space="preserve">2,9 </w:t>
            </w:r>
          </w:p>
        </w:tc>
        <w:tc>
          <w:tcPr>
            <w:tcW w:w="510" w:type="dxa"/>
            <w:shd w:val="clear" w:color="auto" w:fill="F2F2F2" w:themeFill="background1" w:themeFillShade="F2"/>
          </w:tcPr>
          <w:p w14:paraId="3C7BF291" w14:textId="77777777" w:rsidR="00BF7C78" w:rsidRPr="00EA1C14" w:rsidRDefault="00BF7C78" w:rsidP="00A4116A">
            <w:pPr>
              <w:pStyle w:val="TabNumeri"/>
            </w:pPr>
            <w:r w:rsidRPr="00EA1C14">
              <w:t xml:space="preserve">3,7 </w:t>
            </w:r>
          </w:p>
        </w:tc>
        <w:tc>
          <w:tcPr>
            <w:tcW w:w="340" w:type="dxa"/>
            <w:shd w:val="clear" w:color="auto" w:fill="F2F2F2" w:themeFill="background1" w:themeFillShade="F2"/>
          </w:tcPr>
          <w:p w14:paraId="7A15760B" w14:textId="77777777" w:rsidR="00BF7C78" w:rsidRPr="00BC2A0C" w:rsidRDefault="00BF7C78" w:rsidP="00A4116A">
            <w:pPr>
              <w:pStyle w:val="TabEtichette"/>
            </w:pPr>
          </w:p>
        </w:tc>
        <w:tc>
          <w:tcPr>
            <w:tcW w:w="2552" w:type="dxa"/>
            <w:shd w:val="clear" w:color="auto" w:fill="F2F2F2" w:themeFill="background1" w:themeFillShade="F2"/>
          </w:tcPr>
          <w:p w14:paraId="245E8E3E" w14:textId="77777777" w:rsidR="00BF7C78" w:rsidRPr="00BC2A0C" w:rsidRDefault="00BF7C78" w:rsidP="00A4116A">
            <w:pPr>
              <w:pStyle w:val="TabEtichette"/>
            </w:pPr>
            <w:r>
              <w:t xml:space="preserve">Libor su depositi in </w:t>
            </w:r>
            <w:r w:rsidRPr="00BC2A0C">
              <w:t>Dollari Usa</w:t>
            </w:r>
            <w:r>
              <w:t xml:space="preserve"> (f)</w:t>
            </w:r>
          </w:p>
        </w:tc>
        <w:tc>
          <w:tcPr>
            <w:tcW w:w="510" w:type="dxa"/>
            <w:shd w:val="clear" w:color="auto" w:fill="F2F2F2" w:themeFill="background1" w:themeFillShade="F2"/>
          </w:tcPr>
          <w:p w14:paraId="5A8398F1" w14:textId="77777777" w:rsidR="00BF7C78" w:rsidRPr="004204FA" w:rsidRDefault="00BF7C78" w:rsidP="00A4116A">
            <w:pPr>
              <w:pStyle w:val="TabNumeri"/>
            </w:pPr>
            <w:r w:rsidRPr="004204FA">
              <w:t xml:space="preserve">2,3 </w:t>
            </w:r>
          </w:p>
        </w:tc>
        <w:tc>
          <w:tcPr>
            <w:tcW w:w="510" w:type="dxa"/>
            <w:shd w:val="clear" w:color="auto" w:fill="F2F2F2" w:themeFill="background1" w:themeFillShade="F2"/>
          </w:tcPr>
          <w:p w14:paraId="058F4D24" w14:textId="77777777" w:rsidR="00BF7C78" w:rsidRPr="004204FA" w:rsidRDefault="00BF7C78" w:rsidP="00A4116A">
            <w:pPr>
              <w:pStyle w:val="TabNumeri"/>
            </w:pPr>
            <w:r w:rsidRPr="004204FA">
              <w:t xml:space="preserve">1,9 </w:t>
            </w:r>
          </w:p>
        </w:tc>
        <w:tc>
          <w:tcPr>
            <w:tcW w:w="514" w:type="dxa"/>
            <w:shd w:val="clear" w:color="auto" w:fill="F2F2F2" w:themeFill="background1" w:themeFillShade="F2"/>
          </w:tcPr>
          <w:p w14:paraId="658F0DA8" w14:textId="77777777" w:rsidR="00BF7C78" w:rsidRPr="004204FA" w:rsidRDefault="00BF7C78" w:rsidP="00A4116A">
            <w:pPr>
              <w:pStyle w:val="TabNumeri"/>
            </w:pPr>
            <w:r w:rsidRPr="004204FA">
              <w:t xml:space="preserve">1,9 </w:t>
            </w:r>
          </w:p>
        </w:tc>
      </w:tr>
      <w:tr w:rsidR="00BF7C78" w:rsidRPr="00BC2A0C" w14:paraId="46178273" w14:textId="77777777" w:rsidTr="00A4116A">
        <w:trPr>
          <w:cantSplit/>
          <w:trHeight w:val="255"/>
        </w:trPr>
        <w:tc>
          <w:tcPr>
            <w:tcW w:w="3402" w:type="dxa"/>
          </w:tcPr>
          <w:p w14:paraId="2BC3A90E" w14:textId="77777777" w:rsidR="00BF7C78" w:rsidRPr="003F3E03" w:rsidRDefault="00BF7C78" w:rsidP="00A4116A">
            <w:pPr>
              <w:pStyle w:val="TabEtichette"/>
            </w:pPr>
            <w:r w:rsidRPr="003F3E03">
              <w:t xml:space="preserve">  Economie avanzate</w:t>
            </w:r>
          </w:p>
        </w:tc>
        <w:tc>
          <w:tcPr>
            <w:tcW w:w="510" w:type="dxa"/>
          </w:tcPr>
          <w:p w14:paraId="0C3938D5" w14:textId="77777777" w:rsidR="00BF7C78" w:rsidRPr="00EA1C14" w:rsidRDefault="00BF7C78" w:rsidP="00A4116A">
            <w:pPr>
              <w:pStyle w:val="TabNumeri"/>
            </w:pPr>
            <w:r w:rsidRPr="00EA1C14">
              <w:t xml:space="preserve">1,3 </w:t>
            </w:r>
          </w:p>
        </w:tc>
        <w:tc>
          <w:tcPr>
            <w:tcW w:w="510" w:type="dxa"/>
          </w:tcPr>
          <w:p w14:paraId="0A460671" w14:textId="77777777" w:rsidR="00BF7C78" w:rsidRPr="00EA1C14" w:rsidRDefault="00BF7C78" w:rsidP="00A4116A">
            <w:pPr>
              <w:pStyle w:val="TabNumeri"/>
            </w:pPr>
            <w:r w:rsidRPr="00EA1C14">
              <w:t>2,2</w:t>
            </w:r>
          </w:p>
        </w:tc>
        <w:tc>
          <w:tcPr>
            <w:tcW w:w="510" w:type="dxa"/>
          </w:tcPr>
          <w:p w14:paraId="3B71E655" w14:textId="77777777" w:rsidR="00BF7C78" w:rsidRPr="00EA1C14" w:rsidRDefault="00BF7C78" w:rsidP="00A4116A">
            <w:pPr>
              <w:pStyle w:val="TabNumeri"/>
            </w:pPr>
            <w:r w:rsidRPr="00EA1C14">
              <w:t xml:space="preserve">3,1 </w:t>
            </w:r>
          </w:p>
        </w:tc>
        <w:tc>
          <w:tcPr>
            <w:tcW w:w="340" w:type="dxa"/>
          </w:tcPr>
          <w:p w14:paraId="1B9E1715" w14:textId="77777777" w:rsidR="00BF7C78" w:rsidRPr="00BC2A0C" w:rsidRDefault="00BF7C78" w:rsidP="00A4116A">
            <w:pPr>
              <w:pStyle w:val="TabEtichette"/>
            </w:pPr>
          </w:p>
        </w:tc>
        <w:tc>
          <w:tcPr>
            <w:tcW w:w="2552" w:type="dxa"/>
          </w:tcPr>
          <w:p w14:paraId="1AE8500E" w14:textId="77777777" w:rsidR="00BF7C78" w:rsidRPr="00BC2A0C" w:rsidRDefault="00BF7C78" w:rsidP="00A4116A">
            <w:pPr>
              <w:pStyle w:val="TabEtichette"/>
            </w:pPr>
            <w:r>
              <w:t xml:space="preserve">Libor su depositi in </w:t>
            </w:r>
            <w:r w:rsidRPr="00BC2A0C">
              <w:t>Euro</w:t>
            </w:r>
            <w:r>
              <w:t xml:space="preserve"> (f)</w:t>
            </w:r>
          </w:p>
        </w:tc>
        <w:tc>
          <w:tcPr>
            <w:tcW w:w="510" w:type="dxa"/>
          </w:tcPr>
          <w:p w14:paraId="5D53F13E" w14:textId="77777777" w:rsidR="00BF7C78" w:rsidRPr="004204FA" w:rsidRDefault="00BF7C78" w:rsidP="00A4116A">
            <w:pPr>
              <w:pStyle w:val="TabNumeri"/>
            </w:pPr>
            <w:r w:rsidRPr="004204FA">
              <w:t xml:space="preserve">-0,4 </w:t>
            </w:r>
          </w:p>
        </w:tc>
        <w:tc>
          <w:tcPr>
            <w:tcW w:w="510" w:type="dxa"/>
          </w:tcPr>
          <w:p w14:paraId="785AAE4A" w14:textId="77777777" w:rsidR="00BF7C78" w:rsidRPr="004204FA" w:rsidRDefault="00BF7C78" w:rsidP="00A4116A">
            <w:pPr>
              <w:pStyle w:val="TabNumeri"/>
            </w:pPr>
            <w:r w:rsidRPr="004204FA">
              <w:t xml:space="preserve">-0,4 </w:t>
            </w:r>
          </w:p>
        </w:tc>
        <w:tc>
          <w:tcPr>
            <w:tcW w:w="514" w:type="dxa"/>
          </w:tcPr>
          <w:p w14:paraId="49DD33C2" w14:textId="77777777" w:rsidR="00BF7C78" w:rsidRPr="004204FA" w:rsidRDefault="00BF7C78" w:rsidP="00A4116A">
            <w:pPr>
              <w:pStyle w:val="TabNumeri"/>
            </w:pPr>
            <w:r w:rsidRPr="004204FA">
              <w:t xml:space="preserve">-0,4 </w:t>
            </w:r>
          </w:p>
        </w:tc>
      </w:tr>
      <w:tr w:rsidR="00BF7C78" w:rsidRPr="00BC2A0C" w14:paraId="74B9F847" w14:textId="77777777" w:rsidTr="00A4116A">
        <w:trPr>
          <w:cantSplit/>
          <w:trHeight w:val="255"/>
        </w:trPr>
        <w:tc>
          <w:tcPr>
            <w:tcW w:w="3402" w:type="dxa"/>
            <w:shd w:val="clear" w:color="auto" w:fill="F2F2F2" w:themeFill="background1" w:themeFillShade="F2"/>
          </w:tcPr>
          <w:p w14:paraId="0EF461FA" w14:textId="77777777" w:rsidR="00BF7C78" w:rsidRDefault="00BF7C78" w:rsidP="00A4116A">
            <w:pPr>
              <w:pStyle w:val="TabEtichette"/>
            </w:pPr>
            <w:r w:rsidRPr="003F3E03">
              <w:t xml:space="preserve">  Economie emergenti e in sviluppo</w:t>
            </w:r>
          </w:p>
        </w:tc>
        <w:tc>
          <w:tcPr>
            <w:tcW w:w="510" w:type="dxa"/>
            <w:shd w:val="clear" w:color="auto" w:fill="F2F2F2" w:themeFill="background1" w:themeFillShade="F2"/>
          </w:tcPr>
          <w:p w14:paraId="505F7263" w14:textId="77777777" w:rsidR="00BF7C78" w:rsidRPr="00EA1C14" w:rsidRDefault="00BF7C78" w:rsidP="00A4116A">
            <w:pPr>
              <w:pStyle w:val="TabNumeri"/>
            </w:pPr>
            <w:r w:rsidRPr="00EA1C14">
              <w:t xml:space="preserve">0,4 </w:t>
            </w:r>
          </w:p>
        </w:tc>
        <w:tc>
          <w:tcPr>
            <w:tcW w:w="510" w:type="dxa"/>
            <w:shd w:val="clear" w:color="auto" w:fill="F2F2F2" w:themeFill="background1" w:themeFillShade="F2"/>
          </w:tcPr>
          <w:p w14:paraId="78B40D23" w14:textId="77777777" w:rsidR="00BF7C78" w:rsidRPr="00EA1C14" w:rsidRDefault="00BF7C78" w:rsidP="00A4116A">
            <w:pPr>
              <w:pStyle w:val="TabNumeri"/>
            </w:pPr>
            <w:r w:rsidRPr="00EA1C14">
              <w:t xml:space="preserve">4,2 </w:t>
            </w:r>
          </w:p>
        </w:tc>
        <w:tc>
          <w:tcPr>
            <w:tcW w:w="510" w:type="dxa"/>
            <w:shd w:val="clear" w:color="auto" w:fill="F2F2F2" w:themeFill="background1" w:themeFillShade="F2"/>
          </w:tcPr>
          <w:p w14:paraId="2E68FB5E" w14:textId="77777777" w:rsidR="00BF7C78" w:rsidRDefault="00BF7C78" w:rsidP="00A4116A">
            <w:pPr>
              <w:pStyle w:val="TabNumeri"/>
            </w:pPr>
            <w:r w:rsidRPr="00EA1C14">
              <w:t xml:space="preserve">4,7 </w:t>
            </w:r>
          </w:p>
        </w:tc>
        <w:tc>
          <w:tcPr>
            <w:tcW w:w="340" w:type="dxa"/>
            <w:shd w:val="clear" w:color="auto" w:fill="F2F2F2" w:themeFill="background1" w:themeFillShade="F2"/>
          </w:tcPr>
          <w:p w14:paraId="0C7FFE2C" w14:textId="77777777" w:rsidR="00BF7C78" w:rsidRPr="00BC2A0C" w:rsidRDefault="00BF7C78" w:rsidP="00A4116A">
            <w:pPr>
              <w:pStyle w:val="TabEtichette"/>
            </w:pPr>
          </w:p>
        </w:tc>
        <w:tc>
          <w:tcPr>
            <w:tcW w:w="2552" w:type="dxa"/>
            <w:shd w:val="clear" w:color="auto" w:fill="F2F2F2" w:themeFill="background1" w:themeFillShade="F2"/>
          </w:tcPr>
          <w:p w14:paraId="25469A3B" w14:textId="77777777" w:rsidR="00BF7C78" w:rsidRPr="00BC2A0C" w:rsidRDefault="00BF7C78" w:rsidP="00A4116A">
            <w:pPr>
              <w:pStyle w:val="TabEtichette"/>
            </w:pPr>
            <w:r>
              <w:t xml:space="preserve">Libor su depositi in </w:t>
            </w:r>
            <w:r w:rsidRPr="00BC2A0C">
              <w:t xml:space="preserve">Yen </w:t>
            </w:r>
            <w:r>
              <w:t>(f)</w:t>
            </w:r>
          </w:p>
        </w:tc>
        <w:tc>
          <w:tcPr>
            <w:tcW w:w="510" w:type="dxa"/>
            <w:shd w:val="clear" w:color="auto" w:fill="F2F2F2" w:themeFill="background1" w:themeFillShade="F2"/>
          </w:tcPr>
          <w:p w14:paraId="20977E69" w14:textId="77777777" w:rsidR="00BF7C78" w:rsidRPr="004204FA" w:rsidRDefault="00BF7C78" w:rsidP="00A4116A">
            <w:pPr>
              <w:pStyle w:val="TabNumeri"/>
            </w:pPr>
            <w:r w:rsidRPr="004204FA">
              <w:t xml:space="preserve">0,0 </w:t>
            </w:r>
          </w:p>
        </w:tc>
        <w:tc>
          <w:tcPr>
            <w:tcW w:w="510" w:type="dxa"/>
            <w:shd w:val="clear" w:color="auto" w:fill="F2F2F2" w:themeFill="background1" w:themeFillShade="F2"/>
          </w:tcPr>
          <w:p w14:paraId="6ED945BA" w14:textId="77777777" w:rsidR="00BF7C78" w:rsidRPr="004204FA" w:rsidRDefault="00BF7C78" w:rsidP="00A4116A">
            <w:pPr>
              <w:pStyle w:val="TabNumeri"/>
            </w:pPr>
            <w:r w:rsidRPr="004204FA">
              <w:t xml:space="preserve">-0,1 </w:t>
            </w:r>
          </w:p>
        </w:tc>
        <w:tc>
          <w:tcPr>
            <w:tcW w:w="514" w:type="dxa"/>
            <w:shd w:val="clear" w:color="auto" w:fill="F2F2F2" w:themeFill="background1" w:themeFillShade="F2"/>
          </w:tcPr>
          <w:p w14:paraId="2054EAA1" w14:textId="77777777" w:rsidR="00BF7C78" w:rsidRDefault="00BF7C78" w:rsidP="00A4116A">
            <w:pPr>
              <w:pStyle w:val="TabNumeri"/>
            </w:pPr>
            <w:r w:rsidRPr="004204FA">
              <w:t xml:space="preserve">0,0 </w:t>
            </w:r>
          </w:p>
        </w:tc>
      </w:tr>
      <w:tr w:rsidR="00BF7C78" w:rsidRPr="00BC2A0C" w14:paraId="6EF758BB" w14:textId="77777777" w:rsidTr="00A4116A">
        <w:trPr>
          <w:cantSplit/>
          <w:trHeight w:val="255"/>
        </w:trPr>
        <w:tc>
          <w:tcPr>
            <w:tcW w:w="9358" w:type="dxa"/>
            <w:gridSpan w:val="9"/>
          </w:tcPr>
          <w:p w14:paraId="1D76BB2C" w14:textId="77777777" w:rsidR="00BF7C78" w:rsidRPr="009100D8" w:rsidRDefault="00BF7C78" w:rsidP="00A4116A">
            <w:pPr>
              <w:pStyle w:val="TabIntestaSup"/>
            </w:pPr>
            <w:r>
              <w:t>Prezzi</w:t>
            </w:r>
          </w:p>
        </w:tc>
      </w:tr>
      <w:tr w:rsidR="00BF7C78" w:rsidRPr="00BC2A0C" w14:paraId="2086E97E" w14:textId="77777777" w:rsidTr="00A4116A">
        <w:trPr>
          <w:cantSplit/>
          <w:trHeight w:val="255"/>
        </w:trPr>
        <w:tc>
          <w:tcPr>
            <w:tcW w:w="3402" w:type="dxa"/>
            <w:shd w:val="clear" w:color="auto" w:fill="F2F2F2" w:themeFill="background1" w:themeFillShade="F2"/>
          </w:tcPr>
          <w:p w14:paraId="2213DE4B" w14:textId="77777777" w:rsidR="00BF7C78" w:rsidRPr="00BC2A0C" w:rsidRDefault="00BF7C78" w:rsidP="00A4116A">
            <w:pPr>
              <w:pStyle w:val="TabEtichette"/>
            </w:pPr>
            <w:r w:rsidRPr="00BC2A0C">
              <w:t xml:space="preserve">Prezzi materie prime (in </w:t>
            </w:r>
            <w:proofErr w:type="spellStart"/>
            <w:r w:rsidRPr="00BC2A0C">
              <w:t>Usd</w:t>
            </w:r>
            <w:proofErr w:type="spellEnd"/>
            <w:r w:rsidRPr="00BC2A0C">
              <w:t>)</w:t>
            </w:r>
          </w:p>
        </w:tc>
        <w:tc>
          <w:tcPr>
            <w:tcW w:w="510" w:type="dxa"/>
            <w:shd w:val="clear" w:color="auto" w:fill="F2F2F2" w:themeFill="background1" w:themeFillShade="F2"/>
          </w:tcPr>
          <w:p w14:paraId="6F43AD7F" w14:textId="77777777" w:rsidR="00BF7C78" w:rsidRPr="006129FC" w:rsidRDefault="00BF7C78" w:rsidP="00A4116A">
            <w:pPr>
              <w:pStyle w:val="TabNumeri"/>
            </w:pPr>
          </w:p>
        </w:tc>
        <w:tc>
          <w:tcPr>
            <w:tcW w:w="510" w:type="dxa"/>
            <w:shd w:val="clear" w:color="auto" w:fill="F2F2F2" w:themeFill="background1" w:themeFillShade="F2"/>
          </w:tcPr>
          <w:p w14:paraId="1263E191" w14:textId="77777777" w:rsidR="00BF7C78" w:rsidRPr="006129FC" w:rsidRDefault="00BF7C78" w:rsidP="00A4116A">
            <w:pPr>
              <w:pStyle w:val="TabNumeri"/>
            </w:pPr>
          </w:p>
        </w:tc>
        <w:tc>
          <w:tcPr>
            <w:tcW w:w="510" w:type="dxa"/>
            <w:shd w:val="clear" w:color="auto" w:fill="F2F2F2" w:themeFill="background1" w:themeFillShade="F2"/>
          </w:tcPr>
          <w:p w14:paraId="1CD1380B" w14:textId="77777777" w:rsidR="00BF7C78" w:rsidRPr="006129FC" w:rsidRDefault="00BF7C78" w:rsidP="00A4116A">
            <w:pPr>
              <w:pStyle w:val="TabNumeri"/>
            </w:pPr>
          </w:p>
        </w:tc>
        <w:tc>
          <w:tcPr>
            <w:tcW w:w="340" w:type="dxa"/>
            <w:shd w:val="clear" w:color="auto" w:fill="F2F2F2" w:themeFill="background1" w:themeFillShade="F2"/>
          </w:tcPr>
          <w:p w14:paraId="215FB299" w14:textId="77777777" w:rsidR="00BF7C78" w:rsidRPr="00BC2A0C" w:rsidRDefault="00BF7C78" w:rsidP="00A4116A">
            <w:pPr>
              <w:pStyle w:val="TabEtichette"/>
            </w:pPr>
          </w:p>
        </w:tc>
        <w:tc>
          <w:tcPr>
            <w:tcW w:w="2552" w:type="dxa"/>
            <w:shd w:val="clear" w:color="auto" w:fill="F2F2F2" w:themeFill="background1" w:themeFillShade="F2"/>
          </w:tcPr>
          <w:p w14:paraId="6F535EB0" w14:textId="77777777" w:rsidR="00BF7C78" w:rsidRPr="00BC2A0C" w:rsidRDefault="00BF7C78" w:rsidP="00A4116A">
            <w:pPr>
              <w:pStyle w:val="TabEtichette"/>
            </w:pPr>
            <w:r w:rsidRPr="00BC2A0C">
              <w:t>Prezzi al consumo</w:t>
            </w:r>
          </w:p>
        </w:tc>
        <w:tc>
          <w:tcPr>
            <w:tcW w:w="510" w:type="dxa"/>
            <w:shd w:val="clear" w:color="auto" w:fill="F2F2F2" w:themeFill="background1" w:themeFillShade="F2"/>
          </w:tcPr>
          <w:p w14:paraId="6C646E3C" w14:textId="77777777" w:rsidR="00BF7C78" w:rsidRPr="006129FC" w:rsidRDefault="00BF7C78" w:rsidP="00A4116A">
            <w:pPr>
              <w:pStyle w:val="TabNumeri"/>
            </w:pPr>
          </w:p>
        </w:tc>
        <w:tc>
          <w:tcPr>
            <w:tcW w:w="510" w:type="dxa"/>
            <w:shd w:val="clear" w:color="auto" w:fill="F2F2F2" w:themeFill="background1" w:themeFillShade="F2"/>
          </w:tcPr>
          <w:p w14:paraId="63E5EE01" w14:textId="77777777" w:rsidR="00BF7C78" w:rsidRPr="006129FC" w:rsidRDefault="00BF7C78" w:rsidP="00A4116A">
            <w:pPr>
              <w:pStyle w:val="TabNumeri"/>
            </w:pPr>
          </w:p>
        </w:tc>
        <w:tc>
          <w:tcPr>
            <w:tcW w:w="514" w:type="dxa"/>
            <w:shd w:val="clear" w:color="auto" w:fill="F2F2F2" w:themeFill="background1" w:themeFillShade="F2"/>
          </w:tcPr>
          <w:p w14:paraId="06E88019" w14:textId="77777777" w:rsidR="00BF7C78" w:rsidRPr="006129FC" w:rsidRDefault="00BF7C78" w:rsidP="00A4116A">
            <w:pPr>
              <w:pStyle w:val="TabNumeri"/>
            </w:pPr>
          </w:p>
        </w:tc>
      </w:tr>
      <w:tr w:rsidR="00BF7C78" w:rsidRPr="00BC2A0C" w14:paraId="13A9F890" w14:textId="77777777" w:rsidTr="00A4116A">
        <w:trPr>
          <w:cantSplit/>
          <w:trHeight w:val="255"/>
        </w:trPr>
        <w:tc>
          <w:tcPr>
            <w:tcW w:w="3402" w:type="dxa"/>
            <w:shd w:val="clear" w:color="auto" w:fill="auto"/>
          </w:tcPr>
          <w:p w14:paraId="72B85944" w14:textId="77777777" w:rsidR="00BF7C78" w:rsidRPr="00BC2A0C" w:rsidRDefault="00BF7C78" w:rsidP="00A4116A">
            <w:pPr>
              <w:pStyle w:val="TabEtichette"/>
            </w:pPr>
            <w:r w:rsidRPr="00BC2A0C">
              <w:t xml:space="preserve"> - Petrolio (d)</w:t>
            </w:r>
          </w:p>
        </w:tc>
        <w:tc>
          <w:tcPr>
            <w:tcW w:w="510" w:type="dxa"/>
            <w:shd w:val="clear" w:color="auto" w:fill="auto"/>
          </w:tcPr>
          <w:p w14:paraId="25458562" w14:textId="77777777" w:rsidR="00BF7C78" w:rsidRPr="0017689A" w:rsidRDefault="00BF7C78" w:rsidP="00A4116A">
            <w:pPr>
              <w:pStyle w:val="TabNumeri"/>
            </w:pPr>
            <w:r w:rsidRPr="0017689A">
              <w:t xml:space="preserve">-11,3 </w:t>
            </w:r>
          </w:p>
        </w:tc>
        <w:tc>
          <w:tcPr>
            <w:tcW w:w="510" w:type="dxa"/>
            <w:shd w:val="clear" w:color="auto" w:fill="auto"/>
          </w:tcPr>
          <w:p w14:paraId="771AC7DB" w14:textId="77777777" w:rsidR="00BF7C78" w:rsidRPr="0017689A" w:rsidRDefault="00BF7C78" w:rsidP="00A4116A">
            <w:pPr>
              <w:pStyle w:val="TabNumeri"/>
            </w:pPr>
            <w:r w:rsidRPr="0017689A">
              <w:t xml:space="preserve">-4,3 </w:t>
            </w:r>
          </w:p>
        </w:tc>
        <w:tc>
          <w:tcPr>
            <w:tcW w:w="510" w:type="dxa"/>
            <w:shd w:val="clear" w:color="auto" w:fill="auto"/>
          </w:tcPr>
          <w:p w14:paraId="597212CB" w14:textId="77777777" w:rsidR="00BF7C78" w:rsidRPr="0017689A" w:rsidRDefault="00BF7C78" w:rsidP="00A4116A">
            <w:pPr>
              <w:pStyle w:val="TabNumeri"/>
            </w:pPr>
            <w:r w:rsidRPr="0017689A">
              <w:t xml:space="preserve">-4,7 </w:t>
            </w:r>
          </w:p>
        </w:tc>
        <w:tc>
          <w:tcPr>
            <w:tcW w:w="340" w:type="dxa"/>
            <w:shd w:val="clear" w:color="auto" w:fill="auto"/>
          </w:tcPr>
          <w:p w14:paraId="0847E7DE" w14:textId="77777777" w:rsidR="00BF7C78" w:rsidRPr="001242A8" w:rsidRDefault="00BF7C78" w:rsidP="00A4116A">
            <w:pPr>
              <w:pStyle w:val="TabEtichette"/>
              <w:rPr>
                <w:color w:val="7030A0"/>
              </w:rPr>
            </w:pPr>
          </w:p>
        </w:tc>
        <w:tc>
          <w:tcPr>
            <w:tcW w:w="2552" w:type="dxa"/>
            <w:shd w:val="clear" w:color="auto" w:fill="auto"/>
          </w:tcPr>
          <w:p w14:paraId="4996D543" w14:textId="77777777" w:rsidR="00BF7C78" w:rsidRPr="00BC2A0C" w:rsidRDefault="00BF7C78" w:rsidP="00A4116A">
            <w:pPr>
              <w:pStyle w:val="TabEtichette"/>
            </w:pPr>
            <w:r w:rsidRPr="00BC2A0C">
              <w:t xml:space="preserve">  Economie avanzate</w:t>
            </w:r>
          </w:p>
        </w:tc>
        <w:tc>
          <w:tcPr>
            <w:tcW w:w="510" w:type="dxa"/>
            <w:shd w:val="clear" w:color="auto" w:fill="auto"/>
          </w:tcPr>
          <w:p w14:paraId="3A804C39" w14:textId="77777777" w:rsidR="00BF7C78" w:rsidRPr="00CB1C0B" w:rsidRDefault="00BF7C78" w:rsidP="00A4116A">
            <w:pPr>
              <w:pStyle w:val="TabNumeri"/>
            </w:pPr>
            <w:r w:rsidRPr="00CB1C0B">
              <w:t xml:space="preserve">1,4 </w:t>
            </w:r>
          </w:p>
        </w:tc>
        <w:tc>
          <w:tcPr>
            <w:tcW w:w="510" w:type="dxa"/>
            <w:shd w:val="clear" w:color="auto" w:fill="auto"/>
          </w:tcPr>
          <w:p w14:paraId="66F8FB39" w14:textId="77777777" w:rsidR="00BF7C78" w:rsidRPr="00CB1C0B" w:rsidRDefault="00BF7C78" w:rsidP="00A4116A">
            <w:pPr>
              <w:pStyle w:val="TabNumeri"/>
            </w:pPr>
            <w:r w:rsidRPr="00CB1C0B">
              <w:t xml:space="preserve">1,7 </w:t>
            </w:r>
          </w:p>
        </w:tc>
        <w:tc>
          <w:tcPr>
            <w:tcW w:w="514" w:type="dxa"/>
            <w:shd w:val="clear" w:color="auto" w:fill="auto"/>
          </w:tcPr>
          <w:p w14:paraId="78CAB5B6" w14:textId="77777777" w:rsidR="00BF7C78" w:rsidRPr="00CB1C0B" w:rsidRDefault="00BF7C78" w:rsidP="00A4116A">
            <w:pPr>
              <w:pStyle w:val="TabNumeri"/>
            </w:pPr>
            <w:r w:rsidRPr="00CB1C0B">
              <w:t xml:space="preserve">1,9 </w:t>
            </w:r>
          </w:p>
        </w:tc>
      </w:tr>
      <w:tr w:rsidR="00BF7C78" w:rsidRPr="00BC2A0C" w14:paraId="52452289" w14:textId="77777777" w:rsidTr="00A4116A">
        <w:trPr>
          <w:cantSplit/>
          <w:trHeight w:val="255"/>
        </w:trPr>
        <w:tc>
          <w:tcPr>
            <w:tcW w:w="3402" w:type="dxa"/>
            <w:shd w:val="clear" w:color="auto" w:fill="F2F2F2" w:themeFill="background1" w:themeFillShade="F2"/>
          </w:tcPr>
          <w:p w14:paraId="7AB16016" w14:textId="77777777" w:rsidR="00BF7C78" w:rsidRPr="00BC2A0C" w:rsidRDefault="00BF7C78" w:rsidP="00A4116A">
            <w:pPr>
              <w:pStyle w:val="TabEtichette"/>
            </w:pPr>
            <w:r w:rsidRPr="00BC2A0C">
              <w:t xml:space="preserve"> - Materie prime non energetiche(e)</w:t>
            </w:r>
          </w:p>
        </w:tc>
        <w:tc>
          <w:tcPr>
            <w:tcW w:w="510" w:type="dxa"/>
            <w:shd w:val="clear" w:color="auto" w:fill="F2F2F2" w:themeFill="background1" w:themeFillShade="F2"/>
          </w:tcPr>
          <w:p w14:paraId="01C0198B" w14:textId="77777777" w:rsidR="00BF7C78" w:rsidRPr="0017689A" w:rsidRDefault="00BF7C78" w:rsidP="00A4116A">
            <w:pPr>
              <w:pStyle w:val="TabNumeri"/>
            </w:pPr>
            <w:r w:rsidRPr="0017689A">
              <w:t xml:space="preserve">0,9 </w:t>
            </w:r>
          </w:p>
        </w:tc>
        <w:tc>
          <w:tcPr>
            <w:tcW w:w="510" w:type="dxa"/>
            <w:shd w:val="clear" w:color="auto" w:fill="F2F2F2" w:themeFill="background1" w:themeFillShade="F2"/>
          </w:tcPr>
          <w:p w14:paraId="41A08C30" w14:textId="77777777" w:rsidR="00BF7C78" w:rsidRPr="0017689A" w:rsidRDefault="00BF7C78" w:rsidP="00A4116A">
            <w:pPr>
              <w:pStyle w:val="TabNumeri"/>
            </w:pPr>
            <w:r w:rsidRPr="0017689A">
              <w:t xml:space="preserve">1,7 </w:t>
            </w:r>
          </w:p>
        </w:tc>
        <w:tc>
          <w:tcPr>
            <w:tcW w:w="510" w:type="dxa"/>
            <w:shd w:val="clear" w:color="auto" w:fill="F2F2F2" w:themeFill="background1" w:themeFillShade="F2"/>
          </w:tcPr>
          <w:p w14:paraId="472EEB1A" w14:textId="77777777" w:rsidR="00BF7C78" w:rsidRDefault="00BF7C78" w:rsidP="00A4116A">
            <w:pPr>
              <w:pStyle w:val="TabNumeri"/>
            </w:pPr>
            <w:r w:rsidRPr="0017689A">
              <w:t xml:space="preserve">0,6 </w:t>
            </w:r>
          </w:p>
        </w:tc>
        <w:tc>
          <w:tcPr>
            <w:tcW w:w="340" w:type="dxa"/>
            <w:shd w:val="clear" w:color="auto" w:fill="F2F2F2" w:themeFill="background1" w:themeFillShade="F2"/>
          </w:tcPr>
          <w:p w14:paraId="6DFE10DF" w14:textId="77777777" w:rsidR="00BF7C78" w:rsidRPr="001242A8" w:rsidRDefault="00BF7C78" w:rsidP="00A4116A">
            <w:pPr>
              <w:pStyle w:val="TabEtichette"/>
              <w:rPr>
                <w:color w:val="7030A0"/>
              </w:rPr>
            </w:pPr>
          </w:p>
        </w:tc>
        <w:tc>
          <w:tcPr>
            <w:tcW w:w="2552" w:type="dxa"/>
            <w:shd w:val="clear" w:color="auto" w:fill="F2F2F2" w:themeFill="background1" w:themeFillShade="F2"/>
          </w:tcPr>
          <w:p w14:paraId="46DA1F57" w14:textId="77777777" w:rsidR="00BF7C78" w:rsidRPr="00BC2A0C" w:rsidRDefault="00BF7C78" w:rsidP="00A4116A">
            <w:pPr>
              <w:pStyle w:val="TabEtichette"/>
            </w:pPr>
            <w:r w:rsidRPr="00BC2A0C">
              <w:t xml:space="preserve">  Economie emergenti e in sviluppo</w:t>
            </w:r>
          </w:p>
        </w:tc>
        <w:tc>
          <w:tcPr>
            <w:tcW w:w="510" w:type="dxa"/>
            <w:shd w:val="clear" w:color="auto" w:fill="F2F2F2" w:themeFill="background1" w:themeFillShade="F2"/>
          </w:tcPr>
          <w:p w14:paraId="38F12ED6" w14:textId="77777777" w:rsidR="00BF7C78" w:rsidRPr="00CB1C0B" w:rsidRDefault="00BF7C78" w:rsidP="00A4116A">
            <w:pPr>
              <w:pStyle w:val="TabNumeri"/>
            </w:pPr>
            <w:r w:rsidRPr="00CB1C0B">
              <w:t xml:space="preserve">5,1 </w:t>
            </w:r>
          </w:p>
        </w:tc>
        <w:tc>
          <w:tcPr>
            <w:tcW w:w="510" w:type="dxa"/>
            <w:shd w:val="clear" w:color="auto" w:fill="F2F2F2" w:themeFill="background1" w:themeFillShade="F2"/>
          </w:tcPr>
          <w:p w14:paraId="179EA69B" w14:textId="77777777" w:rsidR="00BF7C78" w:rsidRPr="00CB1C0B" w:rsidRDefault="00BF7C78" w:rsidP="00A4116A">
            <w:pPr>
              <w:pStyle w:val="TabNumeri"/>
            </w:pPr>
            <w:r w:rsidRPr="00CB1C0B">
              <w:t xml:space="preserve">4,6 </w:t>
            </w:r>
          </w:p>
        </w:tc>
        <w:tc>
          <w:tcPr>
            <w:tcW w:w="514" w:type="dxa"/>
            <w:shd w:val="clear" w:color="auto" w:fill="F2F2F2" w:themeFill="background1" w:themeFillShade="F2"/>
          </w:tcPr>
          <w:p w14:paraId="3C6A3A23" w14:textId="77777777" w:rsidR="00BF7C78" w:rsidRDefault="00BF7C78" w:rsidP="00A4116A">
            <w:pPr>
              <w:pStyle w:val="TabNumeri"/>
            </w:pPr>
            <w:r w:rsidRPr="00CB1C0B">
              <w:t xml:space="preserve">4,5 </w:t>
            </w:r>
          </w:p>
        </w:tc>
      </w:tr>
      <w:tr w:rsidR="00BF7C78" w:rsidRPr="00827962" w14:paraId="54EA7AAD" w14:textId="77777777" w:rsidTr="00A4116A">
        <w:trPr>
          <w:cantSplit/>
        </w:trPr>
        <w:tc>
          <w:tcPr>
            <w:tcW w:w="9358" w:type="dxa"/>
            <w:gridSpan w:val="9"/>
            <w:tcBorders>
              <w:top w:val="single" w:sz="4" w:space="0" w:color="800000"/>
            </w:tcBorders>
          </w:tcPr>
          <w:p w14:paraId="0740F00D" w14:textId="77777777" w:rsidR="00902254" w:rsidRDefault="00902254" w:rsidP="00902254">
            <w:pPr>
              <w:pStyle w:val="TabNoteSuperiori"/>
            </w:pPr>
            <w:r>
              <w:t xml:space="preserve">a) Le assunzioni della previsione economica sono alla sezione </w:t>
            </w:r>
            <w:proofErr w:type="spellStart"/>
            <w:r>
              <w:t>Assumption</w:t>
            </w:r>
            <w:proofErr w:type="spellEnd"/>
            <w:r>
              <w:t xml:space="preserve"> and Conventions. (b) Tasso di variazione percentuale sul periodo precedente. (c) Beni e servizi in volume. (d) Media dei prezzi spot del petrolio greggio  Brent, Dubai e West </w:t>
            </w:r>
            <w:proofErr w:type="spellStart"/>
            <w:r>
              <w:t>texas</w:t>
            </w:r>
            <w:proofErr w:type="spellEnd"/>
            <w:r>
              <w:t xml:space="preserve"> Intermediate. (e) Media dei prezzi mondiali delle materie prime non </w:t>
            </w:r>
            <w:proofErr w:type="spellStart"/>
            <w:r>
              <w:t>fuel</w:t>
            </w:r>
            <w:proofErr w:type="spellEnd"/>
            <w:r>
              <w:t xml:space="preserve"> (energia) pesata per la loro quota media delle esportazioni di materie prime. (f) LIBOR (London </w:t>
            </w:r>
            <w:proofErr w:type="spellStart"/>
            <w:r>
              <w:t>interbank</w:t>
            </w:r>
            <w:proofErr w:type="spellEnd"/>
            <w:r>
              <w:t xml:space="preserve"> </w:t>
            </w:r>
            <w:proofErr w:type="spellStart"/>
            <w:r>
              <w:t>offered</w:t>
            </w:r>
            <w:proofErr w:type="spellEnd"/>
            <w:r>
              <w:t xml:space="preserve"> rate), tasso di interesse percentuale: sui depositi a 6 mesi in U.S.$; sui depositi a 6 mesi in yen; sui depositi a 3 mesi in euro. </w:t>
            </w:r>
          </w:p>
          <w:p w14:paraId="6D118A10" w14:textId="6145C44A" w:rsidR="00BF7C78" w:rsidRPr="00902254" w:rsidRDefault="00902254" w:rsidP="00902254">
            <w:pPr>
              <w:pStyle w:val="TabNoteSuperiori"/>
              <w:rPr>
                <w:lang w:val="en-GB"/>
              </w:rPr>
            </w:pPr>
            <w:r w:rsidRPr="00902254">
              <w:rPr>
                <w:lang w:val="en-GB"/>
              </w:rPr>
              <w:t xml:space="preserve">IMF, World Economic Outlook, 20 </w:t>
            </w:r>
            <w:proofErr w:type="spellStart"/>
            <w:r w:rsidRPr="00902254">
              <w:rPr>
                <w:lang w:val="en-GB"/>
              </w:rPr>
              <w:t>gennaio</w:t>
            </w:r>
            <w:proofErr w:type="spellEnd"/>
            <w:r w:rsidRPr="00902254">
              <w:rPr>
                <w:lang w:val="en-GB"/>
              </w:rPr>
              <w:t xml:space="preserve"> 2020</w:t>
            </w:r>
          </w:p>
        </w:tc>
      </w:tr>
    </w:tbl>
    <w:p w14:paraId="3D860475" w14:textId="77777777" w:rsidR="00196D46" w:rsidRDefault="00196D46" w:rsidP="00196D46">
      <w:r>
        <w:t>L’economia mondiale ha attraversato una fase di rallentamento diffuso e sincronizzato, procedendo al ritmo più lento sperimentato dalla crisi finanziaria globale. Hanno contribuito a questa fase le barriere e l’elevata incertezza delle politiche commerciali, le tensioni geopolitiche, le difficili condizioni sociali e macro-economiche in diverse economie emergenti e fattori strutturali quali la bassa crescita della produttività nelle economie avanzate e l’invecchiamento della popolazione anche in economie emergenti.</w:t>
      </w:r>
    </w:p>
    <w:p w14:paraId="5965CE79" w14:textId="02FF3736" w:rsidR="00196D46" w:rsidRDefault="00196D46" w:rsidP="00196D46">
      <w:r>
        <w:t xml:space="preserve">Ora le prospettive di crescita peggiorano e si fanno decisamente più incerte a seguito dell’epidemia da coronavirus, che ha messo in luce il ruolo fondamentale della Cina nelle filiere produttive a livello mondiale, per i trasporti e nei mercati delle materie prime. Gli effetti economici della diffusione dell’epidemia in altri paesi proseguiranno a manifestarsi attraverso questi canali, sino a giungere a quelli finanziari. La stima più recente dell’Ocse si basa sull’ipotesi che l’infezione tocchi un picco in Cina nel primo trimestre e che la sua diffusione in altri paesi sia sporadica e contenuta. Chi non crede a questa ipotesi, già oggi forse </w:t>
      </w:r>
      <w:r w:rsidR="0085510F">
        <w:t>eccessivamente</w:t>
      </w:r>
      <w:r>
        <w:t xml:space="preserve"> ottimistica, giunge a prospettare persino una nuova crisi del debito a livello mondiale. </w:t>
      </w:r>
    </w:p>
    <w:p w14:paraId="31AEED39" w14:textId="77777777" w:rsidR="00196D46" w:rsidRDefault="00196D46" w:rsidP="00196D46">
      <w:r>
        <w:t xml:space="preserve">Il Fondo monetario internazionale a gennaio riteneva che la crescita del commercio mondiale dopo essersi quasi arrestata nel 2019 (+1,0 per cento), in connessione con il rallentamento dell’attività manifatturiera a livello globale, che ha ridotto gli investimenti e il commercio dei beni capitali, avesse raggiunto il minimo e potesse riprendersi parzialmente nel corso del 2020 (+2,9 per cento). Il Fondo monetario internazionale stimava quindi una crescita dell’economia mondiale del 2,9 per cento per il 2019 e ne prospettava una parziale ripresa al 3,3 per cento per il 2020. </w:t>
      </w:r>
    </w:p>
    <w:p w14:paraId="1ECF6173" w14:textId="77777777" w:rsidR="00196D46" w:rsidRDefault="00196D46" w:rsidP="00196D46">
      <w:r>
        <w:lastRenderedPageBreak/>
        <w:t>La più recente previsione dell’Ocse vede la crescita globale ridursi al 2,4 per cento nel 2020 e prospetta una ripresa al 3,3 per cento solo per il 2021. Ma nel caso di una più pesante diffusione del coronavirus, per l’Ocse la crescita mondiale potrebbe ridursi all’1,5 per cento.</w:t>
      </w:r>
    </w:p>
    <w:tbl>
      <w:tblPr>
        <w:tblStyle w:val="Grigliatabella"/>
        <w:tblpPr w:topFromText="425" w:bottomFromText="425" w:horzAnchor="margin" w:tblpXSpec="right" w:tblpYSpec="top"/>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356"/>
      </w:tblGrid>
      <w:tr w:rsidR="00902254" w:rsidRPr="002B550F" w14:paraId="59BAB892" w14:textId="77777777" w:rsidTr="00A4116A">
        <w:tc>
          <w:tcPr>
            <w:tcW w:w="9356" w:type="dxa"/>
          </w:tcPr>
          <w:p w14:paraId="06F40043" w14:textId="77777777" w:rsidR="00902254" w:rsidRPr="002B550F" w:rsidRDefault="00902254" w:rsidP="00A4116A">
            <w:pPr>
              <w:pStyle w:val="FigTitolo"/>
            </w:pPr>
            <w:r w:rsidRPr="002B550F">
              <w:t>La previsione del</w:t>
            </w:r>
            <w:r>
              <w:t xml:space="preserve">l’Ocse, </w:t>
            </w:r>
            <w:r w:rsidRPr="002B550F">
              <w:t xml:space="preserve">tasso di variazione del </w:t>
            </w:r>
            <w:r>
              <w:t>p</w:t>
            </w:r>
            <w:r w:rsidRPr="002B550F">
              <w:t>rodotto interno lordo</w:t>
            </w:r>
          </w:p>
        </w:tc>
      </w:tr>
      <w:tr w:rsidR="00902254" w:rsidRPr="002B550F" w14:paraId="3444EEA0" w14:textId="77777777" w:rsidTr="00A4116A">
        <w:tc>
          <w:tcPr>
            <w:tcW w:w="9356" w:type="dxa"/>
          </w:tcPr>
          <w:p w14:paraId="6B4795A6" w14:textId="77777777" w:rsidR="00902254" w:rsidRPr="004C3A94" w:rsidRDefault="00902254" w:rsidP="00A4116A">
            <w:pPr>
              <w:pStyle w:val="Figure"/>
            </w:pPr>
            <w:r w:rsidRPr="00612AA3">
              <w:rPr>
                <w:noProof/>
              </w:rPr>
              <w:drawing>
                <wp:inline distT="0" distB="0" distL="0" distR="0" wp14:anchorId="2E7E271F" wp14:editId="38AFAD2C">
                  <wp:extent cx="5857875" cy="2057400"/>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57875" cy="2057400"/>
                          </a:xfrm>
                          <a:prstGeom prst="rect">
                            <a:avLst/>
                          </a:prstGeom>
                          <a:noFill/>
                          <a:ln>
                            <a:noFill/>
                          </a:ln>
                        </pic:spPr>
                      </pic:pic>
                    </a:graphicData>
                  </a:graphic>
                </wp:inline>
              </w:drawing>
            </w:r>
          </w:p>
        </w:tc>
      </w:tr>
      <w:tr w:rsidR="00902254" w:rsidRPr="00BC439F" w14:paraId="4A0149EF" w14:textId="77777777" w:rsidTr="00A4116A">
        <w:tc>
          <w:tcPr>
            <w:tcW w:w="9356" w:type="dxa"/>
          </w:tcPr>
          <w:p w14:paraId="53834A90" w14:textId="77777777" w:rsidR="00902254" w:rsidRDefault="00902254" w:rsidP="00A4116A">
            <w:pPr>
              <w:pStyle w:val="Fineoggettoword"/>
            </w:pPr>
          </w:p>
          <w:p w14:paraId="6ED0595D" w14:textId="37CFFED4" w:rsidR="00902254" w:rsidRPr="007C05D9" w:rsidRDefault="00902254" w:rsidP="00A4116A">
            <w:pPr>
              <w:pStyle w:val="TabNoteInferiori"/>
            </w:pPr>
            <w:r w:rsidRPr="00902254">
              <w:t xml:space="preserve">Fonte: Oecd, Interim </w:t>
            </w:r>
            <w:proofErr w:type="spellStart"/>
            <w:r w:rsidRPr="00902254">
              <w:t>Economic</w:t>
            </w:r>
            <w:proofErr w:type="spellEnd"/>
            <w:r w:rsidRPr="00902254">
              <w:t xml:space="preserve"> Outlook, 2 marzo 2020.</w:t>
            </w:r>
          </w:p>
        </w:tc>
      </w:tr>
    </w:tbl>
    <w:p w14:paraId="14DA4608" w14:textId="77777777" w:rsidR="00196D46" w:rsidRDefault="00196D46" w:rsidP="00196D46">
      <w:r>
        <w:t xml:space="preserve">La situazione ha mobilitato l’azione congiunta delle banche centrali a livello mondiale. Le politiche monetarie si erano già allineate in senso decisamente espansivo, sia nei paesi avanzati, sia in quelli in sviluppo, in assenza di pressioni inflazionistiche, per proseguire a sostenere la crescita anche nel 2020. </w:t>
      </w:r>
    </w:p>
    <w:p w14:paraId="14BD5ECD" w14:textId="302600B3" w:rsidR="00196D46" w:rsidRDefault="00196D46" w:rsidP="00196D46">
      <w:r>
        <w:t xml:space="preserve">Con il </w:t>
      </w:r>
      <w:r w:rsidR="0085510F">
        <w:t>diffondersi</w:t>
      </w:r>
      <w:r>
        <w:t xml:space="preserve"> del contagio, la banca centrale cinese è intervenuta per prima e decisamente a sostegno dei mercati. La Federal Reserve a inizio marzo ha ridotto il tasso di intervento di mezzo punto percentuale, abbandonando il precedente orientamento di mantenere tassi invariati</w:t>
      </w:r>
      <w:r w:rsidR="00215734">
        <w:t>. Quindi è intervenuta a mercati chiusi domenica 15 marzo riducendo il tasso di intervento di un intero punto percentuale, portandolo nella gamma da 0 a 0,25pb. La Fed ha inoltre annunciato una vasta gamma di misure, tra cui 700 miliardi d dollari di ulteriori acquisti di titoli, ulteriori o</w:t>
      </w:r>
      <w:r w:rsidR="007F2453">
        <w:t xml:space="preserve">perazioni di pronti contro termine, linee di finanziamento in dollari a favore di banche centrali estere e finanziamenti alle banche commerciali per sostenere il credito alle famiglie e alle imprese. </w:t>
      </w:r>
      <w:r w:rsidR="007F2453" w:rsidRPr="007F2453">
        <w:rPr>
          <w:lang w:val="en-GB"/>
        </w:rPr>
        <w:t>“The Fed is prepared to use its full range of tools</w:t>
      </w:r>
      <w:r w:rsidR="00471071">
        <w:rPr>
          <w:lang w:val="en-GB"/>
        </w:rPr>
        <w:t xml:space="preserve">, </w:t>
      </w:r>
      <w:r w:rsidR="007F2453" w:rsidRPr="007F2453">
        <w:rPr>
          <w:lang w:val="en-GB"/>
        </w:rPr>
        <w:t xml:space="preserve">una </w:t>
      </w:r>
      <w:proofErr w:type="spellStart"/>
      <w:r w:rsidR="007F2453" w:rsidRPr="007F2453">
        <w:rPr>
          <w:lang w:val="en-GB"/>
        </w:rPr>
        <w:t>sorta</w:t>
      </w:r>
      <w:proofErr w:type="spellEnd"/>
      <w:r w:rsidR="007F2453" w:rsidRPr="007F2453">
        <w:rPr>
          <w:lang w:val="en-GB"/>
        </w:rPr>
        <w:t xml:space="preserve"> di “Whatever it takes”. </w:t>
      </w:r>
      <w:r>
        <w:t xml:space="preserve">Il rendimento dei titoli di stato decennali statunitensi è sceso al di sotto dell’1 per cento per la prima volta nella storia, ma la tendenza alla riduzione prosegue e </w:t>
      </w:r>
      <w:r w:rsidR="00006BFF">
        <w:t xml:space="preserve">i </w:t>
      </w:r>
      <w:r>
        <w:t xml:space="preserve">Treasury decennali rendono ora </w:t>
      </w:r>
      <w:r w:rsidR="00006BFF">
        <w:t xml:space="preserve">¾ di </w:t>
      </w:r>
      <w:r>
        <w:t>punto percentuale.</w:t>
      </w:r>
    </w:p>
    <w:p w14:paraId="3FEA934C" w14:textId="29E3768C" w:rsidR="00196D46" w:rsidRDefault="00196D46" w:rsidP="00196D46">
      <w:r>
        <w:t xml:space="preserve">Gli strumenti e i margini di intervento delle </w:t>
      </w:r>
      <w:r w:rsidR="0085510F">
        <w:t>banche</w:t>
      </w:r>
      <w:r>
        <w:t xml:space="preserve"> centrali a fronte di una possibile recessione appaiono essersi però ristretti. Le politiche fiscali, che non sono state utilizzate in precedenza per sostenere la crescita, dovranno ora essere impiegate decisamente per fare fronte al rischio sanitario e sostenere i redditi, oltre che per favorire una successiva ripresa.</w:t>
      </w:r>
    </w:p>
    <w:p w14:paraId="2521A6A0" w14:textId="77777777" w:rsidR="00196D46" w:rsidRDefault="00196D46" w:rsidP="00196D46">
      <w:r>
        <w:t>Le quotazioni del petrolio, si sono ridotte nel 2019 (-11,3 per cento) e l’Fmi ne ipotizzava una riduzione più contenuta nel 2020 (-4,3 per cento), ma nei primi due mesi del 2020 le quotazioni del Brent hanno perso quasi il 50,0 per cento, in previsione di una forte riduzione della domanda.</w:t>
      </w:r>
    </w:p>
    <w:p w14:paraId="1701FDB4" w14:textId="77777777" w:rsidR="00196D46" w:rsidRDefault="00196D46" w:rsidP="00196D46">
      <w:r>
        <w:t>Secondo la previsione dell’Fmi, i prezzi delle materie prime non energetiche avrebbero dovuto crescere in misura contenuta nel 2020 (+1,7 per cento). Resta da vedere quale sarà l’effetto della riduzione dell’attività sull’equilibrio di domanda e offerta. Nel suo scenario “pessimista” l’Ocse stima una riduzione del 20 per cento dei prezzi delle materie prime non energetiche nel 2020.</w:t>
      </w:r>
    </w:p>
    <w:p w14:paraId="426E90FF" w14:textId="77777777" w:rsidR="00196D46" w:rsidRDefault="00196D46" w:rsidP="00196D46">
      <w:r>
        <w:t xml:space="preserve">Per l’Fmi, la dinamica dei prezzi nei paesi avanzati ha rallentato nel 2019, ben al di sotto degli obbiettivi, ma avrebbe dovuto riprendersi lievemente nel 2020, in presenza di moderate pressioni salariali. Invece, nei paesi emergenti e in sviluppo dopo un’accelerazione nel 2019, anche senza l’effetto dello shock da coronavirus, avrebbe già dovuto tendere a ridursi nel 2020. </w:t>
      </w:r>
    </w:p>
    <w:p w14:paraId="26BD5FBA" w14:textId="25FA43E2" w:rsidR="00196D46" w:rsidRDefault="00196D46" w:rsidP="00196D46">
      <w:r>
        <w:t>La crescita negli Stati Uniti nel 2019 ha rallentato al 2,3 per cento e lo farà ulteriormente nel 2020 (+1,9 per cento per l’Ocse), per il ritorno della politica fiscale a un orientamento neutrale e nonostante gli ulteriori sostegni d</w:t>
      </w:r>
      <w:r w:rsidR="00215734">
        <w:t>e</w:t>
      </w:r>
      <w:r>
        <w:t xml:space="preserve">lla politica monetaria. </w:t>
      </w:r>
    </w:p>
    <w:p w14:paraId="4A0E3B49" w14:textId="77777777" w:rsidR="00196D46" w:rsidRDefault="00196D46" w:rsidP="00196D46">
      <w:r>
        <w:t>Il ritmo di sviluppo in Cina si è ridotto nel 2019 al 6,1 per cento, contenuto dagli effetti della guerra commerciale con gli Usa e dalla necessità di ribilanciare il modello di crescita e di ridurre l’elevata dipendenza dall’indebitamento. Nonostante, una parziale soluzione del conflitto commerciale, gli stimoli fiscali, l’allentamento monetario e la gestione del cambio, per l’Ocse il rallentamento nel 2020 dovrebbe comunque ridurre marcatamente il ritmo di crescita (+4,9 per cento).</w:t>
      </w:r>
    </w:p>
    <w:p w14:paraId="237598DB" w14:textId="1F053BC2" w:rsidR="00C43F0D" w:rsidRPr="007D4EF0" w:rsidRDefault="00196D46" w:rsidP="00196D46">
      <w:r>
        <w:lastRenderedPageBreak/>
        <w:t>La crescita in Giappone dopo avere raggiunto lo 0,7 per cento nel 2019, grazie ai consumi privati e agli investimenti, nello scenario “benigno” dell’Ocse si ridurrà nel 2020 allo 0,2 per cento, nonostante la recente introduzione di misure di stimolo.</w:t>
      </w:r>
    </w:p>
    <w:p w14:paraId="7175BD55" w14:textId="77777777" w:rsidR="00C43F0D" w:rsidRPr="00DB2CF9" w:rsidRDefault="00C43F0D" w:rsidP="00C43F0D">
      <w:pPr>
        <w:pStyle w:val="Titolo2"/>
      </w:pPr>
      <w:r>
        <w:t>X.2.</w:t>
      </w:r>
      <w:r>
        <w:tab/>
        <w:t>L’a</w:t>
      </w:r>
      <w:r w:rsidRPr="00DB2CF9">
        <w:t>rea dell’euro</w:t>
      </w:r>
    </w:p>
    <w:tbl>
      <w:tblPr>
        <w:tblStyle w:val="Grigliatabella"/>
        <w:tblpPr w:topFromText="284" w:bottomFromText="284" w:horzAnchor="margin" w:tblpXSpec="center" w:tblpYSpec="bottom"/>
        <w:tblOverlap w:val="never"/>
        <w:tblW w:w="93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11"/>
        <w:gridCol w:w="737"/>
        <w:gridCol w:w="737"/>
        <w:gridCol w:w="737"/>
        <w:gridCol w:w="510"/>
        <w:gridCol w:w="2211"/>
        <w:gridCol w:w="737"/>
        <w:gridCol w:w="737"/>
        <w:gridCol w:w="737"/>
        <w:gridCol w:w="16"/>
      </w:tblGrid>
      <w:tr w:rsidR="00902254" w14:paraId="61935999" w14:textId="77777777" w:rsidTr="00A4116A">
        <w:trPr>
          <w:cantSplit/>
          <w:trHeight w:val="255"/>
        </w:trPr>
        <w:tc>
          <w:tcPr>
            <w:tcW w:w="9370" w:type="dxa"/>
            <w:gridSpan w:val="10"/>
            <w:tcBorders>
              <w:bottom w:val="single" w:sz="4" w:space="0" w:color="632423" w:themeColor="accent2" w:themeShade="80"/>
            </w:tcBorders>
            <w:noWrap/>
          </w:tcPr>
          <w:p w14:paraId="2CDE2738" w14:textId="77777777" w:rsidR="00902254" w:rsidRDefault="00902254" w:rsidP="00A4116A">
            <w:pPr>
              <w:pStyle w:val="TabTitolo"/>
            </w:pPr>
            <w:r>
              <w:t>Proiezioni macro economiche per l’area dell’euro.</w:t>
            </w:r>
          </w:p>
        </w:tc>
      </w:tr>
      <w:tr w:rsidR="00902254" w:rsidRPr="00DD211F" w14:paraId="53C913C7" w14:textId="77777777" w:rsidTr="00A4116A">
        <w:tblPrEx>
          <w:tblBorders>
            <w:top w:val="single" w:sz="4" w:space="0" w:color="632423" w:themeColor="accent2" w:themeShade="80"/>
            <w:bottom w:val="single" w:sz="4" w:space="0" w:color="632423" w:themeColor="accent2" w:themeShade="80"/>
          </w:tblBorders>
        </w:tblPrEx>
        <w:trPr>
          <w:gridAfter w:val="1"/>
          <w:wAfter w:w="16" w:type="dxa"/>
          <w:cantSplit/>
        </w:trPr>
        <w:tc>
          <w:tcPr>
            <w:tcW w:w="2211" w:type="dxa"/>
            <w:noWrap/>
          </w:tcPr>
          <w:p w14:paraId="6CE11CA5" w14:textId="77777777" w:rsidR="00902254" w:rsidRPr="00DD211F" w:rsidRDefault="00902254" w:rsidP="00A4116A">
            <w:pPr>
              <w:pStyle w:val="TabIntestazioni"/>
            </w:pPr>
          </w:p>
        </w:tc>
        <w:tc>
          <w:tcPr>
            <w:tcW w:w="737" w:type="dxa"/>
            <w:noWrap/>
          </w:tcPr>
          <w:p w14:paraId="1314CC85" w14:textId="77777777" w:rsidR="00902254" w:rsidRPr="00DD211F" w:rsidRDefault="00902254" w:rsidP="00A4116A">
            <w:pPr>
              <w:pStyle w:val="TabIntestazioni"/>
            </w:pPr>
            <w:r>
              <w:t>2019</w:t>
            </w:r>
          </w:p>
        </w:tc>
        <w:tc>
          <w:tcPr>
            <w:tcW w:w="737" w:type="dxa"/>
          </w:tcPr>
          <w:p w14:paraId="1FF6D76B" w14:textId="77777777" w:rsidR="00902254" w:rsidRPr="00DD211F" w:rsidRDefault="00902254" w:rsidP="00A4116A">
            <w:pPr>
              <w:pStyle w:val="TabIntestazioni"/>
            </w:pPr>
            <w:r>
              <w:t>2020</w:t>
            </w:r>
          </w:p>
        </w:tc>
        <w:tc>
          <w:tcPr>
            <w:tcW w:w="737" w:type="dxa"/>
          </w:tcPr>
          <w:p w14:paraId="5BB2FA30" w14:textId="77777777" w:rsidR="00902254" w:rsidRPr="00DD211F" w:rsidRDefault="00902254" w:rsidP="00A4116A">
            <w:pPr>
              <w:pStyle w:val="TabIntestazioni"/>
            </w:pPr>
            <w:r>
              <w:t>2021</w:t>
            </w:r>
          </w:p>
        </w:tc>
        <w:tc>
          <w:tcPr>
            <w:tcW w:w="510" w:type="dxa"/>
            <w:noWrap/>
          </w:tcPr>
          <w:p w14:paraId="7C34E6DD" w14:textId="77777777" w:rsidR="00902254" w:rsidRPr="00DD211F" w:rsidRDefault="00902254" w:rsidP="00A4116A">
            <w:pPr>
              <w:pStyle w:val="TabIntestazioni"/>
            </w:pPr>
          </w:p>
        </w:tc>
        <w:tc>
          <w:tcPr>
            <w:tcW w:w="2211" w:type="dxa"/>
          </w:tcPr>
          <w:p w14:paraId="1489ADEA" w14:textId="77777777" w:rsidR="00902254" w:rsidRPr="00DD211F" w:rsidRDefault="00902254" w:rsidP="00A4116A">
            <w:pPr>
              <w:pStyle w:val="TabIntestazioni"/>
            </w:pPr>
          </w:p>
        </w:tc>
        <w:tc>
          <w:tcPr>
            <w:tcW w:w="737" w:type="dxa"/>
          </w:tcPr>
          <w:p w14:paraId="00E1A6C7" w14:textId="77777777" w:rsidR="00902254" w:rsidRPr="00DD211F" w:rsidRDefault="00902254" w:rsidP="00A4116A">
            <w:pPr>
              <w:pStyle w:val="TabIntestazioni"/>
            </w:pPr>
            <w:r>
              <w:t>2019</w:t>
            </w:r>
          </w:p>
        </w:tc>
        <w:tc>
          <w:tcPr>
            <w:tcW w:w="737" w:type="dxa"/>
          </w:tcPr>
          <w:p w14:paraId="6BC7DFAE" w14:textId="77777777" w:rsidR="00902254" w:rsidRPr="00DD211F" w:rsidRDefault="00902254" w:rsidP="00A4116A">
            <w:pPr>
              <w:pStyle w:val="TabIntestazioni"/>
            </w:pPr>
            <w:r>
              <w:t>2020</w:t>
            </w:r>
          </w:p>
        </w:tc>
        <w:tc>
          <w:tcPr>
            <w:tcW w:w="737" w:type="dxa"/>
          </w:tcPr>
          <w:p w14:paraId="6DDD09AD" w14:textId="77777777" w:rsidR="00902254" w:rsidRPr="00DD211F" w:rsidRDefault="00902254" w:rsidP="00A4116A">
            <w:pPr>
              <w:pStyle w:val="TabIntestazioni"/>
            </w:pPr>
            <w:r>
              <w:t>2021</w:t>
            </w:r>
          </w:p>
        </w:tc>
      </w:tr>
      <w:tr w:rsidR="00902254" w14:paraId="7E367F29" w14:textId="77777777" w:rsidTr="00A4116A">
        <w:trPr>
          <w:gridAfter w:val="1"/>
          <w:wAfter w:w="16" w:type="dxa"/>
          <w:cantSplit/>
          <w:trHeight w:hRule="exact" w:val="113"/>
        </w:trPr>
        <w:tc>
          <w:tcPr>
            <w:tcW w:w="2211" w:type="dxa"/>
            <w:tcBorders>
              <w:top w:val="single" w:sz="4" w:space="0" w:color="632423" w:themeColor="accent2" w:themeShade="80"/>
            </w:tcBorders>
            <w:noWrap/>
          </w:tcPr>
          <w:p w14:paraId="6408A2B7" w14:textId="77777777" w:rsidR="00902254" w:rsidRDefault="00902254" w:rsidP="00A4116A">
            <w:pPr>
              <w:pStyle w:val="TabEtichette"/>
            </w:pPr>
          </w:p>
        </w:tc>
        <w:tc>
          <w:tcPr>
            <w:tcW w:w="737" w:type="dxa"/>
            <w:tcBorders>
              <w:top w:val="single" w:sz="4" w:space="0" w:color="632423" w:themeColor="accent2" w:themeShade="80"/>
            </w:tcBorders>
            <w:noWrap/>
          </w:tcPr>
          <w:p w14:paraId="3A573620" w14:textId="77777777" w:rsidR="00902254" w:rsidRDefault="00902254" w:rsidP="00A4116A">
            <w:pPr>
              <w:pStyle w:val="TabNumeri"/>
            </w:pPr>
          </w:p>
        </w:tc>
        <w:tc>
          <w:tcPr>
            <w:tcW w:w="737" w:type="dxa"/>
            <w:tcBorders>
              <w:top w:val="single" w:sz="4" w:space="0" w:color="632423" w:themeColor="accent2" w:themeShade="80"/>
            </w:tcBorders>
            <w:noWrap/>
          </w:tcPr>
          <w:p w14:paraId="3EC435D4" w14:textId="77777777" w:rsidR="00902254" w:rsidRDefault="00902254" w:rsidP="00A4116A">
            <w:pPr>
              <w:pStyle w:val="TabNumeri"/>
            </w:pPr>
          </w:p>
        </w:tc>
        <w:tc>
          <w:tcPr>
            <w:tcW w:w="737" w:type="dxa"/>
            <w:tcBorders>
              <w:top w:val="single" w:sz="4" w:space="0" w:color="632423" w:themeColor="accent2" w:themeShade="80"/>
            </w:tcBorders>
            <w:noWrap/>
          </w:tcPr>
          <w:p w14:paraId="0851D571" w14:textId="77777777" w:rsidR="00902254" w:rsidRDefault="00902254" w:rsidP="00A4116A">
            <w:pPr>
              <w:pStyle w:val="TabNumeri"/>
            </w:pPr>
          </w:p>
        </w:tc>
        <w:tc>
          <w:tcPr>
            <w:tcW w:w="510" w:type="dxa"/>
            <w:tcBorders>
              <w:top w:val="single" w:sz="4" w:space="0" w:color="632423" w:themeColor="accent2" w:themeShade="80"/>
            </w:tcBorders>
            <w:noWrap/>
          </w:tcPr>
          <w:p w14:paraId="46761835" w14:textId="77777777" w:rsidR="00902254" w:rsidRDefault="00902254" w:rsidP="00A4116A">
            <w:pPr>
              <w:pStyle w:val="TabNumeri"/>
            </w:pPr>
          </w:p>
        </w:tc>
        <w:tc>
          <w:tcPr>
            <w:tcW w:w="2211" w:type="dxa"/>
            <w:tcBorders>
              <w:top w:val="single" w:sz="4" w:space="0" w:color="632423" w:themeColor="accent2" w:themeShade="80"/>
            </w:tcBorders>
          </w:tcPr>
          <w:p w14:paraId="3B8B8005" w14:textId="77777777" w:rsidR="00902254" w:rsidRDefault="00902254" w:rsidP="00A4116A">
            <w:pPr>
              <w:pStyle w:val="TabEtichette"/>
            </w:pPr>
          </w:p>
        </w:tc>
        <w:tc>
          <w:tcPr>
            <w:tcW w:w="737" w:type="dxa"/>
            <w:tcBorders>
              <w:top w:val="single" w:sz="4" w:space="0" w:color="632423" w:themeColor="accent2" w:themeShade="80"/>
            </w:tcBorders>
            <w:noWrap/>
          </w:tcPr>
          <w:p w14:paraId="71BB26B1" w14:textId="77777777" w:rsidR="00902254" w:rsidRDefault="00902254" w:rsidP="00A4116A">
            <w:pPr>
              <w:pStyle w:val="TabNumeri"/>
            </w:pPr>
          </w:p>
        </w:tc>
        <w:tc>
          <w:tcPr>
            <w:tcW w:w="737" w:type="dxa"/>
            <w:tcBorders>
              <w:top w:val="single" w:sz="4" w:space="0" w:color="632423" w:themeColor="accent2" w:themeShade="80"/>
            </w:tcBorders>
          </w:tcPr>
          <w:p w14:paraId="33C83D34" w14:textId="77777777" w:rsidR="00902254" w:rsidRDefault="00902254" w:rsidP="00A4116A">
            <w:pPr>
              <w:pStyle w:val="TabNumeri"/>
            </w:pPr>
          </w:p>
        </w:tc>
        <w:tc>
          <w:tcPr>
            <w:tcW w:w="737" w:type="dxa"/>
            <w:tcBorders>
              <w:top w:val="single" w:sz="4" w:space="0" w:color="632423" w:themeColor="accent2" w:themeShade="80"/>
            </w:tcBorders>
            <w:noWrap/>
          </w:tcPr>
          <w:p w14:paraId="23E0B2C2" w14:textId="77777777" w:rsidR="00902254" w:rsidRDefault="00902254" w:rsidP="00A4116A">
            <w:pPr>
              <w:pStyle w:val="TabNumeri"/>
            </w:pPr>
          </w:p>
        </w:tc>
      </w:tr>
      <w:tr w:rsidR="00902254" w14:paraId="60304BF5" w14:textId="77777777" w:rsidTr="00A4116A">
        <w:trPr>
          <w:gridAfter w:val="1"/>
          <w:wAfter w:w="16" w:type="dxa"/>
          <w:cantSplit/>
          <w:trHeight w:val="255"/>
        </w:trPr>
        <w:tc>
          <w:tcPr>
            <w:tcW w:w="2211" w:type="dxa"/>
            <w:noWrap/>
          </w:tcPr>
          <w:p w14:paraId="0BB93B10" w14:textId="77777777" w:rsidR="00902254" w:rsidRPr="00233F5C" w:rsidRDefault="00902254" w:rsidP="00A4116A">
            <w:pPr>
              <w:pStyle w:val="TabEtichette"/>
            </w:pPr>
            <w:r w:rsidRPr="00233F5C">
              <w:t>Prodotto interno lordo</w:t>
            </w:r>
            <w:r>
              <w:t xml:space="preserve"> (1, 2)</w:t>
            </w:r>
          </w:p>
        </w:tc>
        <w:tc>
          <w:tcPr>
            <w:tcW w:w="737" w:type="dxa"/>
            <w:noWrap/>
          </w:tcPr>
          <w:p w14:paraId="5C1B8F55" w14:textId="77777777" w:rsidR="00902254" w:rsidRPr="00902005" w:rsidRDefault="00902254" w:rsidP="00A4116A">
            <w:pPr>
              <w:pStyle w:val="TabNumeri"/>
            </w:pPr>
            <w:r w:rsidRPr="00867896">
              <w:t>1,2</w:t>
            </w:r>
          </w:p>
        </w:tc>
        <w:tc>
          <w:tcPr>
            <w:tcW w:w="737" w:type="dxa"/>
            <w:noWrap/>
          </w:tcPr>
          <w:p w14:paraId="28568466" w14:textId="77777777" w:rsidR="00902254" w:rsidRPr="00902005" w:rsidRDefault="00902254" w:rsidP="00A4116A">
            <w:pPr>
              <w:pStyle w:val="TabNumeri"/>
            </w:pPr>
            <w:r w:rsidRPr="00867896">
              <w:t>0,8</w:t>
            </w:r>
          </w:p>
        </w:tc>
        <w:tc>
          <w:tcPr>
            <w:tcW w:w="737" w:type="dxa"/>
            <w:noWrap/>
          </w:tcPr>
          <w:p w14:paraId="1A2212B3" w14:textId="77777777" w:rsidR="00902254" w:rsidRPr="00902005" w:rsidRDefault="00902254" w:rsidP="00A4116A">
            <w:pPr>
              <w:pStyle w:val="TabNumeri"/>
            </w:pPr>
            <w:r w:rsidRPr="00867896">
              <w:t>1,3</w:t>
            </w:r>
          </w:p>
        </w:tc>
        <w:tc>
          <w:tcPr>
            <w:tcW w:w="510" w:type="dxa"/>
            <w:noWrap/>
          </w:tcPr>
          <w:p w14:paraId="2834281B" w14:textId="77777777" w:rsidR="00902254" w:rsidRPr="000770A1" w:rsidRDefault="00902254" w:rsidP="00A4116A">
            <w:pPr>
              <w:pStyle w:val="TabNumeri"/>
              <w:rPr>
                <w:sz w:val="14"/>
                <w:szCs w:val="14"/>
              </w:rPr>
            </w:pPr>
          </w:p>
        </w:tc>
        <w:tc>
          <w:tcPr>
            <w:tcW w:w="2211" w:type="dxa"/>
          </w:tcPr>
          <w:p w14:paraId="73F36DCB" w14:textId="77777777" w:rsidR="00902254" w:rsidRPr="00233F5C" w:rsidRDefault="00902254" w:rsidP="00A4116A">
            <w:pPr>
              <w:pStyle w:val="TabEtichette"/>
            </w:pPr>
            <w:r>
              <w:t>Saldo di conto corrente (4)</w:t>
            </w:r>
          </w:p>
        </w:tc>
        <w:tc>
          <w:tcPr>
            <w:tcW w:w="737" w:type="dxa"/>
            <w:noWrap/>
          </w:tcPr>
          <w:p w14:paraId="5CC80AB7" w14:textId="77777777" w:rsidR="00902254" w:rsidRPr="008D37A3" w:rsidRDefault="00902254" w:rsidP="00A4116A">
            <w:pPr>
              <w:pStyle w:val="TabNumeri"/>
            </w:pPr>
            <w:r w:rsidRPr="002B274F">
              <w:t>3,0</w:t>
            </w:r>
          </w:p>
        </w:tc>
        <w:tc>
          <w:tcPr>
            <w:tcW w:w="737" w:type="dxa"/>
          </w:tcPr>
          <w:p w14:paraId="015005FF" w14:textId="77777777" w:rsidR="00902254" w:rsidRPr="008D37A3" w:rsidRDefault="00902254" w:rsidP="00A4116A">
            <w:pPr>
              <w:pStyle w:val="TabNumeri"/>
            </w:pPr>
            <w:r w:rsidRPr="002B274F">
              <w:t>3,1</w:t>
            </w:r>
          </w:p>
        </w:tc>
        <w:tc>
          <w:tcPr>
            <w:tcW w:w="737" w:type="dxa"/>
            <w:noWrap/>
          </w:tcPr>
          <w:p w14:paraId="7602B03F" w14:textId="77777777" w:rsidR="00902254" w:rsidRPr="008D37A3" w:rsidRDefault="00902254" w:rsidP="00A4116A">
            <w:pPr>
              <w:pStyle w:val="TabNumeri"/>
            </w:pPr>
            <w:r w:rsidRPr="002B274F">
              <w:t>3,1</w:t>
            </w:r>
          </w:p>
        </w:tc>
      </w:tr>
      <w:tr w:rsidR="00902254" w14:paraId="55E57461" w14:textId="77777777" w:rsidTr="00A4116A">
        <w:trPr>
          <w:gridAfter w:val="1"/>
          <w:wAfter w:w="16" w:type="dxa"/>
          <w:cantSplit/>
          <w:trHeight w:val="255"/>
        </w:trPr>
        <w:tc>
          <w:tcPr>
            <w:tcW w:w="2211" w:type="dxa"/>
            <w:shd w:val="clear" w:color="auto" w:fill="EAF1DD" w:themeFill="accent3" w:themeFillTint="33"/>
            <w:noWrap/>
          </w:tcPr>
          <w:p w14:paraId="37DEF11D" w14:textId="77777777" w:rsidR="00902254" w:rsidRPr="00233F5C" w:rsidRDefault="00902254" w:rsidP="00A4116A">
            <w:pPr>
              <w:pStyle w:val="TabEtichette"/>
            </w:pPr>
            <w:r w:rsidRPr="00233F5C">
              <w:t xml:space="preserve">Consumi </w:t>
            </w:r>
            <w:r>
              <w:t>privati (1, 2)</w:t>
            </w:r>
          </w:p>
        </w:tc>
        <w:tc>
          <w:tcPr>
            <w:tcW w:w="737" w:type="dxa"/>
            <w:shd w:val="clear" w:color="auto" w:fill="EAF1DD" w:themeFill="accent3" w:themeFillTint="33"/>
            <w:noWrap/>
          </w:tcPr>
          <w:p w14:paraId="7ED4A9B7" w14:textId="77777777" w:rsidR="00902254" w:rsidRPr="00902005" w:rsidRDefault="00902254" w:rsidP="00A4116A">
            <w:pPr>
              <w:pStyle w:val="TabNumeri"/>
            </w:pPr>
            <w:r w:rsidRPr="00867896">
              <w:t>1,3</w:t>
            </w:r>
          </w:p>
        </w:tc>
        <w:tc>
          <w:tcPr>
            <w:tcW w:w="737" w:type="dxa"/>
            <w:shd w:val="clear" w:color="auto" w:fill="EAF1DD" w:themeFill="accent3" w:themeFillTint="33"/>
            <w:noWrap/>
          </w:tcPr>
          <w:p w14:paraId="3F7FDCEC" w14:textId="77777777" w:rsidR="00902254" w:rsidRPr="00902005" w:rsidRDefault="00902254" w:rsidP="00A4116A">
            <w:pPr>
              <w:pStyle w:val="TabNumeri"/>
            </w:pPr>
            <w:r w:rsidRPr="00867896">
              <w:t>1,2</w:t>
            </w:r>
          </w:p>
        </w:tc>
        <w:tc>
          <w:tcPr>
            <w:tcW w:w="737" w:type="dxa"/>
            <w:shd w:val="clear" w:color="auto" w:fill="EAF1DD" w:themeFill="accent3" w:themeFillTint="33"/>
            <w:noWrap/>
          </w:tcPr>
          <w:p w14:paraId="274B24ED" w14:textId="77777777" w:rsidR="00902254" w:rsidRPr="00902005" w:rsidRDefault="00902254" w:rsidP="00A4116A">
            <w:pPr>
              <w:pStyle w:val="TabNumeri"/>
            </w:pPr>
            <w:r w:rsidRPr="00867896">
              <w:t>1,2</w:t>
            </w:r>
          </w:p>
        </w:tc>
        <w:tc>
          <w:tcPr>
            <w:tcW w:w="510" w:type="dxa"/>
            <w:shd w:val="clear" w:color="auto" w:fill="EAF1DD" w:themeFill="accent3" w:themeFillTint="33"/>
            <w:noWrap/>
          </w:tcPr>
          <w:p w14:paraId="08D44DC0" w14:textId="77777777" w:rsidR="00902254" w:rsidRPr="000770A1" w:rsidRDefault="00902254" w:rsidP="00A4116A">
            <w:pPr>
              <w:pStyle w:val="TabNumeri"/>
              <w:rPr>
                <w:sz w:val="14"/>
                <w:szCs w:val="14"/>
              </w:rPr>
            </w:pPr>
          </w:p>
        </w:tc>
        <w:tc>
          <w:tcPr>
            <w:tcW w:w="2211" w:type="dxa"/>
            <w:shd w:val="clear" w:color="auto" w:fill="EAF1DD" w:themeFill="accent3" w:themeFillTint="33"/>
          </w:tcPr>
          <w:p w14:paraId="53B77453" w14:textId="77777777" w:rsidR="00902254" w:rsidRPr="00233F5C" w:rsidRDefault="00902254" w:rsidP="00A4116A">
            <w:pPr>
              <w:pStyle w:val="TabEtichette"/>
            </w:pPr>
            <w:r>
              <w:t>Occupazione (1)</w:t>
            </w:r>
          </w:p>
        </w:tc>
        <w:tc>
          <w:tcPr>
            <w:tcW w:w="737" w:type="dxa"/>
            <w:shd w:val="clear" w:color="auto" w:fill="EAF1DD" w:themeFill="accent3" w:themeFillTint="33"/>
            <w:noWrap/>
          </w:tcPr>
          <w:p w14:paraId="3FF6691F" w14:textId="77777777" w:rsidR="00902254" w:rsidRPr="008D37A3" w:rsidRDefault="00902254" w:rsidP="00A4116A">
            <w:pPr>
              <w:pStyle w:val="TabNumeri"/>
            </w:pPr>
            <w:r w:rsidRPr="002B274F">
              <w:t>1,1</w:t>
            </w:r>
          </w:p>
        </w:tc>
        <w:tc>
          <w:tcPr>
            <w:tcW w:w="737" w:type="dxa"/>
            <w:shd w:val="clear" w:color="auto" w:fill="EAF1DD" w:themeFill="accent3" w:themeFillTint="33"/>
          </w:tcPr>
          <w:p w14:paraId="6B2BA359" w14:textId="77777777" w:rsidR="00902254" w:rsidRPr="008D37A3" w:rsidRDefault="00902254" w:rsidP="00A4116A">
            <w:pPr>
              <w:pStyle w:val="TabNumeri"/>
            </w:pPr>
            <w:r w:rsidRPr="002B274F">
              <w:t>0,5</w:t>
            </w:r>
          </w:p>
        </w:tc>
        <w:tc>
          <w:tcPr>
            <w:tcW w:w="737" w:type="dxa"/>
            <w:shd w:val="clear" w:color="auto" w:fill="EAF1DD" w:themeFill="accent3" w:themeFillTint="33"/>
            <w:noWrap/>
          </w:tcPr>
          <w:p w14:paraId="04268C6A" w14:textId="77777777" w:rsidR="00902254" w:rsidRPr="008D37A3" w:rsidRDefault="00902254" w:rsidP="00A4116A">
            <w:pPr>
              <w:pStyle w:val="TabNumeri"/>
            </w:pPr>
            <w:r w:rsidRPr="002B274F">
              <w:t>0,3</w:t>
            </w:r>
          </w:p>
        </w:tc>
      </w:tr>
      <w:tr w:rsidR="00902254" w14:paraId="6362A24C" w14:textId="77777777" w:rsidTr="00A4116A">
        <w:trPr>
          <w:gridAfter w:val="1"/>
          <w:wAfter w:w="16" w:type="dxa"/>
          <w:cantSplit/>
          <w:trHeight w:val="255"/>
        </w:trPr>
        <w:tc>
          <w:tcPr>
            <w:tcW w:w="2211" w:type="dxa"/>
            <w:noWrap/>
          </w:tcPr>
          <w:p w14:paraId="5EAE9E14" w14:textId="77777777" w:rsidR="00902254" w:rsidRPr="00233F5C" w:rsidRDefault="00902254" w:rsidP="00A4116A">
            <w:pPr>
              <w:pStyle w:val="TabEtichette"/>
            </w:pPr>
            <w:r w:rsidRPr="00233F5C">
              <w:t xml:space="preserve">Consumi </w:t>
            </w:r>
            <w:r>
              <w:t>pubblici (1, 2)</w:t>
            </w:r>
          </w:p>
        </w:tc>
        <w:tc>
          <w:tcPr>
            <w:tcW w:w="737" w:type="dxa"/>
            <w:noWrap/>
          </w:tcPr>
          <w:p w14:paraId="6BF3543B" w14:textId="77777777" w:rsidR="00902254" w:rsidRPr="00902005" w:rsidRDefault="00902254" w:rsidP="00A4116A">
            <w:pPr>
              <w:pStyle w:val="TabNumeri"/>
            </w:pPr>
            <w:r w:rsidRPr="00867896">
              <w:t>1,8</w:t>
            </w:r>
          </w:p>
        </w:tc>
        <w:tc>
          <w:tcPr>
            <w:tcW w:w="737" w:type="dxa"/>
            <w:noWrap/>
          </w:tcPr>
          <w:p w14:paraId="70F35C02" w14:textId="77777777" w:rsidR="00902254" w:rsidRPr="00902005" w:rsidRDefault="00902254" w:rsidP="00A4116A">
            <w:pPr>
              <w:pStyle w:val="TabNumeri"/>
            </w:pPr>
            <w:r w:rsidRPr="00867896">
              <w:t>1,7</w:t>
            </w:r>
          </w:p>
        </w:tc>
        <w:tc>
          <w:tcPr>
            <w:tcW w:w="737" w:type="dxa"/>
            <w:noWrap/>
          </w:tcPr>
          <w:p w14:paraId="431DAD3D" w14:textId="77777777" w:rsidR="00902254" w:rsidRPr="00902005" w:rsidRDefault="00902254" w:rsidP="00A4116A">
            <w:pPr>
              <w:pStyle w:val="TabNumeri"/>
            </w:pPr>
            <w:r w:rsidRPr="00867896">
              <w:t>1,5</w:t>
            </w:r>
          </w:p>
        </w:tc>
        <w:tc>
          <w:tcPr>
            <w:tcW w:w="510" w:type="dxa"/>
            <w:noWrap/>
          </w:tcPr>
          <w:p w14:paraId="648BE861" w14:textId="77777777" w:rsidR="00902254" w:rsidRPr="000770A1" w:rsidRDefault="00902254" w:rsidP="00A4116A">
            <w:pPr>
              <w:pStyle w:val="TabNumeri"/>
              <w:rPr>
                <w:sz w:val="14"/>
                <w:szCs w:val="14"/>
              </w:rPr>
            </w:pPr>
          </w:p>
        </w:tc>
        <w:tc>
          <w:tcPr>
            <w:tcW w:w="2211" w:type="dxa"/>
          </w:tcPr>
          <w:p w14:paraId="665ECEAB" w14:textId="77777777" w:rsidR="00902254" w:rsidRPr="00233F5C" w:rsidRDefault="00902254" w:rsidP="00A4116A">
            <w:pPr>
              <w:pStyle w:val="TabEtichette"/>
            </w:pPr>
            <w:r>
              <w:t>Tasso di d</w:t>
            </w:r>
            <w:r w:rsidRPr="00233F5C">
              <w:t>isoccupazione [</w:t>
            </w:r>
            <w:r>
              <w:t>5</w:t>
            </w:r>
            <w:r w:rsidRPr="00233F5C">
              <w:t>]</w:t>
            </w:r>
          </w:p>
        </w:tc>
        <w:tc>
          <w:tcPr>
            <w:tcW w:w="737" w:type="dxa"/>
            <w:noWrap/>
          </w:tcPr>
          <w:p w14:paraId="5E2B5282" w14:textId="77777777" w:rsidR="00902254" w:rsidRPr="008D37A3" w:rsidRDefault="00902254" w:rsidP="00A4116A">
            <w:pPr>
              <w:pStyle w:val="TabNumeri"/>
            </w:pPr>
            <w:r w:rsidRPr="002B274F">
              <w:t>7,6</w:t>
            </w:r>
          </w:p>
        </w:tc>
        <w:tc>
          <w:tcPr>
            <w:tcW w:w="737" w:type="dxa"/>
          </w:tcPr>
          <w:p w14:paraId="3F091DA4" w14:textId="77777777" w:rsidR="00902254" w:rsidRPr="008D37A3" w:rsidRDefault="00902254" w:rsidP="00A4116A">
            <w:pPr>
              <w:pStyle w:val="TabNumeri"/>
            </w:pPr>
            <w:r w:rsidRPr="002B274F">
              <w:t>7,6</w:t>
            </w:r>
          </w:p>
        </w:tc>
        <w:tc>
          <w:tcPr>
            <w:tcW w:w="737" w:type="dxa"/>
            <w:noWrap/>
          </w:tcPr>
          <w:p w14:paraId="5BC3034E" w14:textId="77777777" w:rsidR="00902254" w:rsidRPr="008D37A3" w:rsidRDefault="00902254" w:rsidP="00A4116A">
            <w:pPr>
              <w:pStyle w:val="TabNumeri"/>
            </w:pPr>
            <w:r w:rsidRPr="002B274F">
              <w:t>7,6</w:t>
            </w:r>
          </w:p>
        </w:tc>
      </w:tr>
      <w:tr w:rsidR="00902254" w14:paraId="799BDA32" w14:textId="77777777" w:rsidTr="00A4116A">
        <w:trPr>
          <w:gridAfter w:val="1"/>
          <w:wAfter w:w="16" w:type="dxa"/>
          <w:cantSplit/>
          <w:trHeight w:val="255"/>
        </w:trPr>
        <w:tc>
          <w:tcPr>
            <w:tcW w:w="2211" w:type="dxa"/>
            <w:shd w:val="clear" w:color="auto" w:fill="EAF1DD" w:themeFill="accent3" w:themeFillTint="33"/>
            <w:noWrap/>
          </w:tcPr>
          <w:p w14:paraId="59F92B14" w14:textId="77777777" w:rsidR="00902254" w:rsidRPr="00233F5C" w:rsidRDefault="00902254" w:rsidP="00A4116A">
            <w:pPr>
              <w:pStyle w:val="TabEtichette"/>
            </w:pPr>
            <w:r w:rsidRPr="00233F5C">
              <w:t>Investimenti fissi lordi</w:t>
            </w:r>
            <w:r>
              <w:t xml:space="preserve"> (1, 2)</w:t>
            </w:r>
          </w:p>
        </w:tc>
        <w:tc>
          <w:tcPr>
            <w:tcW w:w="737" w:type="dxa"/>
            <w:shd w:val="clear" w:color="auto" w:fill="EAF1DD" w:themeFill="accent3" w:themeFillTint="33"/>
            <w:noWrap/>
          </w:tcPr>
          <w:p w14:paraId="46F68691" w14:textId="77777777" w:rsidR="00902254" w:rsidRPr="00902005" w:rsidRDefault="00902254" w:rsidP="00A4116A">
            <w:pPr>
              <w:pStyle w:val="TabNumeri"/>
            </w:pPr>
            <w:r w:rsidRPr="00867896">
              <w:t>4,4</w:t>
            </w:r>
          </w:p>
        </w:tc>
        <w:tc>
          <w:tcPr>
            <w:tcW w:w="737" w:type="dxa"/>
            <w:shd w:val="clear" w:color="auto" w:fill="EAF1DD" w:themeFill="accent3" w:themeFillTint="33"/>
            <w:noWrap/>
          </w:tcPr>
          <w:p w14:paraId="7A953C84" w14:textId="77777777" w:rsidR="00902254" w:rsidRPr="00902005" w:rsidRDefault="00902254" w:rsidP="00A4116A">
            <w:pPr>
              <w:pStyle w:val="TabNumeri"/>
            </w:pPr>
            <w:r w:rsidRPr="00867896">
              <w:t>0,4</w:t>
            </w:r>
          </w:p>
        </w:tc>
        <w:tc>
          <w:tcPr>
            <w:tcW w:w="737" w:type="dxa"/>
            <w:shd w:val="clear" w:color="auto" w:fill="EAF1DD" w:themeFill="accent3" w:themeFillTint="33"/>
            <w:noWrap/>
          </w:tcPr>
          <w:p w14:paraId="4A3F9DF9" w14:textId="77777777" w:rsidR="00902254" w:rsidRPr="00902005" w:rsidRDefault="00902254" w:rsidP="00A4116A">
            <w:pPr>
              <w:pStyle w:val="TabNumeri"/>
            </w:pPr>
            <w:r w:rsidRPr="00867896">
              <w:t>1,9</w:t>
            </w:r>
          </w:p>
        </w:tc>
        <w:tc>
          <w:tcPr>
            <w:tcW w:w="510" w:type="dxa"/>
            <w:shd w:val="clear" w:color="auto" w:fill="EAF1DD" w:themeFill="accent3" w:themeFillTint="33"/>
            <w:noWrap/>
          </w:tcPr>
          <w:p w14:paraId="059C236A" w14:textId="77777777" w:rsidR="00902254" w:rsidRPr="000770A1" w:rsidRDefault="00902254" w:rsidP="00A4116A">
            <w:pPr>
              <w:pStyle w:val="TabNumeri"/>
              <w:rPr>
                <w:sz w:val="14"/>
                <w:szCs w:val="14"/>
              </w:rPr>
            </w:pPr>
          </w:p>
        </w:tc>
        <w:tc>
          <w:tcPr>
            <w:tcW w:w="2211" w:type="dxa"/>
            <w:shd w:val="clear" w:color="auto" w:fill="EAF1DD" w:themeFill="accent3" w:themeFillTint="33"/>
          </w:tcPr>
          <w:p w14:paraId="520757B3" w14:textId="77777777" w:rsidR="00902254" w:rsidRPr="00233F5C" w:rsidRDefault="00902254" w:rsidP="00A4116A">
            <w:pPr>
              <w:pStyle w:val="TabEtichette"/>
            </w:pPr>
            <w:r w:rsidRPr="00233F5C">
              <w:t>Prezzi al consumo</w:t>
            </w:r>
            <w:r>
              <w:t xml:space="preserve"> [1, 6]</w:t>
            </w:r>
          </w:p>
        </w:tc>
        <w:tc>
          <w:tcPr>
            <w:tcW w:w="737" w:type="dxa"/>
            <w:shd w:val="clear" w:color="auto" w:fill="EAF1DD" w:themeFill="accent3" w:themeFillTint="33"/>
            <w:noWrap/>
          </w:tcPr>
          <w:p w14:paraId="7EBC3EB9" w14:textId="77777777" w:rsidR="00902254" w:rsidRPr="008D37A3" w:rsidRDefault="00902254" w:rsidP="00A4116A">
            <w:pPr>
              <w:pStyle w:val="TabNumeri"/>
            </w:pPr>
            <w:r w:rsidRPr="002B274F">
              <w:t>1,2</w:t>
            </w:r>
          </w:p>
        </w:tc>
        <w:tc>
          <w:tcPr>
            <w:tcW w:w="737" w:type="dxa"/>
            <w:shd w:val="clear" w:color="auto" w:fill="EAF1DD" w:themeFill="accent3" w:themeFillTint="33"/>
          </w:tcPr>
          <w:p w14:paraId="16BF311A" w14:textId="77777777" w:rsidR="00902254" w:rsidRPr="008D37A3" w:rsidRDefault="00902254" w:rsidP="00A4116A">
            <w:pPr>
              <w:pStyle w:val="TabNumeri"/>
            </w:pPr>
            <w:r w:rsidRPr="002B274F">
              <w:t>1,1</w:t>
            </w:r>
          </w:p>
        </w:tc>
        <w:tc>
          <w:tcPr>
            <w:tcW w:w="737" w:type="dxa"/>
            <w:shd w:val="clear" w:color="auto" w:fill="EAF1DD" w:themeFill="accent3" w:themeFillTint="33"/>
            <w:noWrap/>
          </w:tcPr>
          <w:p w14:paraId="3FCB6985" w14:textId="77777777" w:rsidR="00902254" w:rsidRPr="008D37A3" w:rsidRDefault="00902254" w:rsidP="00A4116A">
            <w:pPr>
              <w:pStyle w:val="TabNumeri"/>
            </w:pPr>
            <w:r w:rsidRPr="002B274F">
              <w:t>1,4</w:t>
            </w:r>
          </w:p>
        </w:tc>
      </w:tr>
      <w:tr w:rsidR="00902254" w14:paraId="53C2FBC7" w14:textId="77777777" w:rsidTr="00A4116A">
        <w:trPr>
          <w:gridAfter w:val="1"/>
          <w:wAfter w:w="16" w:type="dxa"/>
          <w:cantSplit/>
          <w:trHeight w:val="255"/>
        </w:trPr>
        <w:tc>
          <w:tcPr>
            <w:tcW w:w="2211" w:type="dxa"/>
            <w:noWrap/>
          </w:tcPr>
          <w:p w14:paraId="6B0EA9EC" w14:textId="77777777" w:rsidR="00902254" w:rsidRPr="00233F5C" w:rsidRDefault="00902254" w:rsidP="00A4116A">
            <w:pPr>
              <w:pStyle w:val="TabEtichette"/>
            </w:pPr>
            <w:r w:rsidRPr="00233F5C">
              <w:t>Esportazioni</w:t>
            </w:r>
            <w:r>
              <w:t xml:space="preserve"> (1, 2, 3)</w:t>
            </w:r>
          </w:p>
        </w:tc>
        <w:tc>
          <w:tcPr>
            <w:tcW w:w="737" w:type="dxa"/>
            <w:noWrap/>
          </w:tcPr>
          <w:p w14:paraId="2C99A305" w14:textId="77777777" w:rsidR="00902254" w:rsidRPr="00902005" w:rsidRDefault="00902254" w:rsidP="00A4116A">
            <w:pPr>
              <w:pStyle w:val="TabNumeri"/>
            </w:pPr>
            <w:r w:rsidRPr="00867896">
              <w:t>2,5</w:t>
            </w:r>
          </w:p>
        </w:tc>
        <w:tc>
          <w:tcPr>
            <w:tcW w:w="737" w:type="dxa"/>
            <w:noWrap/>
          </w:tcPr>
          <w:p w14:paraId="1D0FBA08" w14:textId="77777777" w:rsidR="00902254" w:rsidRPr="00902005" w:rsidRDefault="00902254" w:rsidP="00A4116A">
            <w:pPr>
              <w:pStyle w:val="TabNumeri"/>
            </w:pPr>
            <w:r w:rsidRPr="00867896">
              <w:t>1,6</w:t>
            </w:r>
          </w:p>
        </w:tc>
        <w:tc>
          <w:tcPr>
            <w:tcW w:w="737" w:type="dxa"/>
            <w:noWrap/>
          </w:tcPr>
          <w:p w14:paraId="7F6075C2" w14:textId="77777777" w:rsidR="00902254" w:rsidRPr="00902005" w:rsidRDefault="00902254" w:rsidP="00A4116A">
            <w:pPr>
              <w:pStyle w:val="TabNumeri"/>
            </w:pPr>
            <w:r w:rsidRPr="00867896">
              <w:t>2,5</w:t>
            </w:r>
          </w:p>
        </w:tc>
        <w:tc>
          <w:tcPr>
            <w:tcW w:w="510" w:type="dxa"/>
            <w:noWrap/>
          </w:tcPr>
          <w:p w14:paraId="32927DCD" w14:textId="77777777" w:rsidR="00902254" w:rsidRPr="000770A1" w:rsidRDefault="00902254" w:rsidP="00A4116A">
            <w:pPr>
              <w:pStyle w:val="TabNumeri"/>
              <w:rPr>
                <w:sz w:val="14"/>
                <w:szCs w:val="14"/>
              </w:rPr>
            </w:pPr>
          </w:p>
        </w:tc>
        <w:tc>
          <w:tcPr>
            <w:tcW w:w="2211" w:type="dxa"/>
          </w:tcPr>
          <w:p w14:paraId="38F0F1B9" w14:textId="77777777" w:rsidR="00902254" w:rsidRPr="00233F5C" w:rsidRDefault="00902254" w:rsidP="00A4116A">
            <w:pPr>
              <w:pStyle w:val="TabEtichette"/>
            </w:pPr>
            <w:r w:rsidRPr="00233F5C">
              <w:t>Ind</w:t>
            </w:r>
            <w:r>
              <w:t>ebitamento della P.A. [4]</w:t>
            </w:r>
          </w:p>
        </w:tc>
        <w:tc>
          <w:tcPr>
            <w:tcW w:w="737" w:type="dxa"/>
            <w:noWrap/>
          </w:tcPr>
          <w:p w14:paraId="0E760E4B" w14:textId="77777777" w:rsidR="00902254" w:rsidRPr="008D37A3" w:rsidRDefault="00902254" w:rsidP="00A4116A">
            <w:pPr>
              <w:pStyle w:val="TabNumeri"/>
            </w:pPr>
            <w:r w:rsidRPr="002B274F">
              <w:t>0,7</w:t>
            </w:r>
          </w:p>
        </w:tc>
        <w:tc>
          <w:tcPr>
            <w:tcW w:w="737" w:type="dxa"/>
          </w:tcPr>
          <w:p w14:paraId="620EFCAE" w14:textId="77777777" w:rsidR="00902254" w:rsidRPr="008D37A3" w:rsidRDefault="00902254" w:rsidP="00A4116A">
            <w:pPr>
              <w:pStyle w:val="TabNumeri"/>
            </w:pPr>
            <w:r w:rsidRPr="002B274F">
              <w:t>1,1</w:t>
            </w:r>
          </w:p>
        </w:tc>
        <w:tc>
          <w:tcPr>
            <w:tcW w:w="737" w:type="dxa"/>
            <w:noWrap/>
          </w:tcPr>
          <w:p w14:paraId="74008A35" w14:textId="77777777" w:rsidR="00902254" w:rsidRPr="008D37A3" w:rsidRDefault="00902254" w:rsidP="00A4116A">
            <w:pPr>
              <w:pStyle w:val="TabNumeri"/>
            </w:pPr>
            <w:r w:rsidRPr="002B274F">
              <w:t>1,5</w:t>
            </w:r>
          </w:p>
        </w:tc>
      </w:tr>
      <w:tr w:rsidR="00902254" w14:paraId="70D07492" w14:textId="77777777" w:rsidTr="00A4116A">
        <w:trPr>
          <w:gridAfter w:val="1"/>
          <w:wAfter w:w="16" w:type="dxa"/>
          <w:cantSplit/>
          <w:trHeight w:val="255"/>
        </w:trPr>
        <w:tc>
          <w:tcPr>
            <w:tcW w:w="2211" w:type="dxa"/>
            <w:tcBorders>
              <w:bottom w:val="single" w:sz="4" w:space="0" w:color="632423" w:themeColor="accent2" w:themeShade="80"/>
            </w:tcBorders>
            <w:shd w:val="clear" w:color="auto" w:fill="EAF1DD" w:themeFill="accent3" w:themeFillTint="33"/>
            <w:noWrap/>
          </w:tcPr>
          <w:p w14:paraId="7A41EA1D" w14:textId="77777777" w:rsidR="00902254" w:rsidRDefault="00902254" w:rsidP="00A4116A">
            <w:pPr>
              <w:pStyle w:val="TabEtichette"/>
            </w:pPr>
            <w:r w:rsidRPr="00233F5C">
              <w:t>Importazioni</w:t>
            </w:r>
            <w:r>
              <w:t xml:space="preserve"> (1, 2, 3)</w:t>
            </w:r>
          </w:p>
        </w:tc>
        <w:tc>
          <w:tcPr>
            <w:tcW w:w="737" w:type="dxa"/>
            <w:tcBorders>
              <w:bottom w:val="single" w:sz="4" w:space="0" w:color="632423" w:themeColor="accent2" w:themeShade="80"/>
            </w:tcBorders>
            <w:shd w:val="clear" w:color="auto" w:fill="EAF1DD" w:themeFill="accent3" w:themeFillTint="33"/>
            <w:noWrap/>
          </w:tcPr>
          <w:p w14:paraId="4DBF5F28" w14:textId="77777777" w:rsidR="00902254" w:rsidRPr="00902005" w:rsidRDefault="00902254" w:rsidP="00A4116A">
            <w:pPr>
              <w:pStyle w:val="TabNumeri"/>
            </w:pPr>
            <w:r w:rsidRPr="00867896">
              <w:t>3,3</w:t>
            </w:r>
          </w:p>
        </w:tc>
        <w:tc>
          <w:tcPr>
            <w:tcW w:w="737" w:type="dxa"/>
            <w:tcBorders>
              <w:bottom w:val="single" w:sz="4" w:space="0" w:color="632423" w:themeColor="accent2" w:themeShade="80"/>
            </w:tcBorders>
            <w:shd w:val="clear" w:color="auto" w:fill="EAF1DD" w:themeFill="accent3" w:themeFillTint="33"/>
            <w:noWrap/>
          </w:tcPr>
          <w:p w14:paraId="41B26EDA" w14:textId="77777777" w:rsidR="00902254" w:rsidRPr="00902005" w:rsidRDefault="00902254" w:rsidP="00A4116A">
            <w:pPr>
              <w:pStyle w:val="TabNumeri"/>
            </w:pPr>
            <w:r w:rsidRPr="00867896">
              <w:t>1,8</w:t>
            </w:r>
          </w:p>
        </w:tc>
        <w:tc>
          <w:tcPr>
            <w:tcW w:w="737" w:type="dxa"/>
            <w:tcBorders>
              <w:bottom w:val="single" w:sz="4" w:space="0" w:color="632423" w:themeColor="accent2" w:themeShade="80"/>
            </w:tcBorders>
            <w:shd w:val="clear" w:color="auto" w:fill="EAF1DD" w:themeFill="accent3" w:themeFillTint="33"/>
            <w:noWrap/>
          </w:tcPr>
          <w:p w14:paraId="75537B8E" w14:textId="77777777" w:rsidR="00902254" w:rsidRDefault="00902254" w:rsidP="00A4116A">
            <w:pPr>
              <w:pStyle w:val="TabNumeri"/>
            </w:pPr>
            <w:r w:rsidRPr="00867896">
              <w:t>2,7</w:t>
            </w:r>
          </w:p>
        </w:tc>
        <w:tc>
          <w:tcPr>
            <w:tcW w:w="510" w:type="dxa"/>
            <w:tcBorders>
              <w:bottom w:val="single" w:sz="4" w:space="0" w:color="632423" w:themeColor="accent2" w:themeShade="80"/>
            </w:tcBorders>
            <w:shd w:val="clear" w:color="auto" w:fill="EAF1DD" w:themeFill="accent3" w:themeFillTint="33"/>
            <w:noWrap/>
          </w:tcPr>
          <w:p w14:paraId="1EB7F90A" w14:textId="77777777" w:rsidR="00902254" w:rsidRPr="000770A1" w:rsidRDefault="00902254" w:rsidP="00A4116A">
            <w:pPr>
              <w:pStyle w:val="TabNumeri"/>
              <w:rPr>
                <w:sz w:val="14"/>
                <w:szCs w:val="14"/>
              </w:rPr>
            </w:pPr>
          </w:p>
        </w:tc>
        <w:tc>
          <w:tcPr>
            <w:tcW w:w="2211" w:type="dxa"/>
            <w:tcBorders>
              <w:bottom w:val="single" w:sz="4" w:space="0" w:color="632423" w:themeColor="accent2" w:themeShade="80"/>
            </w:tcBorders>
            <w:shd w:val="clear" w:color="auto" w:fill="EAF1DD" w:themeFill="accent3" w:themeFillTint="33"/>
          </w:tcPr>
          <w:p w14:paraId="12D9B141" w14:textId="77777777" w:rsidR="00902254" w:rsidRDefault="00902254" w:rsidP="00A4116A">
            <w:pPr>
              <w:pStyle w:val="TabEtichette"/>
            </w:pPr>
            <w:r>
              <w:t>Debito lordo della. P.A. [4</w:t>
            </w:r>
            <w:r w:rsidRPr="00233F5C">
              <w:t>]</w:t>
            </w:r>
          </w:p>
        </w:tc>
        <w:tc>
          <w:tcPr>
            <w:tcW w:w="737" w:type="dxa"/>
            <w:tcBorders>
              <w:bottom w:val="single" w:sz="4" w:space="0" w:color="632423" w:themeColor="accent2" w:themeShade="80"/>
            </w:tcBorders>
            <w:shd w:val="clear" w:color="auto" w:fill="EAF1DD" w:themeFill="accent3" w:themeFillTint="33"/>
            <w:noWrap/>
          </w:tcPr>
          <w:p w14:paraId="4471BC11" w14:textId="77777777" w:rsidR="00902254" w:rsidRPr="008D37A3" w:rsidRDefault="00902254" w:rsidP="00A4116A">
            <w:pPr>
              <w:pStyle w:val="TabNumeri"/>
            </w:pPr>
            <w:r w:rsidRPr="002B274F">
              <w:t>84,5</w:t>
            </w:r>
          </w:p>
        </w:tc>
        <w:tc>
          <w:tcPr>
            <w:tcW w:w="737" w:type="dxa"/>
            <w:tcBorders>
              <w:bottom w:val="single" w:sz="4" w:space="0" w:color="632423" w:themeColor="accent2" w:themeShade="80"/>
            </w:tcBorders>
            <w:shd w:val="clear" w:color="auto" w:fill="EAF1DD" w:themeFill="accent3" w:themeFillTint="33"/>
          </w:tcPr>
          <w:p w14:paraId="5A48AD85" w14:textId="77777777" w:rsidR="00902254" w:rsidRPr="008D37A3" w:rsidRDefault="00902254" w:rsidP="00A4116A">
            <w:pPr>
              <w:pStyle w:val="TabNumeri"/>
            </w:pPr>
            <w:r w:rsidRPr="002B274F">
              <w:t>83,9</w:t>
            </w:r>
          </w:p>
        </w:tc>
        <w:tc>
          <w:tcPr>
            <w:tcW w:w="737" w:type="dxa"/>
            <w:tcBorders>
              <w:bottom w:val="single" w:sz="4" w:space="0" w:color="632423" w:themeColor="accent2" w:themeShade="80"/>
            </w:tcBorders>
            <w:shd w:val="clear" w:color="auto" w:fill="EAF1DD" w:themeFill="accent3" w:themeFillTint="33"/>
            <w:noWrap/>
          </w:tcPr>
          <w:p w14:paraId="31359CE3" w14:textId="77777777" w:rsidR="00902254" w:rsidRDefault="00902254" w:rsidP="00A4116A">
            <w:pPr>
              <w:pStyle w:val="TabNumeri"/>
            </w:pPr>
            <w:r w:rsidRPr="002B274F">
              <w:t>83,4</w:t>
            </w:r>
          </w:p>
        </w:tc>
      </w:tr>
      <w:tr w:rsidR="00902254" w:rsidRPr="00902254" w14:paraId="60240452" w14:textId="77777777" w:rsidTr="00A4116A">
        <w:trPr>
          <w:cantSplit/>
          <w:trHeight w:val="255"/>
        </w:trPr>
        <w:tc>
          <w:tcPr>
            <w:tcW w:w="9370" w:type="dxa"/>
            <w:gridSpan w:val="10"/>
            <w:tcBorders>
              <w:top w:val="single" w:sz="4" w:space="0" w:color="632423" w:themeColor="accent2" w:themeShade="80"/>
            </w:tcBorders>
            <w:noWrap/>
          </w:tcPr>
          <w:p w14:paraId="08150984" w14:textId="77777777" w:rsidR="00902254" w:rsidRPr="00D76DB6" w:rsidRDefault="00902254" w:rsidP="00A4116A">
            <w:pPr>
              <w:pStyle w:val="TabNoteSuperiori"/>
            </w:pPr>
            <w:r>
              <w:t>[1] T</w:t>
            </w:r>
            <w:r w:rsidRPr="000465E3">
              <w:t>assi di variazione tendenziale</w:t>
            </w:r>
            <w:r>
              <w:t xml:space="preserve"> percentuale- [2] Dati </w:t>
            </w:r>
            <w:r w:rsidRPr="000125CF">
              <w:t>corretti per il numero di giornate</w:t>
            </w:r>
            <w:r>
              <w:t xml:space="preserve"> lavorative. [3] Compreso il commercio all’interno dell’area dell’euro. </w:t>
            </w:r>
            <w:r w:rsidRPr="00D76DB6">
              <w:t>[</w:t>
            </w:r>
            <w:r>
              <w:t>4</w:t>
            </w:r>
            <w:r w:rsidRPr="00D76DB6">
              <w:t xml:space="preserve">] </w:t>
            </w:r>
            <w:r>
              <w:t>In p</w:t>
            </w:r>
            <w:r w:rsidRPr="00D76DB6">
              <w:t xml:space="preserve">ercentuale </w:t>
            </w:r>
            <w:r>
              <w:t>de</w:t>
            </w:r>
            <w:r w:rsidRPr="00D76DB6">
              <w:t xml:space="preserve">l Pil. </w:t>
            </w:r>
            <w:r>
              <w:t xml:space="preserve">[5] Percentuale della forza lavoro. [6] </w:t>
            </w:r>
            <w:r w:rsidRPr="00D76DB6">
              <w:t xml:space="preserve">Tasso di inflazione </w:t>
            </w:r>
            <w:r w:rsidRPr="0073321F">
              <w:t>armonizzato</w:t>
            </w:r>
            <w:r w:rsidRPr="00D76DB6">
              <w:t xml:space="preserve"> Ue. </w:t>
            </w:r>
          </w:p>
          <w:p w14:paraId="2A1AC5D3" w14:textId="77777777" w:rsidR="00902254" w:rsidRPr="00902254" w:rsidRDefault="00902254" w:rsidP="00A4116A">
            <w:pPr>
              <w:pStyle w:val="TabNoteInferiori"/>
            </w:pPr>
            <w:r w:rsidRPr="00902254">
              <w:t xml:space="preserve">Fonte: </w:t>
            </w:r>
            <w:proofErr w:type="spellStart"/>
            <w:r w:rsidRPr="00902254">
              <w:t>European</w:t>
            </w:r>
            <w:proofErr w:type="spellEnd"/>
            <w:r w:rsidRPr="00902254">
              <w:t xml:space="preserve"> Central Bank, ECB </w:t>
            </w:r>
            <w:proofErr w:type="spellStart"/>
            <w:r w:rsidRPr="00902254">
              <w:t>macroeconomic</w:t>
            </w:r>
            <w:proofErr w:type="spellEnd"/>
            <w:r w:rsidRPr="00902254">
              <w:t xml:space="preserve"> </w:t>
            </w:r>
            <w:proofErr w:type="spellStart"/>
            <w:r w:rsidRPr="00902254">
              <w:t>projections</w:t>
            </w:r>
            <w:proofErr w:type="spellEnd"/>
            <w:r w:rsidRPr="00902254">
              <w:t xml:space="preserve"> for the euro area, 12 marzo 2020</w:t>
            </w:r>
          </w:p>
        </w:tc>
      </w:tr>
    </w:tbl>
    <w:tbl>
      <w:tblPr>
        <w:tblStyle w:val="Grigliatabella"/>
        <w:tblpPr w:topFromText="425" w:bottomFromText="425" w:horzAnchor="margin" w:tblpXSpec="center" w:tblpYSpec="top"/>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356"/>
      </w:tblGrid>
      <w:tr w:rsidR="00902254" w:rsidRPr="002B550F" w14:paraId="7DD0B7EE" w14:textId="77777777" w:rsidTr="00A4116A">
        <w:tc>
          <w:tcPr>
            <w:tcW w:w="9356" w:type="dxa"/>
          </w:tcPr>
          <w:p w14:paraId="35EA6FD3" w14:textId="77777777" w:rsidR="00902254" w:rsidRPr="002B550F" w:rsidRDefault="00902254" w:rsidP="00A4116A">
            <w:pPr>
              <w:pStyle w:val="FigTitolo"/>
            </w:pPr>
            <w:r w:rsidRPr="002B550F">
              <w:t xml:space="preserve">Tasso di variazione del </w:t>
            </w:r>
            <w:r>
              <w:t>p</w:t>
            </w:r>
            <w:r w:rsidRPr="002B550F">
              <w:t>rodotto interno lordo</w:t>
            </w:r>
            <w:r>
              <w:t xml:space="preserve"> per l’area dell’euro, l’Unione europea e alcuni paesi</w:t>
            </w:r>
          </w:p>
        </w:tc>
      </w:tr>
      <w:tr w:rsidR="00902254" w:rsidRPr="002B550F" w14:paraId="2038636B" w14:textId="77777777" w:rsidTr="00A4116A">
        <w:tc>
          <w:tcPr>
            <w:tcW w:w="9356" w:type="dxa"/>
          </w:tcPr>
          <w:p w14:paraId="4B2D3433" w14:textId="77777777" w:rsidR="00902254" w:rsidRPr="00674C12" w:rsidRDefault="00902254" w:rsidP="00A4116A">
            <w:pPr>
              <w:pStyle w:val="Figure"/>
            </w:pPr>
            <w:r w:rsidRPr="007B4F02">
              <w:rPr>
                <w:noProof/>
              </w:rPr>
              <w:drawing>
                <wp:inline distT="0" distB="0" distL="0" distR="0" wp14:anchorId="2DC6FA47" wp14:editId="457C369B">
                  <wp:extent cx="5895975" cy="1790700"/>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95975" cy="1790700"/>
                          </a:xfrm>
                          <a:prstGeom prst="rect">
                            <a:avLst/>
                          </a:prstGeom>
                          <a:noFill/>
                          <a:ln>
                            <a:noFill/>
                          </a:ln>
                        </pic:spPr>
                      </pic:pic>
                    </a:graphicData>
                  </a:graphic>
                </wp:inline>
              </w:drawing>
            </w:r>
          </w:p>
        </w:tc>
      </w:tr>
      <w:tr w:rsidR="00902254" w:rsidRPr="007862B1" w14:paraId="04B4F927" w14:textId="77777777" w:rsidTr="00A4116A">
        <w:tc>
          <w:tcPr>
            <w:tcW w:w="9356" w:type="dxa"/>
          </w:tcPr>
          <w:p w14:paraId="2E4AC003" w14:textId="77777777" w:rsidR="00902254" w:rsidRPr="00860890" w:rsidRDefault="00902254" w:rsidP="00A4116A">
            <w:pPr>
              <w:pStyle w:val="TabNoteSuperiori"/>
            </w:pPr>
            <w:r w:rsidRPr="00860890">
              <w:t xml:space="preserve">Commissione europea, </w:t>
            </w:r>
            <w:proofErr w:type="spellStart"/>
            <w:r w:rsidRPr="00DE03EB">
              <w:t>E</w:t>
            </w:r>
            <w:r>
              <w:t>uropean</w:t>
            </w:r>
            <w:proofErr w:type="spellEnd"/>
            <w:r>
              <w:t xml:space="preserve"> </w:t>
            </w:r>
            <w:proofErr w:type="spellStart"/>
            <w:r>
              <w:t>economic</w:t>
            </w:r>
            <w:proofErr w:type="spellEnd"/>
            <w:r>
              <w:t xml:space="preserve"> forecasts,</w:t>
            </w:r>
            <w:r w:rsidRPr="00860890">
              <w:t xml:space="preserve"> </w:t>
            </w:r>
            <w:r>
              <w:t>13 febbraio 2020</w:t>
            </w:r>
          </w:p>
        </w:tc>
      </w:tr>
    </w:tbl>
    <w:p w14:paraId="2A5DFA0C" w14:textId="2B041235" w:rsidR="00471071" w:rsidRPr="00471071" w:rsidRDefault="00471071" w:rsidP="00471071">
      <w:r w:rsidRPr="00471071">
        <w:t>La fase di espansione economica sperimentata nell’area dell’euro è la più lunga dall’introduzione della moneta comune, ma prosegue a un ritmo piuttosto contenuto, rischia una brusca interruzione e la sua evoluzione è avvolta nell’incertezza derivante dall’ampiezza e durata degli effetti della pandemia da Coronavirus, che appare ora dominare i rischi derivanti dai contrasti commerciali e geopolitici.</w:t>
      </w:r>
    </w:p>
    <w:p w14:paraId="5A02ADB4" w14:textId="77777777" w:rsidR="00471071" w:rsidRDefault="00471071" w:rsidP="00471071">
      <w:r w:rsidRPr="00471071">
        <w:t>Si tratta di un importante shock negativo in rapida evoluzione con effetti sia sulla domanda, sia sull’offerta, che colpisce le filiere di produttive globali, il commercio mondiale</w:t>
      </w:r>
      <w:r w:rsidRPr="00471071">
        <w:t>,</w:t>
      </w:r>
      <w:r w:rsidRPr="00471071">
        <w:t xml:space="preserve"> i paesi e i settori in misura differenziata. A oggi, anche le più recenti previsioni appaiono perciò ottimistiche, fondate su un contenimento della diffusione del COVID-19 e su una normalizzazione dell’attività nella seconda parte del 2020.</w:t>
      </w:r>
      <w:r>
        <w:t xml:space="preserve"> </w:t>
      </w:r>
    </w:p>
    <w:p w14:paraId="6CEB5827" w14:textId="65EC0088" w:rsidR="00471071" w:rsidRPr="00471071" w:rsidRDefault="00471071" w:rsidP="00471071">
      <w:r w:rsidRPr="00471071">
        <w:t>La crescita del prodotto interno lordo dell’area si è ridotta ulteriormente nel 2019 (+1,2 per cento). Secondo la previsione della Banca centrale europea diffusa a metà marzo</w:t>
      </w:r>
      <w:r w:rsidRPr="00471071">
        <w:t xml:space="preserve">, </w:t>
      </w:r>
      <w:r w:rsidRPr="00471071">
        <w:t xml:space="preserve">la crescita </w:t>
      </w:r>
      <w:r w:rsidRPr="00471071">
        <w:t>d</w:t>
      </w:r>
      <w:r w:rsidRPr="00471071">
        <w:t>ovrebbe ridursi ulteriormente nel 2020 (+0,8 per cento)</w:t>
      </w:r>
      <w:r w:rsidRPr="00471071">
        <w:t>. N</w:t>
      </w:r>
      <w:r w:rsidRPr="00471071">
        <w:t xml:space="preserve">onostante le condizioni finanziarie permangano molto favorevoli, il rallentamento della domanda esterna e la contrazione dell’attività manifatturiera, che frenano le esportazioni e gli investimenti, si trasmettono agli altri settori dell’economia. </w:t>
      </w:r>
      <w:r w:rsidRPr="00471071">
        <w:t>Inoltre, t</w:t>
      </w:r>
      <w:r w:rsidRPr="00471071">
        <w:t>rasporti, turismo, sport e spettacolo sono duramente colpiti. Nonostante la buona condizione del mercato del lavoro che ha sostenuto i consumi privati e la domanda interna la loro evoluzione a</w:t>
      </w:r>
      <w:r w:rsidRPr="00471071">
        <w:t xml:space="preserve"> </w:t>
      </w:r>
      <w:r w:rsidRPr="00471071">
        <w:t xml:space="preserve">breve è a rischio. </w:t>
      </w:r>
    </w:p>
    <w:p w14:paraId="24768449" w14:textId="14F65E22" w:rsidR="00471071" w:rsidRPr="00471071" w:rsidRDefault="00471071" w:rsidP="00471071">
      <w:r w:rsidRPr="00471071">
        <w:t>N</w:t>
      </w:r>
      <w:r w:rsidRPr="00471071">
        <w:t xml:space="preserve">el 2019 </w:t>
      </w:r>
      <w:r w:rsidRPr="00471071">
        <w:t>l</w:t>
      </w:r>
      <w:r w:rsidRPr="00471071">
        <w:t xml:space="preserve">a crescita </w:t>
      </w:r>
      <w:r w:rsidRPr="00471071">
        <w:t xml:space="preserve">ha </w:t>
      </w:r>
      <w:r w:rsidRPr="00471071">
        <w:t>frena</w:t>
      </w:r>
      <w:r w:rsidRPr="00471071">
        <w:t>to</w:t>
      </w:r>
      <w:r w:rsidRPr="00471071">
        <w:t xml:space="preserve"> sensibilmente in Germania e Italia, dato l’elevato rilievo delle esportazioni rispetto al Pil, mentre il rallentamento della crescita francese appare è stato dovuto a conflitti sociali. La recente stima “benigna” dell’Ocse prospetta un ulteriore, ma più contenuto, rallentamento della crescita nel 2020, che per l’Italia potrebbe divenire recessione.</w:t>
      </w:r>
    </w:p>
    <w:p w14:paraId="4AE0AE87" w14:textId="77777777" w:rsidR="00471071" w:rsidRDefault="00471071" w:rsidP="00471071">
      <w:r w:rsidRPr="00471071">
        <w:t>Secondo le proiezioni della Banca centrale europea,</w:t>
      </w:r>
      <w:r>
        <w:t xml:space="preserve"> </w:t>
      </w:r>
      <w:r w:rsidRPr="00471071">
        <w:t>la crescita dei consumi privati ridottasi nuovamente nel 2019 (+1,3 per cento), si ridurrà ancora, ma lievemente nel 2020 (+1,2 per cento). L’espansione dei consumi pubblici (+1,8 per cento nel 2019) dovrebbe restare forte</w:t>
      </w:r>
      <w:r w:rsidRPr="00471071">
        <w:t xml:space="preserve"> </w:t>
      </w:r>
      <w:r w:rsidRPr="00471071">
        <w:t>nel 2020 (+1,7 per cento).</w:t>
      </w:r>
      <w:r w:rsidRPr="00471071">
        <w:t xml:space="preserve"> </w:t>
      </w:r>
      <w:r w:rsidRPr="00471071">
        <w:t>Gli investimenti in costruzioni dovrebbe</w:t>
      </w:r>
      <w:r w:rsidRPr="00471071">
        <w:t>ro</w:t>
      </w:r>
      <w:r w:rsidRPr="00471071">
        <w:t xml:space="preserve"> rallentare, ma saranno soprattutto quelli delle industrie a </w:t>
      </w:r>
      <w:r w:rsidRPr="00471071">
        <w:t>fren</w:t>
      </w:r>
      <w:r w:rsidRPr="00471071">
        <w:t xml:space="preserve">are con decisione. </w:t>
      </w:r>
      <w:r w:rsidRPr="00471071">
        <w:lastRenderedPageBreak/>
        <w:t>Nel complesso la dinamica degli investimenti si ridurrà dal +4,4 per cento del 2019 a un +0,4 per cento nel 2020. L’uscita dall’emergenza potrebbe rilanciarne la dinamica suc</w:t>
      </w:r>
      <w:r w:rsidRPr="00471071">
        <w:t>c</w:t>
      </w:r>
      <w:r w:rsidRPr="00471071">
        <w:t>essivamente.</w:t>
      </w:r>
      <w:r>
        <w:t xml:space="preserve"> </w:t>
      </w:r>
      <w:r w:rsidRPr="00471071">
        <w:t>Ipotizzando una ripresa del commercio internazionale nella seconda metà del 2020, la Banca centrale europea prospetta una minore dinamica de</w:t>
      </w:r>
      <w:r w:rsidRPr="00471071">
        <w:t>l</w:t>
      </w:r>
      <w:r w:rsidRPr="00471071">
        <w:t>le esportazioni nel 2020, che scende dal +2,5 per cento del 2019 al +1,6 per cento.</w:t>
      </w:r>
      <w:r>
        <w:t xml:space="preserve"> </w:t>
      </w:r>
    </w:p>
    <w:p w14:paraId="5B65A9B9" w14:textId="1760A884" w:rsidR="00471071" w:rsidRPr="00471071" w:rsidRDefault="00471071" w:rsidP="00471071">
      <w:r w:rsidRPr="00471071">
        <w:t>Le condizioni del mercato del lavoro subiranno gli effetti della pandemia. L’aumento dell’occupazione proseguirà con un passo sempre più moderato, passando da un +1,1 per cento nel 2019</w:t>
      </w:r>
      <w:r w:rsidRPr="00471071">
        <w:t xml:space="preserve"> </w:t>
      </w:r>
      <w:r w:rsidRPr="00471071">
        <w:t>a un +0,5 per cento nel 2020. Il tasso di disoccupazione è sceso al 7,6 per cento nel 2019, ma non scenderà ulteriormente nel 2020</w:t>
      </w:r>
      <w:r w:rsidRPr="00471071">
        <w:t>,</w:t>
      </w:r>
      <w:r w:rsidRPr="00471071">
        <w:t xml:space="preserve"> </w:t>
      </w:r>
      <w:r w:rsidRPr="00471071">
        <w:t>anzi p</w:t>
      </w:r>
      <w:r w:rsidRPr="00471071">
        <w:t>otrebbe anche salire</w:t>
      </w:r>
      <w:r w:rsidRPr="00471071">
        <w:t>,</w:t>
      </w:r>
      <w:r w:rsidRPr="00471071">
        <w:t xml:space="preserve"> e manterrà le marcate differenze nei livelli tra i paesi dell’area.</w:t>
      </w:r>
    </w:p>
    <w:p w14:paraId="37BB9E8F" w14:textId="0706C03D" w:rsidR="00471071" w:rsidRPr="00EA259C" w:rsidRDefault="00471071" w:rsidP="00471071">
      <w:pPr>
        <w:rPr>
          <w:highlight w:val="green"/>
        </w:rPr>
      </w:pPr>
      <w:r w:rsidRPr="00EA259C">
        <w:t>La dinamica dei prezzi ha mostrato una sensibile tendenza discendente durante il 2019 (+1,2 per cento), data dalla caduta dalla componente energetica, e dalla debolezza dell’attività produttiva.</w:t>
      </w:r>
      <w:r w:rsidRPr="00EA259C">
        <w:t xml:space="preserve"> </w:t>
      </w:r>
      <w:r w:rsidRPr="00EA259C">
        <w:t xml:space="preserve">Dovrebbe tendere a ridursi leggermente anche nel 2020 (+1,2 per cento), sempre per effetto dei prodotti legati all’energia. Per le altre componenti, però, gli effetti degli squilibri tra domanda e offerta restano incerti. </w:t>
      </w:r>
    </w:p>
    <w:p w14:paraId="135D6FD1" w14:textId="509ED0BC" w:rsidR="00471071" w:rsidRPr="00EA259C" w:rsidRDefault="00471071" w:rsidP="00471071">
      <w:r w:rsidRPr="00EA259C">
        <w:t>Non avendo tenuto conto delle diverse e consistenti misure annunciate dai paesi dell’area dell’euro successivamente allo scorso 28 febbraio, la recente previsione della Bce prospetta un leggero allentamento della politica di bilancio che aumenti il rapporto tra deficit pubblico e prodotto interno lordo dallo 0,7 per cento del 2019 all’1,1 per cento nel 2020.</w:t>
      </w:r>
      <w:r w:rsidR="00EA259C" w:rsidRPr="00EA259C">
        <w:t xml:space="preserve"> Il rapporto </w:t>
      </w:r>
      <w:r w:rsidRPr="00EA259C">
        <w:t>tra debito pubblico e Pil si sta riducendo dopo avere toccato un picco nel 2014 e dopo essersi ridotto nel 2019 (84,5 per cento), continuerà a ridursi anche nel 2020 (83,9 per cento), nonostante un saldo primario in declino, grazie al favorevole differenziale tra tassi di interesse sul debito esistente e tasso di crescita nominale del Pil.</w:t>
      </w:r>
      <w:r w:rsidR="00EA259C" w:rsidRPr="00EA259C">
        <w:t xml:space="preserve"> Ma i</w:t>
      </w:r>
      <w:r w:rsidRPr="00EA259C">
        <w:t xml:space="preserve"> recenti provvedimenti addottati in Italie e in Germania (in particolare) prospettano un deciso ampliamento del deficit per fronteggiare la pandemia e i suoi effetti economici e sociali.</w:t>
      </w:r>
    </w:p>
    <w:p w14:paraId="352AAB7D" w14:textId="77777777" w:rsidR="00471071" w:rsidRPr="00EA259C" w:rsidRDefault="00471071" w:rsidP="00471071">
      <w:r w:rsidRPr="00EA259C">
        <w:t>La politica monetaria è estremamente accomodante. il tasso su depositi della Bce è a -0,50 per cento, da novembre è attivo un programma senza scadenza di acquisti di asset sul mercato per 20 miliardi al mese, che, insieme con il reinvestimento dei titoli in scadenza per un periodo ulteriormente esteso, ha portato i tassi di interesse nominali di lungo termine a livelli molto bassi. Le condizioni di finanziamento risultano quindi molto favorevoli e dovrebbero mantenersi tali. La banca centrale potrebbe decidere di andare oltre i limiti, che si autoimposta, all’acquisto di titoli di stato sia per singolo emittente, sia di proporzionalità con la rilevanza economica di ogni emittente.</w:t>
      </w:r>
    </w:p>
    <w:p w14:paraId="4B7E3E5E" w14:textId="77777777" w:rsidR="00F81CE8" w:rsidRDefault="00CF2079" w:rsidP="00F81CE8">
      <w:pPr>
        <w:pStyle w:val="Titolo2"/>
      </w:pPr>
      <w:r>
        <w:t>X</w:t>
      </w:r>
      <w:r w:rsidR="00F81CE8">
        <w:t>.</w:t>
      </w:r>
      <w:r w:rsidR="00C43F0D">
        <w:t>3</w:t>
      </w:r>
      <w:r w:rsidR="00F81CE8">
        <w:t>.</w:t>
      </w:r>
      <w:r w:rsidR="00F81CE8">
        <w:tab/>
      </w:r>
      <w:r w:rsidR="002B3250">
        <w:t xml:space="preserve">L’economia </w:t>
      </w:r>
      <w:r w:rsidR="00CE68C2">
        <w:t>nazionale</w:t>
      </w:r>
    </w:p>
    <w:p w14:paraId="69F78D93" w14:textId="77777777" w:rsidR="00200ADC" w:rsidRPr="00E412E6" w:rsidRDefault="00200ADC" w:rsidP="00200ADC">
      <w:pPr>
        <w:pStyle w:val="Titolo4"/>
        <w:rPr>
          <w:bCs/>
        </w:rPr>
      </w:pPr>
      <w:bookmarkStart w:id="0" w:name="_Toc19697794"/>
      <w:r w:rsidRPr="00E412E6">
        <w:rPr>
          <w:bCs/>
        </w:rPr>
        <w:t>I conti economici</w:t>
      </w:r>
      <w:bookmarkEnd w:id="0"/>
    </w:p>
    <w:tbl>
      <w:tblPr>
        <w:tblpPr w:topFromText="284" w:bottomFromText="284" w:horzAnchor="margin" w:tblpXSpec="center" w:tblpYSpec="top"/>
        <w:tblOverlap w:val="never"/>
        <w:tblW w:w="0" w:type="auto"/>
        <w:tblCellMar>
          <w:left w:w="0" w:type="dxa"/>
          <w:right w:w="0" w:type="dxa"/>
        </w:tblCellMar>
        <w:tblLook w:val="04A0" w:firstRow="1" w:lastRow="0" w:firstColumn="1" w:lastColumn="0" w:noHBand="0" w:noVBand="1"/>
      </w:tblPr>
      <w:tblGrid>
        <w:gridCol w:w="9356"/>
      </w:tblGrid>
      <w:tr w:rsidR="00902254" w14:paraId="1125A533" w14:textId="77777777" w:rsidTr="00A4116A">
        <w:tc>
          <w:tcPr>
            <w:tcW w:w="9356" w:type="dxa"/>
          </w:tcPr>
          <w:p w14:paraId="40F1A3CC" w14:textId="77777777" w:rsidR="00902254" w:rsidRDefault="00902254" w:rsidP="00A4116A">
            <w:pPr>
              <w:pStyle w:val="FigTitolo"/>
            </w:pPr>
            <w:r>
              <w:t>Prodotto interno lordo, valori concatenati in milioni di euro, anno di riferimento 2015  e variazioni percentuali annuali.</w:t>
            </w:r>
          </w:p>
        </w:tc>
      </w:tr>
      <w:tr w:rsidR="00902254" w14:paraId="543C4D63" w14:textId="77777777" w:rsidTr="00A4116A">
        <w:tc>
          <w:tcPr>
            <w:tcW w:w="9356" w:type="dxa"/>
          </w:tcPr>
          <w:p w14:paraId="6C3F5211" w14:textId="77777777" w:rsidR="00902254" w:rsidRPr="002A23F1" w:rsidRDefault="00902254" w:rsidP="00A4116A">
            <w:pPr>
              <w:pStyle w:val="Figure"/>
            </w:pPr>
            <w:r>
              <w:rPr>
                <w:noProof/>
              </w:rPr>
              <w:drawing>
                <wp:inline distT="0" distB="0" distL="0" distR="0" wp14:anchorId="3F4A850E" wp14:editId="1AEEC7C0">
                  <wp:extent cx="5220000" cy="2607810"/>
                  <wp:effectExtent l="0" t="0" r="0" b="254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0200305174440.jpg"/>
                          <pic:cNvPicPr/>
                        </pic:nvPicPr>
                        <pic:blipFill>
                          <a:blip r:embed="rId10">
                            <a:extLst>
                              <a:ext uri="{28A0092B-C50C-407E-A947-70E740481C1C}">
                                <a14:useLocalDpi xmlns:a14="http://schemas.microsoft.com/office/drawing/2010/main" val="0"/>
                              </a:ext>
                            </a:extLst>
                          </a:blip>
                          <a:stretch>
                            <a:fillRect/>
                          </a:stretch>
                        </pic:blipFill>
                        <pic:spPr>
                          <a:xfrm>
                            <a:off x="0" y="0"/>
                            <a:ext cx="5220000" cy="2607810"/>
                          </a:xfrm>
                          <a:prstGeom prst="rect">
                            <a:avLst/>
                          </a:prstGeom>
                        </pic:spPr>
                      </pic:pic>
                    </a:graphicData>
                  </a:graphic>
                </wp:inline>
              </w:drawing>
            </w:r>
          </w:p>
        </w:tc>
      </w:tr>
      <w:tr w:rsidR="00902254" w14:paraId="2B5A3907" w14:textId="77777777" w:rsidTr="00A4116A">
        <w:tc>
          <w:tcPr>
            <w:tcW w:w="9356" w:type="dxa"/>
          </w:tcPr>
          <w:p w14:paraId="2871A882" w14:textId="77777777" w:rsidR="00902254" w:rsidRDefault="00902254" w:rsidP="00A4116A">
            <w:pPr>
              <w:pStyle w:val="TabNoteSuperiori"/>
            </w:pPr>
            <w:r>
              <w:t>Fonte: Istat, Pil e indebitamento AP.</w:t>
            </w:r>
          </w:p>
        </w:tc>
      </w:tr>
    </w:tbl>
    <w:p w14:paraId="58FF39C9" w14:textId="77777777" w:rsidR="00200ADC" w:rsidRPr="00DD7703" w:rsidRDefault="00200ADC" w:rsidP="00200ADC">
      <w:pPr>
        <w:rPr>
          <w:bCs/>
        </w:rPr>
      </w:pPr>
      <w:r w:rsidRPr="00DD7703">
        <w:rPr>
          <w:bCs/>
        </w:rPr>
        <w:t>La crescita del prodotto interno lordo in Italia non è andata oltre lo 0,3 per cento nel 2019 e secondo le più recenti previsioni dell’Ocse, di inizio marzo, si dovrebbe arrestare nel 2020. Le stesse indicazioni giungono dal più recente aggiornamento della previsione nazionale di Prometeia, che a metà febbraio indicava un Pil al +0,1 per cento per l’anno in corso. L’incertezza relativa all’evoluzione dell’epidemia da coronavirus si riflette ora sull’evoluzione delle variabili economiche, che in un arco di tempo limitato potrebbero essere soggette a notevoli variazioni.</w:t>
      </w:r>
    </w:p>
    <w:p w14:paraId="5258B7C0" w14:textId="2EEFB5DA" w:rsidR="00200ADC" w:rsidRPr="00DD7703" w:rsidRDefault="00200ADC" w:rsidP="00200ADC">
      <w:pPr>
        <w:rPr>
          <w:bCs/>
        </w:rPr>
      </w:pPr>
      <w:r w:rsidRPr="00DD7703">
        <w:rPr>
          <w:bCs/>
        </w:rPr>
        <w:lastRenderedPageBreak/>
        <w:t xml:space="preserve">I consumi delle famiglie sono aumentati dello 0,4 per cento nel 2019. Secondo Prometeia, dovrebbero crescere moderatamente nel 2020 (+0,6 per cento), sostenuti da più elevati trasferimenti sociali e dal declino dei prezzi degli energetici, mentre la modesta crescita dei salari e l’indebolimento del mercato del lavoro </w:t>
      </w:r>
      <w:r w:rsidR="0085510F" w:rsidRPr="00DD7703">
        <w:rPr>
          <w:bCs/>
        </w:rPr>
        <w:t>conterranno</w:t>
      </w:r>
      <w:r w:rsidRPr="00DD7703">
        <w:rPr>
          <w:bCs/>
        </w:rPr>
        <w:t xml:space="preserve"> il reddito disponibile.</w:t>
      </w:r>
    </w:p>
    <w:tbl>
      <w:tblPr>
        <w:tblpPr w:topFromText="284" w:bottomFromText="284" w:horzAnchor="margin" w:tblpXSpec="center" w:tblpYSpec="bottom"/>
        <w:tblOverlap w:val="never"/>
        <w:tblW w:w="9359" w:type="dxa"/>
        <w:tblBorders>
          <w:bottom w:val="single" w:sz="4" w:space="0" w:color="auto"/>
        </w:tblBorders>
        <w:tblLayout w:type="fixed"/>
        <w:tblCellMar>
          <w:left w:w="0" w:type="dxa"/>
          <w:right w:w="0" w:type="dxa"/>
        </w:tblCellMar>
        <w:tblLook w:val="0000" w:firstRow="0" w:lastRow="0" w:firstColumn="0" w:lastColumn="0" w:noHBand="0" w:noVBand="0"/>
      </w:tblPr>
      <w:tblGrid>
        <w:gridCol w:w="2552"/>
        <w:gridCol w:w="1021"/>
        <w:gridCol w:w="340"/>
        <w:gridCol w:w="1021"/>
        <w:gridCol w:w="340"/>
        <w:gridCol w:w="1021"/>
        <w:gridCol w:w="340"/>
        <w:gridCol w:w="1021"/>
        <w:gridCol w:w="340"/>
        <w:gridCol w:w="1021"/>
        <w:gridCol w:w="342"/>
      </w:tblGrid>
      <w:tr w:rsidR="00167F7D" w14:paraId="5FA9D688" w14:textId="77777777" w:rsidTr="00A4116A">
        <w:trPr>
          <w:cantSplit/>
        </w:trPr>
        <w:tc>
          <w:tcPr>
            <w:tcW w:w="9359" w:type="dxa"/>
            <w:gridSpan w:val="11"/>
            <w:tcBorders>
              <w:bottom w:val="single" w:sz="6" w:space="0" w:color="800000"/>
            </w:tcBorders>
          </w:tcPr>
          <w:p w14:paraId="6755BFBE" w14:textId="77777777" w:rsidR="00167F7D" w:rsidRPr="00EA6B59" w:rsidRDefault="00167F7D" w:rsidP="00A4116A">
            <w:pPr>
              <w:pStyle w:val="TabTitolo"/>
            </w:pPr>
            <w:r>
              <w:t>L'economia italiana. Consuntivo e previsioni effettuate negli ultimi mesi, variazioni percentuali annue a prezzi costanti salvo diversa indicazione.</w:t>
            </w:r>
          </w:p>
        </w:tc>
      </w:tr>
      <w:tr w:rsidR="00167F7D" w14:paraId="2E1C8002" w14:textId="77777777" w:rsidTr="00A4116A">
        <w:tblPrEx>
          <w:tblBorders>
            <w:bottom w:val="none" w:sz="0" w:space="0" w:color="auto"/>
          </w:tblBorders>
        </w:tblPrEx>
        <w:trPr>
          <w:cantSplit/>
        </w:trPr>
        <w:tc>
          <w:tcPr>
            <w:tcW w:w="2552" w:type="dxa"/>
            <w:tcBorders>
              <w:top w:val="single" w:sz="6" w:space="0" w:color="800000"/>
            </w:tcBorders>
          </w:tcPr>
          <w:p w14:paraId="1197F893" w14:textId="77777777" w:rsidR="00167F7D" w:rsidRPr="00EA6B59" w:rsidRDefault="00167F7D" w:rsidP="00A4116A">
            <w:pPr>
              <w:pStyle w:val="TabIntestaSup"/>
            </w:pPr>
          </w:p>
        </w:tc>
        <w:tc>
          <w:tcPr>
            <w:tcW w:w="1361" w:type="dxa"/>
            <w:gridSpan w:val="2"/>
            <w:tcBorders>
              <w:top w:val="single" w:sz="6" w:space="0" w:color="800000"/>
            </w:tcBorders>
            <w:vAlign w:val="bottom"/>
          </w:tcPr>
          <w:p w14:paraId="0E27D8BA" w14:textId="77777777" w:rsidR="00167F7D" w:rsidRPr="00D76DB6" w:rsidRDefault="00167F7D" w:rsidP="00A4116A">
            <w:pPr>
              <w:pStyle w:val="TabIntestaSup"/>
            </w:pPr>
            <w:r w:rsidRPr="00D76DB6">
              <w:t>Consuntivo</w:t>
            </w:r>
          </w:p>
        </w:tc>
        <w:tc>
          <w:tcPr>
            <w:tcW w:w="5446" w:type="dxa"/>
            <w:gridSpan w:val="8"/>
            <w:tcBorders>
              <w:top w:val="single" w:sz="6" w:space="0" w:color="800000"/>
            </w:tcBorders>
            <w:vAlign w:val="bottom"/>
          </w:tcPr>
          <w:p w14:paraId="29B20953" w14:textId="6032920F" w:rsidR="00167F7D" w:rsidRPr="00D76DB6" w:rsidRDefault="00167F7D" w:rsidP="00A4116A">
            <w:pPr>
              <w:pStyle w:val="TabIntestaSupBordo"/>
            </w:pPr>
            <w:r w:rsidRPr="00D76DB6">
              <w:t xml:space="preserve">Previsioni </w:t>
            </w:r>
            <w:r w:rsidRPr="00D76DB6">
              <w:fldChar w:fldCharType="begin"/>
            </w:r>
            <w:r w:rsidRPr="00D76DB6">
              <w:instrText xml:space="preserve"> DATE  \@ "yyyy"  \* MERGEFORMAT </w:instrText>
            </w:r>
            <w:r w:rsidRPr="00D76DB6">
              <w:fldChar w:fldCharType="separate"/>
            </w:r>
            <w:r w:rsidR="005D497A">
              <w:rPr>
                <w:noProof/>
              </w:rPr>
              <w:t>2020</w:t>
            </w:r>
            <w:r w:rsidRPr="00D76DB6">
              <w:fldChar w:fldCharType="end"/>
            </w:r>
          </w:p>
        </w:tc>
      </w:tr>
      <w:tr w:rsidR="00167F7D" w14:paraId="7B29319E" w14:textId="77777777" w:rsidTr="00A4116A">
        <w:tblPrEx>
          <w:tblBorders>
            <w:bottom w:val="none" w:sz="0" w:space="0" w:color="auto"/>
          </w:tblBorders>
        </w:tblPrEx>
        <w:trPr>
          <w:cantSplit/>
        </w:trPr>
        <w:tc>
          <w:tcPr>
            <w:tcW w:w="2552" w:type="dxa"/>
          </w:tcPr>
          <w:p w14:paraId="166791D0" w14:textId="77777777" w:rsidR="00167F7D" w:rsidRPr="00EA6B59" w:rsidRDefault="00167F7D" w:rsidP="00A4116A">
            <w:pPr>
              <w:pStyle w:val="TabIntestaSup"/>
            </w:pPr>
          </w:p>
        </w:tc>
        <w:tc>
          <w:tcPr>
            <w:tcW w:w="1361" w:type="dxa"/>
            <w:gridSpan w:val="2"/>
            <w:vAlign w:val="bottom"/>
          </w:tcPr>
          <w:p w14:paraId="1E519E2C" w14:textId="77777777" w:rsidR="00167F7D" w:rsidRPr="00D76DB6" w:rsidRDefault="00167F7D" w:rsidP="00A4116A">
            <w:pPr>
              <w:pStyle w:val="TabIntestaSup"/>
            </w:pPr>
            <w:r>
              <w:t>2019</w:t>
            </w:r>
          </w:p>
        </w:tc>
        <w:tc>
          <w:tcPr>
            <w:tcW w:w="1361" w:type="dxa"/>
            <w:gridSpan w:val="2"/>
            <w:vAlign w:val="bottom"/>
          </w:tcPr>
          <w:p w14:paraId="3C2DCE02" w14:textId="77777777" w:rsidR="00167F7D" w:rsidRPr="00D76DB6" w:rsidRDefault="00167F7D" w:rsidP="00A4116A">
            <w:pPr>
              <w:pStyle w:val="TabIntestaSup"/>
            </w:pPr>
            <w:r w:rsidRPr="00D76DB6">
              <w:t>Fmi</w:t>
            </w:r>
          </w:p>
        </w:tc>
        <w:tc>
          <w:tcPr>
            <w:tcW w:w="1361" w:type="dxa"/>
            <w:gridSpan w:val="2"/>
            <w:vAlign w:val="bottom"/>
          </w:tcPr>
          <w:p w14:paraId="4444FC44" w14:textId="77777777" w:rsidR="00167F7D" w:rsidRPr="008914D7" w:rsidRDefault="00167F7D" w:rsidP="00A4116A">
            <w:pPr>
              <w:pStyle w:val="TabIntestaSup"/>
            </w:pPr>
            <w:r w:rsidRPr="008914D7">
              <w:t>Ocse</w:t>
            </w:r>
          </w:p>
        </w:tc>
        <w:tc>
          <w:tcPr>
            <w:tcW w:w="1361" w:type="dxa"/>
            <w:gridSpan w:val="2"/>
            <w:vAlign w:val="bottom"/>
          </w:tcPr>
          <w:p w14:paraId="258E98DE" w14:textId="77777777" w:rsidR="00167F7D" w:rsidRPr="008914D7" w:rsidRDefault="00167F7D" w:rsidP="00A4116A">
            <w:pPr>
              <w:pStyle w:val="TabIntestaSup"/>
            </w:pPr>
            <w:r>
              <w:t>Banca d’Italia</w:t>
            </w:r>
          </w:p>
        </w:tc>
        <w:tc>
          <w:tcPr>
            <w:tcW w:w="1363" w:type="dxa"/>
            <w:gridSpan w:val="2"/>
            <w:vAlign w:val="bottom"/>
          </w:tcPr>
          <w:p w14:paraId="6A8B4028" w14:textId="77777777" w:rsidR="00167F7D" w:rsidRPr="008914D7" w:rsidRDefault="00167F7D" w:rsidP="00A4116A">
            <w:pPr>
              <w:pStyle w:val="TabIntestaSup"/>
            </w:pPr>
            <w:r w:rsidRPr="008914D7">
              <w:t>Prometeia</w:t>
            </w:r>
          </w:p>
        </w:tc>
      </w:tr>
      <w:tr w:rsidR="00167F7D" w14:paraId="27FE4710" w14:textId="77777777" w:rsidTr="00A4116A">
        <w:tblPrEx>
          <w:tblBorders>
            <w:bottom w:val="none" w:sz="0" w:space="0" w:color="auto"/>
          </w:tblBorders>
        </w:tblPrEx>
        <w:trPr>
          <w:cantSplit/>
        </w:trPr>
        <w:tc>
          <w:tcPr>
            <w:tcW w:w="2552" w:type="dxa"/>
            <w:tcBorders>
              <w:bottom w:val="single" w:sz="6" w:space="0" w:color="800000"/>
            </w:tcBorders>
          </w:tcPr>
          <w:p w14:paraId="76617A99" w14:textId="77777777" w:rsidR="00167F7D" w:rsidRDefault="00167F7D" w:rsidP="00A4116A">
            <w:pPr>
              <w:pStyle w:val="TabIntestaInf"/>
            </w:pPr>
          </w:p>
        </w:tc>
        <w:tc>
          <w:tcPr>
            <w:tcW w:w="1361" w:type="dxa"/>
            <w:gridSpan w:val="2"/>
            <w:tcBorders>
              <w:bottom w:val="single" w:sz="6" w:space="0" w:color="800000"/>
            </w:tcBorders>
            <w:vAlign w:val="bottom"/>
          </w:tcPr>
          <w:p w14:paraId="14A937B2" w14:textId="77777777" w:rsidR="00167F7D" w:rsidRPr="00D76DB6" w:rsidRDefault="00167F7D" w:rsidP="00A4116A">
            <w:pPr>
              <w:pStyle w:val="TabIntestaInf"/>
            </w:pPr>
            <w:r w:rsidRPr="00D76DB6">
              <w:t>Istat</w:t>
            </w:r>
          </w:p>
        </w:tc>
        <w:tc>
          <w:tcPr>
            <w:tcW w:w="1361" w:type="dxa"/>
            <w:gridSpan w:val="2"/>
            <w:tcBorders>
              <w:bottom w:val="single" w:sz="6" w:space="0" w:color="800000"/>
            </w:tcBorders>
            <w:vAlign w:val="bottom"/>
          </w:tcPr>
          <w:p w14:paraId="3ACA61BC" w14:textId="77777777" w:rsidR="00167F7D" w:rsidRPr="00D76DB6" w:rsidRDefault="00167F7D" w:rsidP="00A4116A">
            <w:pPr>
              <w:pStyle w:val="TabIntestaInf"/>
            </w:pPr>
            <w:r>
              <w:t>ott-19</w:t>
            </w:r>
          </w:p>
        </w:tc>
        <w:tc>
          <w:tcPr>
            <w:tcW w:w="1361" w:type="dxa"/>
            <w:gridSpan w:val="2"/>
            <w:tcBorders>
              <w:bottom w:val="single" w:sz="6" w:space="0" w:color="800000"/>
            </w:tcBorders>
            <w:vAlign w:val="bottom"/>
          </w:tcPr>
          <w:p w14:paraId="01143A60" w14:textId="77777777" w:rsidR="00167F7D" w:rsidRPr="008914D7" w:rsidRDefault="00167F7D" w:rsidP="00A4116A">
            <w:pPr>
              <w:pStyle w:val="TabIntestaInf"/>
            </w:pPr>
            <w:r w:rsidRPr="008914D7">
              <w:t>nov-1</w:t>
            </w:r>
            <w:r>
              <w:t>9 [1]</w:t>
            </w:r>
          </w:p>
        </w:tc>
        <w:tc>
          <w:tcPr>
            <w:tcW w:w="1361" w:type="dxa"/>
            <w:gridSpan w:val="2"/>
            <w:tcBorders>
              <w:bottom w:val="single" w:sz="6" w:space="0" w:color="800000"/>
            </w:tcBorders>
            <w:vAlign w:val="bottom"/>
          </w:tcPr>
          <w:p w14:paraId="00101686" w14:textId="77777777" w:rsidR="00167F7D" w:rsidRPr="008914D7" w:rsidRDefault="00167F7D" w:rsidP="00A4116A">
            <w:pPr>
              <w:pStyle w:val="TabIntestaInf"/>
            </w:pPr>
            <w:r>
              <w:t>gen</w:t>
            </w:r>
            <w:r w:rsidRPr="008914D7">
              <w:t>-</w:t>
            </w:r>
            <w:r>
              <w:t>20 (1)</w:t>
            </w:r>
          </w:p>
        </w:tc>
        <w:tc>
          <w:tcPr>
            <w:tcW w:w="1363" w:type="dxa"/>
            <w:gridSpan w:val="2"/>
            <w:tcBorders>
              <w:bottom w:val="single" w:sz="6" w:space="0" w:color="800000"/>
            </w:tcBorders>
            <w:vAlign w:val="bottom"/>
          </w:tcPr>
          <w:p w14:paraId="043CB527" w14:textId="77777777" w:rsidR="00167F7D" w:rsidRPr="008914D7" w:rsidRDefault="00167F7D" w:rsidP="00A4116A">
            <w:pPr>
              <w:pStyle w:val="TabIntestaInf"/>
            </w:pPr>
            <w:r>
              <w:t>feb</w:t>
            </w:r>
            <w:r w:rsidRPr="008914D7">
              <w:t>-</w:t>
            </w:r>
            <w:r>
              <w:t>20 [1]</w:t>
            </w:r>
          </w:p>
        </w:tc>
      </w:tr>
      <w:tr w:rsidR="00167F7D" w14:paraId="5186486E" w14:textId="77777777" w:rsidTr="00A4116A">
        <w:tblPrEx>
          <w:tblBorders>
            <w:bottom w:val="none" w:sz="0" w:space="0" w:color="auto"/>
          </w:tblBorders>
        </w:tblPrEx>
        <w:trPr>
          <w:cantSplit/>
          <w:trHeight w:hRule="exact" w:val="113"/>
        </w:trPr>
        <w:tc>
          <w:tcPr>
            <w:tcW w:w="2552" w:type="dxa"/>
            <w:tcBorders>
              <w:top w:val="single" w:sz="6" w:space="0" w:color="800000"/>
            </w:tcBorders>
          </w:tcPr>
          <w:p w14:paraId="60F8EC68" w14:textId="77777777" w:rsidR="00167F7D" w:rsidRDefault="00167F7D" w:rsidP="00A4116A">
            <w:pPr>
              <w:pStyle w:val="TabEtichette"/>
              <w:rPr>
                <w:rFonts w:eastAsia="Arial Unicode MS"/>
              </w:rPr>
            </w:pPr>
          </w:p>
        </w:tc>
        <w:tc>
          <w:tcPr>
            <w:tcW w:w="1021" w:type="dxa"/>
            <w:tcBorders>
              <w:top w:val="single" w:sz="6" w:space="0" w:color="800000"/>
            </w:tcBorders>
          </w:tcPr>
          <w:p w14:paraId="4892428C" w14:textId="77777777" w:rsidR="00167F7D" w:rsidRPr="00602F8E" w:rsidRDefault="00167F7D" w:rsidP="00A4116A">
            <w:pPr>
              <w:pStyle w:val="TabNumeri"/>
            </w:pPr>
          </w:p>
        </w:tc>
        <w:tc>
          <w:tcPr>
            <w:tcW w:w="340" w:type="dxa"/>
            <w:tcBorders>
              <w:top w:val="single" w:sz="6" w:space="0" w:color="800000"/>
            </w:tcBorders>
          </w:tcPr>
          <w:p w14:paraId="2E0FDCDC" w14:textId="77777777" w:rsidR="00167F7D" w:rsidRPr="00602F8E" w:rsidRDefault="00167F7D" w:rsidP="00A4116A">
            <w:pPr>
              <w:pStyle w:val="TabNumeri"/>
            </w:pPr>
          </w:p>
        </w:tc>
        <w:tc>
          <w:tcPr>
            <w:tcW w:w="1021" w:type="dxa"/>
            <w:tcBorders>
              <w:top w:val="single" w:sz="6" w:space="0" w:color="800000"/>
            </w:tcBorders>
          </w:tcPr>
          <w:p w14:paraId="3198C242" w14:textId="77777777" w:rsidR="00167F7D" w:rsidRPr="00602F8E" w:rsidRDefault="00167F7D" w:rsidP="00A4116A">
            <w:pPr>
              <w:pStyle w:val="TabNumeri"/>
            </w:pPr>
          </w:p>
        </w:tc>
        <w:tc>
          <w:tcPr>
            <w:tcW w:w="340" w:type="dxa"/>
            <w:tcBorders>
              <w:top w:val="single" w:sz="6" w:space="0" w:color="800000"/>
            </w:tcBorders>
          </w:tcPr>
          <w:p w14:paraId="4C612BC0" w14:textId="77777777" w:rsidR="00167F7D" w:rsidRPr="00602F8E" w:rsidRDefault="00167F7D" w:rsidP="00A4116A">
            <w:pPr>
              <w:pStyle w:val="TabNumeri"/>
            </w:pPr>
          </w:p>
        </w:tc>
        <w:tc>
          <w:tcPr>
            <w:tcW w:w="1021" w:type="dxa"/>
            <w:tcBorders>
              <w:top w:val="single" w:sz="6" w:space="0" w:color="800000"/>
            </w:tcBorders>
          </w:tcPr>
          <w:p w14:paraId="46D8536B" w14:textId="77777777" w:rsidR="00167F7D" w:rsidRPr="00602F8E" w:rsidRDefault="00167F7D" w:rsidP="00A4116A">
            <w:pPr>
              <w:pStyle w:val="TabNumeri"/>
            </w:pPr>
          </w:p>
        </w:tc>
        <w:tc>
          <w:tcPr>
            <w:tcW w:w="340" w:type="dxa"/>
            <w:tcBorders>
              <w:top w:val="single" w:sz="6" w:space="0" w:color="800000"/>
            </w:tcBorders>
          </w:tcPr>
          <w:p w14:paraId="74051492" w14:textId="77777777" w:rsidR="00167F7D" w:rsidRPr="00602F8E" w:rsidRDefault="00167F7D" w:rsidP="00A4116A">
            <w:pPr>
              <w:pStyle w:val="TabNumeri"/>
            </w:pPr>
          </w:p>
        </w:tc>
        <w:tc>
          <w:tcPr>
            <w:tcW w:w="1021" w:type="dxa"/>
            <w:tcBorders>
              <w:top w:val="single" w:sz="6" w:space="0" w:color="800000"/>
            </w:tcBorders>
          </w:tcPr>
          <w:p w14:paraId="01F32A0A" w14:textId="77777777" w:rsidR="00167F7D" w:rsidRPr="00602F8E" w:rsidRDefault="00167F7D" w:rsidP="00A4116A">
            <w:pPr>
              <w:pStyle w:val="TabNumeri"/>
            </w:pPr>
          </w:p>
        </w:tc>
        <w:tc>
          <w:tcPr>
            <w:tcW w:w="340" w:type="dxa"/>
            <w:tcBorders>
              <w:top w:val="single" w:sz="6" w:space="0" w:color="800000"/>
            </w:tcBorders>
          </w:tcPr>
          <w:p w14:paraId="68A084FE" w14:textId="77777777" w:rsidR="00167F7D" w:rsidRPr="00602F8E" w:rsidRDefault="00167F7D" w:rsidP="00A4116A">
            <w:pPr>
              <w:pStyle w:val="TabNumeri"/>
            </w:pPr>
          </w:p>
        </w:tc>
        <w:tc>
          <w:tcPr>
            <w:tcW w:w="1021" w:type="dxa"/>
            <w:tcBorders>
              <w:top w:val="single" w:sz="6" w:space="0" w:color="800000"/>
            </w:tcBorders>
          </w:tcPr>
          <w:p w14:paraId="711AE96D" w14:textId="77777777" w:rsidR="00167F7D" w:rsidRPr="00602F8E" w:rsidRDefault="00167F7D" w:rsidP="00A4116A">
            <w:pPr>
              <w:pStyle w:val="TabNumeri"/>
            </w:pPr>
          </w:p>
        </w:tc>
        <w:tc>
          <w:tcPr>
            <w:tcW w:w="342" w:type="dxa"/>
            <w:tcBorders>
              <w:top w:val="single" w:sz="6" w:space="0" w:color="800000"/>
            </w:tcBorders>
          </w:tcPr>
          <w:p w14:paraId="3079F3AF" w14:textId="77777777" w:rsidR="00167F7D" w:rsidRPr="00602F8E" w:rsidRDefault="00167F7D" w:rsidP="00A4116A">
            <w:pPr>
              <w:pStyle w:val="TabNumeri"/>
            </w:pPr>
          </w:p>
        </w:tc>
      </w:tr>
      <w:tr w:rsidR="00167F7D" w14:paraId="47585E9B" w14:textId="77777777" w:rsidTr="00A4116A">
        <w:tblPrEx>
          <w:tblBorders>
            <w:bottom w:val="none" w:sz="0" w:space="0" w:color="auto"/>
          </w:tblBorders>
        </w:tblPrEx>
        <w:trPr>
          <w:cantSplit/>
          <w:trHeight w:val="255"/>
        </w:trPr>
        <w:tc>
          <w:tcPr>
            <w:tcW w:w="2552" w:type="dxa"/>
          </w:tcPr>
          <w:p w14:paraId="27958538" w14:textId="77777777" w:rsidR="00167F7D" w:rsidRPr="00233F5C" w:rsidRDefault="00167F7D" w:rsidP="00A4116A">
            <w:pPr>
              <w:pStyle w:val="TabEtichette"/>
            </w:pPr>
            <w:r w:rsidRPr="00233F5C">
              <w:t>Prodotto interno lordo</w:t>
            </w:r>
          </w:p>
        </w:tc>
        <w:tc>
          <w:tcPr>
            <w:tcW w:w="1021" w:type="dxa"/>
          </w:tcPr>
          <w:p w14:paraId="2E248658" w14:textId="77777777" w:rsidR="00167F7D" w:rsidRPr="007373C3" w:rsidRDefault="00167F7D" w:rsidP="00A4116A">
            <w:pPr>
              <w:pStyle w:val="TabNumeri"/>
            </w:pPr>
            <w:r w:rsidRPr="00340545">
              <w:t>0,3</w:t>
            </w:r>
          </w:p>
        </w:tc>
        <w:tc>
          <w:tcPr>
            <w:tcW w:w="340" w:type="dxa"/>
          </w:tcPr>
          <w:p w14:paraId="4A429F02" w14:textId="77777777" w:rsidR="00167F7D" w:rsidRPr="008A2BE0" w:rsidRDefault="00167F7D" w:rsidP="00A4116A">
            <w:pPr>
              <w:pStyle w:val="TabNumeri"/>
            </w:pPr>
          </w:p>
        </w:tc>
        <w:tc>
          <w:tcPr>
            <w:tcW w:w="1021" w:type="dxa"/>
          </w:tcPr>
          <w:p w14:paraId="78DADCAD" w14:textId="77777777" w:rsidR="00167F7D" w:rsidRPr="00811B57" w:rsidRDefault="00167F7D" w:rsidP="00A4116A">
            <w:pPr>
              <w:pStyle w:val="TabNumeri"/>
            </w:pPr>
            <w:r w:rsidRPr="00F255AA">
              <w:t>0,5</w:t>
            </w:r>
          </w:p>
        </w:tc>
        <w:tc>
          <w:tcPr>
            <w:tcW w:w="340" w:type="dxa"/>
          </w:tcPr>
          <w:p w14:paraId="7F50C797" w14:textId="77777777" w:rsidR="00167F7D" w:rsidRPr="00811B57" w:rsidRDefault="00167F7D" w:rsidP="00A4116A">
            <w:pPr>
              <w:pStyle w:val="TabNumeri"/>
            </w:pPr>
          </w:p>
        </w:tc>
        <w:tc>
          <w:tcPr>
            <w:tcW w:w="1021" w:type="dxa"/>
          </w:tcPr>
          <w:p w14:paraId="5905D7AD" w14:textId="77777777" w:rsidR="00167F7D" w:rsidRPr="00A319C0" w:rsidRDefault="00167F7D" w:rsidP="00A4116A">
            <w:pPr>
              <w:pStyle w:val="TabNumeri"/>
            </w:pPr>
            <w:r w:rsidRPr="00413582">
              <w:t>0,4</w:t>
            </w:r>
          </w:p>
        </w:tc>
        <w:tc>
          <w:tcPr>
            <w:tcW w:w="340" w:type="dxa"/>
          </w:tcPr>
          <w:p w14:paraId="502FF05F" w14:textId="77777777" w:rsidR="00167F7D" w:rsidRPr="00A319C0" w:rsidRDefault="00167F7D" w:rsidP="00A4116A">
            <w:pPr>
              <w:pStyle w:val="TabNumeri"/>
            </w:pPr>
          </w:p>
        </w:tc>
        <w:tc>
          <w:tcPr>
            <w:tcW w:w="1021" w:type="dxa"/>
          </w:tcPr>
          <w:p w14:paraId="5A255543" w14:textId="77777777" w:rsidR="00167F7D" w:rsidRPr="00D32E0A" w:rsidRDefault="00167F7D" w:rsidP="00A4116A">
            <w:pPr>
              <w:pStyle w:val="TabNumeri"/>
            </w:pPr>
            <w:r>
              <w:t>0,5</w:t>
            </w:r>
          </w:p>
        </w:tc>
        <w:tc>
          <w:tcPr>
            <w:tcW w:w="340" w:type="dxa"/>
          </w:tcPr>
          <w:p w14:paraId="6544C2A1" w14:textId="77777777" w:rsidR="00167F7D" w:rsidRPr="00D32E0A" w:rsidRDefault="00167F7D" w:rsidP="00A4116A">
            <w:pPr>
              <w:pStyle w:val="TabNumeri"/>
            </w:pPr>
          </w:p>
        </w:tc>
        <w:tc>
          <w:tcPr>
            <w:tcW w:w="1021" w:type="dxa"/>
          </w:tcPr>
          <w:p w14:paraId="19EB8BC8" w14:textId="77777777" w:rsidR="00167F7D" w:rsidRPr="00EE2A60" w:rsidRDefault="00167F7D" w:rsidP="00A4116A">
            <w:pPr>
              <w:pStyle w:val="TabNumeri"/>
            </w:pPr>
            <w:r w:rsidRPr="007D385C">
              <w:t>0,1</w:t>
            </w:r>
          </w:p>
        </w:tc>
        <w:tc>
          <w:tcPr>
            <w:tcW w:w="342" w:type="dxa"/>
          </w:tcPr>
          <w:p w14:paraId="7C5E43B5" w14:textId="77777777" w:rsidR="00167F7D" w:rsidRPr="00EE2A60" w:rsidRDefault="00167F7D" w:rsidP="00A4116A">
            <w:pPr>
              <w:pStyle w:val="TabNumeri"/>
            </w:pPr>
            <w:r w:rsidRPr="00EE2A60">
              <w:t>[7]</w:t>
            </w:r>
          </w:p>
        </w:tc>
      </w:tr>
      <w:tr w:rsidR="00167F7D" w14:paraId="68854980" w14:textId="77777777" w:rsidTr="00A4116A">
        <w:tblPrEx>
          <w:tblBorders>
            <w:bottom w:val="none" w:sz="0" w:space="0" w:color="auto"/>
          </w:tblBorders>
        </w:tblPrEx>
        <w:trPr>
          <w:cantSplit/>
          <w:trHeight w:val="255"/>
        </w:trPr>
        <w:tc>
          <w:tcPr>
            <w:tcW w:w="2552" w:type="dxa"/>
            <w:shd w:val="clear" w:color="auto" w:fill="EAF1DD" w:themeFill="accent3" w:themeFillTint="33"/>
          </w:tcPr>
          <w:p w14:paraId="243230DC" w14:textId="77777777" w:rsidR="00167F7D" w:rsidRPr="00233F5C" w:rsidRDefault="00167F7D" w:rsidP="00A4116A">
            <w:pPr>
              <w:pStyle w:val="TabEtichette"/>
            </w:pPr>
            <w:r w:rsidRPr="00233F5C">
              <w:t>Importazioni</w:t>
            </w:r>
          </w:p>
        </w:tc>
        <w:tc>
          <w:tcPr>
            <w:tcW w:w="1021" w:type="dxa"/>
            <w:shd w:val="clear" w:color="auto" w:fill="EAF1DD" w:themeFill="accent3" w:themeFillTint="33"/>
          </w:tcPr>
          <w:p w14:paraId="34892584" w14:textId="77777777" w:rsidR="00167F7D" w:rsidRPr="00083085" w:rsidRDefault="00167F7D" w:rsidP="00A4116A">
            <w:pPr>
              <w:pStyle w:val="TabNumeri"/>
            </w:pPr>
            <w:r w:rsidRPr="00340545">
              <w:t>-0,4</w:t>
            </w:r>
          </w:p>
        </w:tc>
        <w:tc>
          <w:tcPr>
            <w:tcW w:w="340" w:type="dxa"/>
            <w:shd w:val="clear" w:color="auto" w:fill="EAF1DD" w:themeFill="accent3" w:themeFillTint="33"/>
          </w:tcPr>
          <w:p w14:paraId="0C70F845" w14:textId="77777777" w:rsidR="00167F7D" w:rsidRPr="008A2BE0" w:rsidRDefault="00167F7D" w:rsidP="00A4116A">
            <w:pPr>
              <w:pStyle w:val="TabNumeri"/>
            </w:pPr>
          </w:p>
        </w:tc>
        <w:tc>
          <w:tcPr>
            <w:tcW w:w="1021" w:type="dxa"/>
            <w:shd w:val="clear" w:color="auto" w:fill="EAF1DD" w:themeFill="accent3" w:themeFillTint="33"/>
          </w:tcPr>
          <w:p w14:paraId="64F13533" w14:textId="77777777" w:rsidR="00167F7D" w:rsidRPr="00811B57" w:rsidRDefault="00167F7D" w:rsidP="00A4116A">
            <w:pPr>
              <w:pStyle w:val="TabNumeri"/>
            </w:pPr>
            <w:r w:rsidRPr="00F255AA">
              <w:t>3,1</w:t>
            </w:r>
          </w:p>
        </w:tc>
        <w:tc>
          <w:tcPr>
            <w:tcW w:w="340" w:type="dxa"/>
            <w:shd w:val="clear" w:color="auto" w:fill="EAF1DD" w:themeFill="accent3" w:themeFillTint="33"/>
          </w:tcPr>
          <w:p w14:paraId="1492BFF8" w14:textId="77777777" w:rsidR="00167F7D" w:rsidRPr="00811B57" w:rsidRDefault="00167F7D" w:rsidP="00A4116A">
            <w:pPr>
              <w:pStyle w:val="TabNumeri"/>
            </w:pPr>
          </w:p>
        </w:tc>
        <w:tc>
          <w:tcPr>
            <w:tcW w:w="1021" w:type="dxa"/>
            <w:shd w:val="clear" w:color="auto" w:fill="EAF1DD" w:themeFill="accent3" w:themeFillTint="33"/>
          </w:tcPr>
          <w:p w14:paraId="5CDB49C9" w14:textId="77777777" w:rsidR="00167F7D" w:rsidRPr="00A319C0" w:rsidRDefault="00167F7D" w:rsidP="00A4116A">
            <w:pPr>
              <w:pStyle w:val="TabNumeri"/>
            </w:pPr>
            <w:r w:rsidRPr="00413582">
              <w:t>1,5</w:t>
            </w:r>
          </w:p>
        </w:tc>
        <w:tc>
          <w:tcPr>
            <w:tcW w:w="340" w:type="dxa"/>
            <w:shd w:val="clear" w:color="auto" w:fill="EAF1DD" w:themeFill="accent3" w:themeFillTint="33"/>
          </w:tcPr>
          <w:p w14:paraId="63AA82CD" w14:textId="77777777" w:rsidR="00167F7D" w:rsidRPr="00A319C0" w:rsidRDefault="00167F7D" w:rsidP="00A4116A">
            <w:pPr>
              <w:pStyle w:val="TabNumeri"/>
            </w:pPr>
          </w:p>
        </w:tc>
        <w:tc>
          <w:tcPr>
            <w:tcW w:w="1021" w:type="dxa"/>
            <w:shd w:val="clear" w:color="auto" w:fill="EAF1DD" w:themeFill="accent3" w:themeFillTint="33"/>
          </w:tcPr>
          <w:p w14:paraId="1F68EA0F" w14:textId="77777777" w:rsidR="00167F7D" w:rsidRPr="00D32E0A" w:rsidRDefault="00167F7D" w:rsidP="00A4116A">
            <w:pPr>
              <w:pStyle w:val="TabNumeri"/>
            </w:pPr>
            <w:r>
              <w:t>2,3</w:t>
            </w:r>
          </w:p>
        </w:tc>
        <w:tc>
          <w:tcPr>
            <w:tcW w:w="340" w:type="dxa"/>
            <w:shd w:val="clear" w:color="auto" w:fill="EAF1DD" w:themeFill="accent3" w:themeFillTint="33"/>
          </w:tcPr>
          <w:p w14:paraId="16E81765" w14:textId="77777777" w:rsidR="00167F7D" w:rsidRPr="00D32E0A" w:rsidRDefault="00167F7D" w:rsidP="00A4116A">
            <w:pPr>
              <w:pStyle w:val="TabNumeri"/>
            </w:pPr>
          </w:p>
        </w:tc>
        <w:tc>
          <w:tcPr>
            <w:tcW w:w="1021" w:type="dxa"/>
            <w:shd w:val="clear" w:color="auto" w:fill="EAF1DD" w:themeFill="accent3" w:themeFillTint="33"/>
          </w:tcPr>
          <w:p w14:paraId="60D63E47" w14:textId="77777777" w:rsidR="00167F7D" w:rsidRPr="00EE2A60" w:rsidRDefault="00167F7D" w:rsidP="00A4116A">
            <w:pPr>
              <w:pStyle w:val="TabNumeri"/>
            </w:pPr>
            <w:r w:rsidRPr="007D385C">
              <w:t>1,4</w:t>
            </w:r>
          </w:p>
        </w:tc>
        <w:tc>
          <w:tcPr>
            <w:tcW w:w="342" w:type="dxa"/>
            <w:shd w:val="clear" w:color="auto" w:fill="EAF1DD" w:themeFill="accent3" w:themeFillTint="33"/>
          </w:tcPr>
          <w:p w14:paraId="162019AA" w14:textId="77777777" w:rsidR="00167F7D" w:rsidRPr="00EE2A60" w:rsidRDefault="00167F7D" w:rsidP="00A4116A">
            <w:pPr>
              <w:pStyle w:val="TabNumeri"/>
            </w:pPr>
            <w:r w:rsidRPr="00EE2A60">
              <w:t>[7]</w:t>
            </w:r>
          </w:p>
        </w:tc>
      </w:tr>
      <w:tr w:rsidR="00167F7D" w14:paraId="5744862A" w14:textId="77777777" w:rsidTr="00A4116A">
        <w:tblPrEx>
          <w:tblBorders>
            <w:bottom w:val="none" w:sz="0" w:space="0" w:color="auto"/>
          </w:tblBorders>
        </w:tblPrEx>
        <w:trPr>
          <w:cantSplit/>
          <w:trHeight w:val="255"/>
        </w:trPr>
        <w:tc>
          <w:tcPr>
            <w:tcW w:w="2552" w:type="dxa"/>
          </w:tcPr>
          <w:p w14:paraId="5C619CEC" w14:textId="77777777" w:rsidR="00167F7D" w:rsidRPr="00233F5C" w:rsidRDefault="00167F7D" w:rsidP="00A4116A">
            <w:pPr>
              <w:pStyle w:val="TabEtichette"/>
            </w:pPr>
            <w:r w:rsidRPr="00233F5C">
              <w:t>Esportazioni</w:t>
            </w:r>
          </w:p>
        </w:tc>
        <w:tc>
          <w:tcPr>
            <w:tcW w:w="1021" w:type="dxa"/>
          </w:tcPr>
          <w:p w14:paraId="27CDF961" w14:textId="77777777" w:rsidR="00167F7D" w:rsidRPr="00083085" w:rsidRDefault="00167F7D" w:rsidP="00A4116A">
            <w:pPr>
              <w:pStyle w:val="TabNumeri"/>
            </w:pPr>
            <w:r w:rsidRPr="00340545">
              <w:t>1,2</w:t>
            </w:r>
          </w:p>
        </w:tc>
        <w:tc>
          <w:tcPr>
            <w:tcW w:w="340" w:type="dxa"/>
          </w:tcPr>
          <w:p w14:paraId="23E4CA71" w14:textId="77777777" w:rsidR="00167F7D" w:rsidRPr="008A2BE0" w:rsidRDefault="00167F7D" w:rsidP="00A4116A">
            <w:pPr>
              <w:pStyle w:val="TabNumeri"/>
            </w:pPr>
          </w:p>
        </w:tc>
        <w:tc>
          <w:tcPr>
            <w:tcW w:w="1021" w:type="dxa"/>
          </w:tcPr>
          <w:p w14:paraId="1B37207A" w14:textId="77777777" w:rsidR="00167F7D" w:rsidRPr="00811B57" w:rsidRDefault="00167F7D" w:rsidP="00A4116A">
            <w:pPr>
              <w:pStyle w:val="TabNumeri"/>
            </w:pPr>
            <w:r w:rsidRPr="00F255AA">
              <w:t>3,2</w:t>
            </w:r>
          </w:p>
        </w:tc>
        <w:tc>
          <w:tcPr>
            <w:tcW w:w="340" w:type="dxa"/>
          </w:tcPr>
          <w:p w14:paraId="2CE5B07A" w14:textId="77777777" w:rsidR="00167F7D" w:rsidRPr="00811B57" w:rsidRDefault="00167F7D" w:rsidP="00A4116A">
            <w:pPr>
              <w:pStyle w:val="TabNumeri"/>
            </w:pPr>
          </w:p>
        </w:tc>
        <w:tc>
          <w:tcPr>
            <w:tcW w:w="1021" w:type="dxa"/>
          </w:tcPr>
          <w:p w14:paraId="02B00F17" w14:textId="77777777" w:rsidR="00167F7D" w:rsidRPr="00A319C0" w:rsidRDefault="00167F7D" w:rsidP="00A4116A">
            <w:pPr>
              <w:pStyle w:val="TabNumeri"/>
            </w:pPr>
            <w:r w:rsidRPr="00413582">
              <w:t>1,3</w:t>
            </w:r>
          </w:p>
        </w:tc>
        <w:tc>
          <w:tcPr>
            <w:tcW w:w="340" w:type="dxa"/>
          </w:tcPr>
          <w:p w14:paraId="373FA5DF" w14:textId="77777777" w:rsidR="00167F7D" w:rsidRPr="00A319C0" w:rsidRDefault="00167F7D" w:rsidP="00A4116A">
            <w:pPr>
              <w:pStyle w:val="TabNumeri"/>
            </w:pPr>
          </w:p>
        </w:tc>
        <w:tc>
          <w:tcPr>
            <w:tcW w:w="1021" w:type="dxa"/>
          </w:tcPr>
          <w:p w14:paraId="1FCB1E8D" w14:textId="77777777" w:rsidR="00167F7D" w:rsidRPr="00D32E0A" w:rsidRDefault="00167F7D" w:rsidP="00A4116A">
            <w:pPr>
              <w:pStyle w:val="TabNumeri"/>
            </w:pPr>
            <w:r>
              <w:t>1,7</w:t>
            </w:r>
          </w:p>
        </w:tc>
        <w:tc>
          <w:tcPr>
            <w:tcW w:w="340" w:type="dxa"/>
          </w:tcPr>
          <w:p w14:paraId="4E5FDD17" w14:textId="77777777" w:rsidR="00167F7D" w:rsidRPr="00D32E0A" w:rsidRDefault="00167F7D" w:rsidP="00A4116A">
            <w:pPr>
              <w:pStyle w:val="TabNumeri"/>
            </w:pPr>
          </w:p>
        </w:tc>
        <w:tc>
          <w:tcPr>
            <w:tcW w:w="1021" w:type="dxa"/>
          </w:tcPr>
          <w:p w14:paraId="4EB19B57" w14:textId="77777777" w:rsidR="00167F7D" w:rsidRPr="00EE2A60" w:rsidRDefault="00167F7D" w:rsidP="00A4116A">
            <w:pPr>
              <w:pStyle w:val="TabNumeri"/>
            </w:pPr>
            <w:r w:rsidRPr="007D385C">
              <w:t>1,2</w:t>
            </w:r>
          </w:p>
        </w:tc>
        <w:tc>
          <w:tcPr>
            <w:tcW w:w="342" w:type="dxa"/>
          </w:tcPr>
          <w:p w14:paraId="0EA1263C" w14:textId="77777777" w:rsidR="00167F7D" w:rsidRPr="00EE2A60" w:rsidRDefault="00167F7D" w:rsidP="00A4116A">
            <w:pPr>
              <w:pStyle w:val="TabNumeri"/>
            </w:pPr>
            <w:r w:rsidRPr="00EE2A60">
              <w:t>[7]</w:t>
            </w:r>
          </w:p>
        </w:tc>
      </w:tr>
      <w:tr w:rsidR="00167F7D" w14:paraId="424DEC70" w14:textId="77777777" w:rsidTr="00A4116A">
        <w:tblPrEx>
          <w:tblBorders>
            <w:bottom w:val="none" w:sz="0" w:space="0" w:color="auto"/>
          </w:tblBorders>
        </w:tblPrEx>
        <w:trPr>
          <w:cantSplit/>
          <w:trHeight w:val="255"/>
        </w:trPr>
        <w:tc>
          <w:tcPr>
            <w:tcW w:w="2552" w:type="dxa"/>
            <w:shd w:val="clear" w:color="auto" w:fill="EAF1DD" w:themeFill="accent3" w:themeFillTint="33"/>
          </w:tcPr>
          <w:p w14:paraId="7ADBE633" w14:textId="77777777" w:rsidR="00167F7D" w:rsidRPr="00233F5C" w:rsidRDefault="00167F7D" w:rsidP="00A4116A">
            <w:pPr>
              <w:pStyle w:val="TabEtichette"/>
            </w:pPr>
            <w:r w:rsidRPr="00233F5C">
              <w:t>Domanda interna</w:t>
            </w:r>
          </w:p>
        </w:tc>
        <w:tc>
          <w:tcPr>
            <w:tcW w:w="1021" w:type="dxa"/>
            <w:shd w:val="clear" w:color="auto" w:fill="EAF1DD" w:themeFill="accent3" w:themeFillTint="33"/>
          </w:tcPr>
          <w:p w14:paraId="611B36C6" w14:textId="77777777" w:rsidR="00167F7D" w:rsidRPr="00083085" w:rsidRDefault="00167F7D" w:rsidP="00A4116A">
            <w:pPr>
              <w:pStyle w:val="TabNumeri"/>
            </w:pPr>
            <w:proofErr w:type="spellStart"/>
            <w:r w:rsidRPr="00340545">
              <w:t>n.d.</w:t>
            </w:r>
            <w:proofErr w:type="spellEnd"/>
          </w:p>
        </w:tc>
        <w:tc>
          <w:tcPr>
            <w:tcW w:w="340" w:type="dxa"/>
            <w:shd w:val="clear" w:color="auto" w:fill="EAF1DD" w:themeFill="accent3" w:themeFillTint="33"/>
          </w:tcPr>
          <w:p w14:paraId="6C113AB2" w14:textId="77777777" w:rsidR="00167F7D" w:rsidRPr="008A2BE0" w:rsidRDefault="00167F7D" w:rsidP="00A4116A">
            <w:pPr>
              <w:pStyle w:val="TabNumeri"/>
            </w:pPr>
          </w:p>
        </w:tc>
        <w:tc>
          <w:tcPr>
            <w:tcW w:w="1021" w:type="dxa"/>
            <w:shd w:val="clear" w:color="auto" w:fill="EAF1DD" w:themeFill="accent3" w:themeFillTint="33"/>
          </w:tcPr>
          <w:p w14:paraId="6C05A6AA" w14:textId="77777777" w:rsidR="00167F7D" w:rsidRPr="00811B57" w:rsidRDefault="00167F7D" w:rsidP="00A4116A">
            <w:pPr>
              <w:pStyle w:val="TabNumeri"/>
            </w:pPr>
            <w:r w:rsidRPr="00F255AA">
              <w:t>0,4</w:t>
            </w:r>
          </w:p>
        </w:tc>
        <w:tc>
          <w:tcPr>
            <w:tcW w:w="340" w:type="dxa"/>
            <w:shd w:val="clear" w:color="auto" w:fill="EAF1DD" w:themeFill="accent3" w:themeFillTint="33"/>
          </w:tcPr>
          <w:p w14:paraId="2FD7A618" w14:textId="77777777" w:rsidR="00167F7D" w:rsidRPr="00811B57" w:rsidRDefault="00167F7D" w:rsidP="00A4116A">
            <w:pPr>
              <w:pStyle w:val="TabNumeri"/>
            </w:pPr>
          </w:p>
        </w:tc>
        <w:tc>
          <w:tcPr>
            <w:tcW w:w="1021" w:type="dxa"/>
            <w:shd w:val="clear" w:color="auto" w:fill="EAF1DD" w:themeFill="accent3" w:themeFillTint="33"/>
          </w:tcPr>
          <w:p w14:paraId="7F0BB491" w14:textId="77777777" w:rsidR="00167F7D" w:rsidRPr="00A319C0" w:rsidRDefault="00167F7D" w:rsidP="00A4116A">
            <w:pPr>
              <w:pStyle w:val="TabNumeri"/>
            </w:pPr>
            <w:r w:rsidRPr="00413582">
              <w:t>0,4</w:t>
            </w:r>
          </w:p>
        </w:tc>
        <w:tc>
          <w:tcPr>
            <w:tcW w:w="340" w:type="dxa"/>
            <w:shd w:val="clear" w:color="auto" w:fill="EAF1DD" w:themeFill="accent3" w:themeFillTint="33"/>
          </w:tcPr>
          <w:p w14:paraId="7F1B144F" w14:textId="77777777" w:rsidR="00167F7D" w:rsidRPr="00A319C0" w:rsidRDefault="00167F7D" w:rsidP="00A4116A">
            <w:pPr>
              <w:pStyle w:val="TabNumeri"/>
            </w:pPr>
          </w:p>
        </w:tc>
        <w:tc>
          <w:tcPr>
            <w:tcW w:w="1021" w:type="dxa"/>
            <w:shd w:val="clear" w:color="auto" w:fill="EAF1DD" w:themeFill="accent3" w:themeFillTint="33"/>
          </w:tcPr>
          <w:p w14:paraId="4CE721CB" w14:textId="77777777" w:rsidR="00167F7D" w:rsidRPr="00D32E0A" w:rsidRDefault="00167F7D" w:rsidP="00A4116A">
            <w:pPr>
              <w:pStyle w:val="TabNumeri"/>
            </w:pPr>
            <w:proofErr w:type="spellStart"/>
            <w:r>
              <w:t>n.d.</w:t>
            </w:r>
            <w:proofErr w:type="spellEnd"/>
          </w:p>
        </w:tc>
        <w:tc>
          <w:tcPr>
            <w:tcW w:w="340" w:type="dxa"/>
            <w:shd w:val="clear" w:color="auto" w:fill="EAF1DD" w:themeFill="accent3" w:themeFillTint="33"/>
          </w:tcPr>
          <w:p w14:paraId="5A0855C4" w14:textId="77777777" w:rsidR="00167F7D" w:rsidRPr="00D32E0A" w:rsidRDefault="00167F7D" w:rsidP="00A4116A">
            <w:pPr>
              <w:pStyle w:val="TabNumeri"/>
            </w:pPr>
          </w:p>
        </w:tc>
        <w:tc>
          <w:tcPr>
            <w:tcW w:w="1021" w:type="dxa"/>
            <w:shd w:val="clear" w:color="auto" w:fill="EAF1DD" w:themeFill="accent3" w:themeFillTint="33"/>
          </w:tcPr>
          <w:p w14:paraId="0CCF250F" w14:textId="77777777" w:rsidR="00167F7D" w:rsidRPr="00EE2A60" w:rsidRDefault="00167F7D" w:rsidP="00A4116A">
            <w:pPr>
              <w:pStyle w:val="TabNumeri"/>
            </w:pPr>
            <w:r w:rsidRPr="007D385C">
              <w:t>0,2</w:t>
            </w:r>
          </w:p>
        </w:tc>
        <w:tc>
          <w:tcPr>
            <w:tcW w:w="342" w:type="dxa"/>
            <w:shd w:val="clear" w:color="auto" w:fill="EAF1DD" w:themeFill="accent3" w:themeFillTint="33"/>
          </w:tcPr>
          <w:p w14:paraId="01CD76A9" w14:textId="77777777" w:rsidR="00167F7D" w:rsidRPr="00EE2A60" w:rsidRDefault="00167F7D" w:rsidP="00A4116A">
            <w:pPr>
              <w:pStyle w:val="TabNumeri"/>
            </w:pPr>
            <w:r w:rsidRPr="00EE2A60">
              <w:t>[7]</w:t>
            </w:r>
          </w:p>
        </w:tc>
      </w:tr>
      <w:tr w:rsidR="00167F7D" w14:paraId="28B46853" w14:textId="77777777" w:rsidTr="00A4116A">
        <w:tblPrEx>
          <w:tblBorders>
            <w:bottom w:val="none" w:sz="0" w:space="0" w:color="auto"/>
          </w:tblBorders>
        </w:tblPrEx>
        <w:trPr>
          <w:cantSplit/>
          <w:trHeight w:val="255"/>
        </w:trPr>
        <w:tc>
          <w:tcPr>
            <w:tcW w:w="2552" w:type="dxa"/>
          </w:tcPr>
          <w:p w14:paraId="427463A0" w14:textId="77777777" w:rsidR="00167F7D" w:rsidRPr="00233F5C" w:rsidRDefault="00167F7D" w:rsidP="00A4116A">
            <w:pPr>
              <w:pStyle w:val="TabEtichette"/>
            </w:pPr>
            <w:r w:rsidRPr="00233F5C">
              <w:t xml:space="preserve">Consumi </w:t>
            </w:r>
            <w:r>
              <w:t xml:space="preserve">delle </w:t>
            </w:r>
            <w:r w:rsidRPr="00233F5C">
              <w:t>famiglie</w:t>
            </w:r>
          </w:p>
        </w:tc>
        <w:tc>
          <w:tcPr>
            <w:tcW w:w="1021" w:type="dxa"/>
          </w:tcPr>
          <w:p w14:paraId="061EC0ED" w14:textId="77777777" w:rsidR="00167F7D" w:rsidRPr="00083085" w:rsidRDefault="00167F7D" w:rsidP="00A4116A">
            <w:pPr>
              <w:pStyle w:val="TabNumeri"/>
            </w:pPr>
            <w:r w:rsidRPr="00340545">
              <w:t>0,4</w:t>
            </w:r>
          </w:p>
        </w:tc>
        <w:tc>
          <w:tcPr>
            <w:tcW w:w="340" w:type="dxa"/>
          </w:tcPr>
          <w:p w14:paraId="64DC08BB" w14:textId="77777777" w:rsidR="00167F7D" w:rsidRPr="008A2BE0" w:rsidRDefault="00167F7D" w:rsidP="00A4116A">
            <w:pPr>
              <w:pStyle w:val="TabNumeri"/>
            </w:pPr>
          </w:p>
        </w:tc>
        <w:tc>
          <w:tcPr>
            <w:tcW w:w="1021" w:type="dxa"/>
          </w:tcPr>
          <w:p w14:paraId="6847D675" w14:textId="77777777" w:rsidR="00167F7D" w:rsidRPr="00811B57" w:rsidRDefault="00167F7D" w:rsidP="00A4116A">
            <w:pPr>
              <w:pStyle w:val="TabNumeri"/>
            </w:pPr>
            <w:r w:rsidRPr="00F255AA">
              <w:t>0,4</w:t>
            </w:r>
          </w:p>
        </w:tc>
        <w:tc>
          <w:tcPr>
            <w:tcW w:w="340" w:type="dxa"/>
          </w:tcPr>
          <w:p w14:paraId="26FB2F41" w14:textId="77777777" w:rsidR="00167F7D" w:rsidRPr="00811B57" w:rsidRDefault="00167F7D" w:rsidP="00A4116A">
            <w:pPr>
              <w:pStyle w:val="TabNumeri"/>
            </w:pPr>
          </w:p>
        </w:tc>
        <w:tc>
          <w:tcPr>
            <w:tcW w:w="1021" w:type="dxa"/>
          </w:tcPr>
          <w:p w14:paraId="0D50A7E8" w14:textId="77777777" w:rsidR="00167F7D" w:rsidRPr="00A319C0" w:rsidRDefault="00167F7D" w:rsidP="00A4116A">
            <w:pPr>
              <w:pStyle w:val="TabNumeri"/>
            </w:pPr>
            <w:r w:rsidRPr="00413582">
              <w:t>0,4</w:t>
            </w:r>
          </w:p>
        </w:tc>
        <w:tc>
          <w:tcPr>
            <w:tcW w:w="340" w:type="dxa"/>
          </w:tcPr>
          <w:p w14:paraId="6A463A35" w14:textId="77777777" w:rsidR="00167F7D" w:rsidRPr="00A319C0" w:rsidRDefault="00167F7D" w:rsidP="00A4116A">
            <w:pPr>
              <w:pStyle w:val="TabNumeri"/>
            </w:pPr>
          </w:p>
        </w:tc>
        <w:tc>
          <w:tcPr>
            <w:tcW w:w="1021" w:type="dxa"/>
          </w:tcPr>
          <w:p w14:paraId="2333F5AC" w14:textId="77777777" w:rsidR="00167F7D" w:rsidRPr="00D32E0A" w:rsidRDefault="00167F7D" w:rsidP="00A4116A">
            <w:pPr>
              <w:pStyle w:val="TabNumeri"/>
            </w:pPr>
            <w:r>
              <w:t>0,8</w:t>
            </w:r>
          </w:p>
        </w:tc>
        <w:tc>
          <w:tcPr>
            <w:tcW w:w="340" w:type="dxa"/>
          </w:tcPr>
          <w:p w14:paraId="1B6488F9" w14:textId="77777777" w:rsidR="00167F7D" w:rsidRPr="00D32E0A" w:rsidRDefault="00167F7D" w:rsidP="00A4116A">
            <w:pPr>
              <w:pStyle w:val="TabNumeri"/>
            </w:pPr>
          </w:p>
        </w:tc>
        <w:tc>
          <w:tcPr>
            <w:tcW w:w="1021" w:type="dxa"/>
          </w:tcPr>
          <w:p w14:paraId="7AE788DA" w14:textId="77777777" w:rsidR="00167F7D" w:rsidRPr="00EE2A60" w:rsidRDefault="00167F7D" w:rsidP="00A4116A">
            <w:pPr>
              <w:pStyle w:val="TabNumeri"/>
            </w:pPr>
            <w:r w:rsidRPr="007D385C">
              <w:t>0,6</w:t>
            </w:r>
          </w:p>
        </w:tc>
        <w:tc>
          <w:tcPr>
            <w:tcW w:w="342" w:type="dxa"/>
          </w:tcPr>
          <w:p w14:paraId="1F7A0F94" w14:textId="77777777" w:rsidR="00167F7D" w:rsidRPr="00EE2A60" w:rsidRDefault="00167F7D" w:rsidP="00A4116A">
            <w:pPr>
              <w:pStyle w:val="TabNumeri"/>
            </w:pPr>
            <w:r w:rsidRPr="00EE2A60">
              <w:t>[7]</w:t>
            </w:r>
          </w:p>
        </w:tc>
      </w:tr>
      <w:tr w:rsidR="00167F7D" w14:paraId="3759298B" w14:textId="77777777" w:rsidTr="00A4116A">
        <w:tblPrEx>
          <w:tblBorders>
            <w:bottom w:val="none" w:sz="0" w:space="0" w:color="auto"/>
          </w:tblBorders>
        </w:tblPrEx>
        <w:trPr>
          <w:cantSplit/>
          <w:trHeight w:val="255"/>
        </w:trPr>
        <w:tc>
          <w:tcPr>
            <w:tcW w:w="2552" w:type="dxa"/>
            <w:shd w:val="clear" w:color="auto" w:fill="EAF1DD" w:themeFill="accent3" w:themeFillTint="33"/>
          </w:tcPr>
          <w:p w14:paraId="2C12FD8A" w14:textId="77777777" w:rsidR="00167F7D" w:rsidRPr="00233F5C" w:rsidRDefault="00167F7D" w:rsidP="00A4116A">
            <w:pPr>
              <w:pStyle w:val="TabEtichette"/>
            </w:pPr>
            <w:r w:rsidRPr="00233F5C">
              <w:t>Consumi collettivi</w:t>
            </w:r>
          </w:p>
        </w:tc>
        <w:tc>
          <w:tcPr>
            <w:tcW w:w="1021" w:type="dxa"/>
            <w:shd w:val="clear" w:color="auto" w:fill="EAF1DD" w:themeFill="accent3" w:themeFillTint="33"/>
          </w:tcPr>
          <w:p w14:paraId="6F955240" w14:textId="77777777" w:rsidR="00167F7D" w:rsidRPr="00083085" w:rsidRDefault="00167F7D" w:rsidP="00A4116A">
            <w:pPr>
              <w:pStyle w:val="TabNumeri"/>
            </w:pPr>
            <w:r w:rsidRPr="00340545">
              <w:t>-0,3</w:t>
            </w:r>
          </w:p>
        </w:tc>
        <w:tc>
          <w:tcPr>
            <w:tcW w:w="340" w:type="dxa"/>
            <w:shd w:val="clear" w:color="auto" w:fill="EAF1DD" w:themeFill="accent3" w:themeFillTint="33"/>
          </w:tcPr>
          <w:p w14:paraId="4E814727" w14:textId="77777777" w:rsidR="00167F7D" w:rsidRPr="008A2BE0" w:rsidRDefault="00167F7D" w:rsidP="00A4116A">
            <w:pPr>
              <w:pStyle w:val="TabNumeri"/>
            </w:pPr>
          </w:p>
        </w:tc>
        <w:tc>
          <w:tcPr>
            <w:tcW w:w="1021" w:type="dxa"/>
            <w:shd w:val="clear" w:color="auto" w:fill="EAF1DD" w:themeFill="accent3" w:themeFillTint="33"/>
          </w:tcPr>
          <w:p w14:paraId="50937E35" w14:textId="77777777" w:rsidR="00167F7D" w:rsidRPr="00811B57" w:rsidRDefault="00167F7D" w:rsidP="00A4116A">
            <w:pPr>
              <w:pStyle w:val="TabNumeri"/>
            </w:pPr>
            <w:r w:rsidRPr="00F255AA">
              <w:t>0,4</w:t>
            </w:r>
          </w:p>
        </w:tc>
        <w:tc>
          <w:tcPr>
            <w:tcW w:w="340" w:type="dxa"/>
            <w:shd w:val="clear" w:color="auto" w:fill="EAF1DD" w:themeFill="accent3" w:themeFillTint="33"/>
          </w:tcPr>
          <w:p w14:paraId="455D8554" w14:textId="77777777" w:rsidR="00167F7D" w:rsidRPr="00811B57" w:rsidRDefault="00167F7D" w:rsidP="00A4116A">
            <w:pPr>
              <w:pStyle w:val="TabNumeri"/>
            </w:pPr>
          </w:p>
        </w:tc>
        <w:tc>
          <w:tcPr>
            <w:tcW w:w="1021" w:type="dxa"/>
            <w:shd w:val="clear" w:color="auto" w:fill="EAF1DD" w:themeFill="accent3" w:themeFillTint="33"/>
          </w:tcPr>
          <w:p w14:paraId="2FD0CBB2" w14:textId="77777777" w:rsidR="00167F7D" w:rsidRPr="00A319C0" w:rsidRDefault="00167F7D" w:rsidP="00A4116A">
            <w:pPr>
              <w:pStyle w:val="TabNumeri"/>
            </w:pPr>
            <w:r w:rsidRPr="00413582">
              <w:t>0,3</w:t>
            </w:r>
          </w:p>
        </w:tc>
        <w:tc>
          <w:tcPr>
            <w:tcW w:w="340" w:type="dxa"/>
            <w:shd w:val="clear" w:color="auto" w:fill="EAF1DD" w:themeFill="accent3" w:themeFillTint="33"/>
          </w:tcPr>
          <w:p w14:paraId="78233FE1" w14:textId="77777777" w:rsidR="00167F7D" w:rsidRPr="00A319C0" w:rsidRDefault="00167F7D" w:rsidP="00A4116A">
            <w:pPr>
              <w:pStyle w:val="TabNumeri"/>
            </w:pPr>
          </w:p>
        </w:tc>
        <w:tc>
          <w:tcPr>
            <w:tcW w:w="1021" w:type="dxa"/>
            <w:shd w:val="clear" w:color="auto" w:fill="EAF1DD" w:themeFill="accent3" w:themeFillTint="33"/>
          </w:tcPr>
          <w:p w14:paraId="7B56A13B" w14:textId="77777777" w:rsidR="00167F7D" w:rsidRPr="00D32E0A" w:rsidRDefault="00167F7D" w:rsidP="00A4116A">
            <w:pPr>
              <w:pStyle w:val="TabNumeri"/>
            </w:pPr>
            <w:r>
              <w:t>0,3</w:t>
            </w:r>
          </w:p>
        </w:tc>
        <w:tc>
          <w:tcPr>
            <w:tcW w:w="340" w:type="dxa"/>
            <w:shd w:val="clear" w:color="auto" w:fill="EAF1DD" w:themeFill="accent3" w:themeFillTint="33"/>
          </w:tcPr>
          <w:p w14:paraId="4574566F" w14:textId="77777777" w:rsidR="00167F7D" w:rsidRPr="00D32E0A" w:rsidRDefault="00167F7D" w:rsidP="00A4116A">
            <w:pPr>
              <w:pStyle w:val="TabNumeri"/>
            </w:pPr>
          </w:p>
        </w:tc>
        <w:tc>
          <w:tcPr>
            <w:tcW w:w="1021" w:type="dxa"/>
            <w:shd w:val="clear" w:color="auto" w:fill="EAF1DD" w:themeFill="accent3" w:themeFillTint="33"/>
          </w:tcPr>
          <w:p w14:paraId="1B24BFDC" w14:textId="77777777" w:rsidR="00167F7D" w:rsidRPr="00EE2A60" w:rsidRDefault="00167F7D" w:rsidP="00A4116A">
            <w:pPr>
              <w:pStyle w:val="TabNumeri"/>
            </w:pPr>
            <w:r w:rsidRPr="007D385C">
              <w:t>-0,3</w:t>
            </w:r>
          </w:p>
        </w:tc>
        <w:tc>
          <w:tcPr>
            <w:tcW w:w="342" w:type="dxa"/>
            <w:shd w:val="clear" w:color="auto" w:fill="EAF1DD" w:themeFill="accent3" w:themeFillTint="33"/>
          </w:tcPr>
          <w:p w14:paraId="6BE12519" w14:textId="77777777" w:rsidR="00167F7D" w:rsidRPr="00EE2A60" w:rsidRDefault="00167F7D" w:rsidP="00A4116A">
            <w:pPr>
              <w:pStyle w:val="TabNumeri"/>
            </w:pPr>
            <w:r w:rsidRPr="00EE2A60">
              <w:t>[7]</w:t>
            </w:r>
          </w:p>
        </w:tc>
      </w:tr>
      <w:tr w:rsidR="00167F7D" w14:paraId="58F4C81E" w14:textId="77777777" w:rsidTr="00A4116A">
        <w:tblPrEx>
          <w:tblBorders>
            <w:bottom w:val="none" w:sz="0" w:space="0" w:color="auto"/>
          </w:tblBorders>
        </w:tblPrEx>
        <w:trPr>
          <w:cantSplit/>
          <w:trHeight w:val="255"/>
        </w:trPr>
        <w:tc>
          <w:tcPr>
            <w:tcW w:w="2552" w:type="dxa"/>
          </w:tcPr>
          <w:p w14:paraId="729B7DE7" w14:textId="77777777" w:rsidR="00167F7D" w:rsidRPr="00233F5C" w:rsidRDefault="00167F7D" w:rsidP="00A4116A">
            <w:pPr>
              <w:pStyle w:val="TabEtichette"/>
            </w:pPr>
            <w:r w:rsidRPr="00233F5C">
              <w:t>Investimenti fissi lordi</w:t>
            </w:r>
          </w:p>
        </w:tc>
        <w:tc>
          <w:tcPr>
            <w:tcW w:w="1021" w:type="dxa"/>
          </w:tcPr>
          <w:p w14:paraId="523A00E7" w14:textId="77777777" w:rsidR="00167F7D" w:rsidRPr="00083085" w:rsidRDefault="00167F7D" w:rsidP="00A4116A">
            <w:pPr>
              <w:pStyle w:val="TabNumeri"/>
            </w:pPr>
            <w:r w:rsidRPr="00340545">
              <w:t>1,4</w:t>
            </w:r>
          </w:p>
        </w:tc>
        <w:tc>
          <w:tcPr>
            <w:tcW w:w="340" w:type="dxa"/>
          </w:tcPr>
          <w:p w14:paraId="16416CAC" w14:textId="77777777" w:rsidR="00167F7D" w:rsidRPr="008A2BE0" w:rsidRDefault="00167F7D" w:rsidP="00A4116A">
            <w:pPr>
              <w:pStyle w:val="TabNumeri"/>
            </w:pPr>
          </w:p>
        </w:tc>
        <w:tc>
          <w:tcPr>
            <w:tcW w:w="1021" w:type="dxa"/>
          </w:tcPr>
          <w:p w14:paraId="66F2B249" w14:textId="77777777" w:rsidR="00167F7D" w:rsidRPr="00811B57" w:rsidRDefault="00167F7D" w:rsidP="00A4116A">
            <w:pPr>
              <w:pStyle w:val="TabNumeri"/>
            </w:pPr>
            <w:r w:rsidRPr="00F255AA">
              <w:t>2,2</w:t>
            </w:r>
          </w:p>
        </w:tc>
        <w:tc>
          <w:tcPr>
            <w:tcW w:w="340" w:type="dxa"/>
          </w:tcPr>
          <w:p w14:paraId="07AE9661" w14:textId="77777777" w:rsidR="00167F7D" w:rsidRPr="00811B57" w:rsidRDefault="00167F7D" w:rsidP="00A4116A">
            <w:pPr>
              <w:pStyle w:val="TabNumeri"/>
            </w:pPr>
          </w:p>
        </w:tc>
        <w:tc>
          <w:tcPr>
            <w:tcW w:w="1021" w:type="dxa"/>
          </w:tcPr>
          <w:p w14:paraId="4FCBC461" w14:textId="77777777" w:rsidR="00167F7D" w:rsidRPr="00A319C0" w:rsidRDefault="00167F7D" w:rsidP="00A4116A">
            <w:pPr>
              <w:pStyle w:val="TabNumeri"/>
            </w:pPr>
            <w:r w:rsidRPr="00413582">
              <w:t>0,8</w:t>
            </w:r>
          </w:p>
        </w:tc>
        <w:tc>
          <w:tcPr>
            <w:tcW w:w="340" w:type="dxa"/>
          </w:tcPr>
          <w:p w14:paraId="57399F78" w14:textId="77777777" w:rsidR="00167F7D" w:rsidRPr="00A319C0" w:rsidRDefault="00167F7D" w:rsidP="00A4116A">
            <w:pPr>
              <w:pStyle w:val="TabNumeri"/>
            </w:pPr>
          </w:p>
        </w:tc>
        <w:tc>
          <w:tcPr>
            <w:tcW w:w="1021" w:type="dxa"/>
          </w:tcPr>
          <w:p w14:paraId="58A79D74" w14:textId="77777777" w:rsidR="00167F7D" w:rsidRPr="00D32E0A" w:rsidRDefault="00167F7D" w:rsidP="00A4116A">
            <w:pPr>
              <w:pStyle w:val="TabNumeri"/>
            </w:pPr>
            <w:r>
              <w:t>0,4</w:t>
            </w:r>
          </w:p>
        </w:tc>
        <w:tc>
          <w:tcPr>
            <w:tcW w:w="340" w:type="dxa"/>
          </w:tcPr>
          <w:p w14:paraId="31504355" w14:textId="77777777" w:rsidR="00167F7D" w:rsidRPr="00CC1FAE" w:rsidRDefault="00167F7D" w:rsidP="00A4116A">
            <w:pPr>
              <w:pStyle w:val="TabNumeri"/>
            </w:pPr>
          </w:p>
        </w:tc>
        <w:tc>
          <w:tcPr>
            <w:tcW w:w="1021" w:type="dxa"/>
          </w:tcPr>
          <w:p w14:paraId="6F33E5B3" w14:textId="77777777" w:rsidR="00167F7D" w:rsidRPr="00CC1FAE" w:rsidRDefault="00167F7D" w:rsidP="00A4116A">
            <w:pPr>
              <w:pStyle w:val="TabNumeri"/>
            </w:pPr>
            <w:r w:rsidRPr="007D385C">
              <w:t>1,0</w:t>
            </w:r>
          </w:p>
        </w:tc>
        <w:tc>
          <w:tcPr>
            <w:tcW w:w="342" w:type="dxa"/>
          </w:tcPr>
          <w:p w14:paraId="34FFEB5B" w14:textId="77777777" w:rsidR="00167F7D" w:rsidRPr="00EE2A60" w:rsidRDefault="00167F7D" w:rsidP="00A4116A">
            <w:pPr>
              <w:pStyle w:val="TabNumeri"/>
            </w:pPr>
            <w:r w:rsidRPr="00EE2A60">
              <w:t>[7]</w:t>
            </w:r>
          </w:p>
        </w:tc>
      </w:tr>
      <w:tr w:rsidR="00167F7D" w14:paraId="49A052C7" w14:textId="77777777" w:rsidTr="00A4116A">
        <w:tblPrEx>
          <w:tblBorders>
            <w:bottom w:val="none" w:sz="0" w:space="0" w:color="auto"/>
          </w:tblBorders>
        </w:tblPrEx>
        <w:trPr>
          <w:cantSplit/>
          <w:trHeight w:val="255"/>
        </w:trPr>
        <w:tc>
          <w:tcPr>
            <w:tcW w:w="2552" w:type="dxa"/>
            <w:shd w:val="clear" w:color="auto" w:fill="EAF1DD" w:themeFill="accent3" w:themeFillTint="33"/>
          </w:tcPr>
          <w:p w14:paraId="41ADFA5E" w14:textId="77777777" w:rsidR="00167F7D" w:rsidRPr="00233F5C" w:rsidRDefault="00167F7D" w:rsidP="00A4116A">
            <w:pPr>
              <w:pStyle w:val="TabEtichette"/>
            </w:pPr>
            <w:r w:rsidRPr="00233F5C">
              <w:t xml:space="preserve">- </w:t>
            </w:r>
            <w:proofErr w:type="spellStart"/>
            <w:r w:rsidRPr="00233F5C">
              <w:t>mac</w:t>
            </w:r>
            <w:proofErr w:type="spellEnd"/>
            <w:r w:rsidRPr="00233F5C">
              <w:t xml:space="preserve">. </w:t>
            </w:r>
            <w:proofErr w:type="spellStart"/>
            <w:r w:rsidRPr="00233F5C">
              <w:t>attr</w:t>
            </w:r>
            <w:proofErr w:type="spellEnd"/>
            <w:r w:rsidRPr="00233F5C">
              <w:t xml:space="preserve">. </w:t>
            </w:r>
            <w:proofErr w:type="spellStart"/>
            <w:r w:rsidRPr="00233F5C">
              <w:t>mez</w:t>
            </w:r>
            <w:proofErr w:type="spellEnd"/>
            <w:r>
              <w:t>.</w:t>
            </w:r>
            <w:r w:rsidRPr="00233F5C">
              <w:t xml:space="preserve"> </w:t>
            </w:r>
            <w:proofErr w:type="spellStart"/>
            <w:r w:rsidRPr="00233F5C">
              <w:t>trasp</w:t>
            </w:r>
            <w:proofErr w:type="spellEnd"/>
            <w:r w:rsidRPr="00233F5C">
              <w:t>.</w:t>
            </w:r>
          </w:p>
        </w:tc>
        <w:tc>
          <w:tcPr>
            <w:tcW w:w="1021" w:type="dxa"/>
            <w:shd w:val="clear" w:color="auto" w:fill="EAF1DD" w:themeFill="accent3" w:themeFillTint="33"/>
          </w:tcPr>
          <w:p w14:paraId="4A6ACF53" w14:textId="77777777" w:rsidR="00167F7D" w:rsidRPr="00083085" w:rsidRDefault="00167F7D" w:rsidP="00A4116A">
            <w:pPr>
              <w:pStyle w:val="TabNumeri"/>
            </w:pPr>
            <w:r w:rsidRPr="00340545">
              <w:t>0,4</w:t>
            </w:r>
          </w:p>
        </w:tc>
        <w:tc>
          <w:tcPr>
            <w:tcW w:w="340" w:type="dxa"/>
            <w:shd w:val="clear" w:color="auto" w:fill="EAF1DD" w:themeFill="accent3" w:themeFillTint="33"/>
          </w:tcPr>
          <w:p w14:paraId="7EA0818F" w14:textId="77777777" w:rsidR="00167F7D" w:rsidRPr="008A2BE0" w:rsidRDefault="00167F7D" w:rsidP="00A4116A">
            <w:pPr>
              <w:pStyle w:val="TabNumeri"/>
            </w:pPr>
          </w:p>
        </w:tc>
        <w:tc>
          <w:tcPr>
            <w:tcW w:w="1021" w:type="dxa"/>
            <w:shd w:val="clear" w:color="auto" w:fill="EAF1DD" w:themeFill="accent3" w:themeFillTint="33"/>
          </w:tcPr>
          <w:p w14:paraId="6E97460E" w14:textId="77777777" w:rsidR="00167F7D" w:rsidRPr="00811B57" w:rsidRDefault="00167F7D" w:rsidP="00A4116A">
            <w:pPr>
              <w:pStyle w:val="TabNumeri"/>
            </w:pPr>
            <w:proofErr w:type="spellStart"/>
            <w:r w:rsidRPr="00F255AA">
              <w:t>n.d.</w:t>
            </w:r>
            <w:proofErr w:type="spellEnd"/>
          </w:p>
        </w:tc>
        <w:tc>
          <w:tcPr>
            <w:tcW w:w="340" w:type="dxa"/>
            <w:shd w:val="clear" w:color="auto" w:fill="EAF1DD" w:themeFill="accent3" w:themeFillTint="33"/>
          </w:tcPr>
          <w:p w14:paraId="3C6771B6" w14:textId="77777777" w:rsidR="00167F7D" w:rsidRPr="00811B57" w:rsidRDefault="00167F7D" w:rsidP="00A4116A">
            <w:pPr>
              <w:pStyle w:val="TabNumeri"/>
            </w:pPr>
          </w:p>
        </w:tc>
        <w:tc>
          <w:tcPr>
            <w:tcW w:w="1021" w:type="dxa"/>
            <w:shd w:val="clear" w:color="auto" w:fill="EAF1DD" w:themeFill="accent3" w:themeFillTint="33"/>
          </w:tcPr>
          <w:p w14:paraId="678218E0" w14:textId="77777777" w:rsidR="00167F7D" w:rsidRPr="00A319C0" w:rsidRDefault="00167F7D" w:rsidP="00A4116A">
            <w:pPr>
              <w:pStyle w:val="TabNumeri"/>
            </w:pPr>
            <w:proofErr w:type="spellStart"/>
            <w:r w:rsidRPr="00413582">
              <w:t>n.d.</w:t>
            </w:r>
            <w:proofErr w:type="spellEnd"/>
          </w:p>
        </w:tc>
        <w:tc>
          <w:tcPr>
            <w:tcW w:w="340" w:type="dxa"/>
            <w:shd w:val="clear" w:color="auto" w:fill="EAF1DD" w:themeFill="accent3" w:themeFillTint="33"/>
          </w:tcPr>
          <w:p w14:paraId="05012757" w14:textId="77777777" w:rsidR="00167F7D" w:rsidRPr="00A319C0" w:rsidRDefault="00167F7D" w:rsidP="00A4116A">
            <w:pPr>
              <w:pStyle w:val="TabNumeri"/>
            </w:pPr>
          </w:p>
        </w:tc>
        <w:tc>
          <w:tcPr>
            <w:tcW w:w="1021" w:type="dxa"/>
            <w:shd w:val="clear" w:color="auto" w:fill="EAF1DD" w:themeFill="accent3" w:themeFillTint="33"/>
          </w:tcPr>
          <w:p w14:paraId="184EDF8B" w14:textId="77777777" w:rsidR="00167F7D" w:rsidRPr="00D32E0A" w:rsidRDefault="00167F7D" w:rsidP="00A4116A">
            <w:pPr>
              <w:pStyle w:val="TabNumeri"/>
            </w:pPr>
            <w:r>
              <w:t>0,4</w:t>
            </w:r>
          </w:p>
        </w:tc>
        <w:tc>
          <w:tcPr>
            <w:tcW w:w="340" w:type="dxa"/>
            <w:shd w:val="clear" w:color="auto" w:fill="EAF1DD" w:themeFill="accent3" w:themeFillTint="33"/>
          </w:tcPr>
          <w:p w14:paraId="24E28E0C" w14:textId="77777777" w:rsidR="00167F7D" w:rsidRPr="00D32E0A" w:rsidRDefault="00167F7D" w:rsidP="00A4116A">
            <w:pPr>
              <w:pStyle w:val="TabNumeri"/>
            </w:pPr>
            <w:r>
              <w:t>[2]</w:t>
            </w:r>
          </w:p>
        </w:tc>
        <w:tc>
          <w:tcPr>
            <w:tcW w:w="1021" w:type="dxa"/>
            <w:shd w:val="clear" w:color="auto" w:fill="EAF1DD" w:themeFill="accent3" w:themeFillTint="33"/>
          </w:tcPr>
          <w:p w14:paraId="22701ED4" w14:textId="77777777" w:rsidR="00167F7D" w:rsidRPr="00EE2A60" w:rsidRDefault="00167F7D" w:rsidP="00A4116A">
            <w:pPr>
              <w:pStyle w:val="TabNumeri"/>
            </w:pPr>
            <w:r w:rsidRPr="007D385C">
              <w:t>0,9</w:t>
            </w:r>
          </w:p>
        </w:tc>
        <w:tc>
          <w:tcPr>
            <w:tcW w:w="342" w:type="dxa"/>
            <w:shd w:val="clear" w:color="auto" w:fill="EAF1DD" w:themeFill="accent3" w:themeFillTint="33"/>
          </w:tcPr>
          <w:p w14:paraId="425B74E5" w14:textId="77777777" w:rsidR="00167F7D" w:rsidRPr="00EE2A60" w:rsidRDefault="00167F7D" w:rsidP="00A4116A">
            <w:pPr>
              <w:pStyle w:val="TabNumeri"/>
            </w:pPr>
            <w:r w:rsidRPr="00EE2A60">
              <w:t>[7]</w:t>
            </w:r>
          </w:p>
        </w:tc>
      </w:tr>
      <w:tr w:rsidR="00167F7D" w14:paraId="31F94402" w14:textId="77777777" w:rsidTr="00A4116A">
        <w:tblPrEx>
          <w:tblBorders>
            <w:bottom w:val="none" w:sz="0" w:space="0" w:color="auto"/>
          </w:tblBorders>
        </w:tblPrEx>
        <w:trPr>
          <w:cantSplit/>
          <w:trHeight w:val="255"/>
        </w:trPr>
        <w:tc>
          <w:tcPr>
            <w:tcW w:w="2552" w:type="dxa"/>
          </w:tcPr>
          <w:p w14:paraId="2694711D" w14:textId="77777777" w:rsidR="00167F7D" w:rsidRPr="00233F5C" w:rsidRDefault="00167F7D" w:rsidP="00A4116A">
            <w:pPr>
              <w:pStyle w:val="TabEtichette"/>
            </w:pPr>
            <w:r w:rsidRPr="00233F5C">
              <w:t>- costruzioni</w:t>
            </w:r>
          </w:p>
        </w:tc>
        <w:tc>
          <w:tcPr>
            <w:tcW w:w="1021" w:type="dxa"/>
          </w:tcPr>
          <w:p w14:paraId="27C430B1" w14:textId="77777777" w:rsidR="00167F7D" w:rsidRPr="00083085" w:rsidRDefault="00167F7D" w:rsidP="00A4116A">
            <w:pPr>
              <w:pStyle w:val="TabNumeri"/>
            </w:pPr>
            <w:r w:rsidRPr="00340545">
              <w:t>2,6</w:t>
            </w:r>
          </w:p>
        </w:tc>
        <w:tc>
          <w:tcPr>
            <w:tcW w:w="340" w:type="dxa"/>
          </w:tcPr>
          <w:p w14:paraId="2C8CB0E5" w14:textId="77777777" w:rsidR="00167F7D" w:rsidRPr="00B136E3" w:rsidRDefault="00167F7D" w:rsidP="00A4116A">
            <w:pPr>
              <w:pStyle w:val="TabNumeri"/>
            </w:pPr>
          </w:p>
        </w:tc>
        <w:tc>
          <w:tcPr>
            <w:tcW w:w="1021" w:type="dxa"/>
          </w:tcPr>
          <w:p w14:paraId="2C6B1CAE" w14:textId="77777777" w:rsidR="00167F7D" w:rsidRPr="00811B57" w:rsidRDefault="00167F7D" w:rsidP="00A4116A">
            <w:pPr>
              <w:pStyle w:val="TabNumeri"/>
            </w:pPr>
            <w:proofErr w:type="spellStart"/>
            <w:r w:rsidRPr="00F255AA">
              <w:t>n.d.</w:t>
            </w:r>
            <w:proofErr w:type="spellEnd"/>
          </w:p>
        </w:tc>
        <w:tc>
          <w:tcPr>
            <w:tcW w:w="340" w:type="dxa"/>
          </w:tcPr>
          <w:p w14:paraId="243810BC" w14:textId="77777777" w:rsidR="00167F7D" w:rsidRPr="00811B57" w:rsidRDefault="00167F7D" w:rsidP="00A4116A">
            <w:pPr>
              <w:pStyle w:val="TabNumeri"/>
            </w:pPr>
          </w:p>
        </w:tc>
        <w:tc>
          <w:tcPr>
            <w:tcW w:w="1021" w:type="dxa"/>
          </w:tcPr>
          <w:p w14:paraId="15E6C7C1" w14:textId="77777777" w:rsidR="00167F7D" w:rsidRPr="00A319C0" w:rsidRDefault="00167F7D" w:rsidP="00A4116A">
            <w:pPr>
              <w:pStyle w:val="TabNumeri"/>
            </w:pPr>
            <w:proofErr w:type="spellStart"/>
            <w:r w:rsidRPr="00413582">
              <w:t>n.d.</w:t>
            </w:r>
            <w:proofErr w:type="spellEnd"/>
          </w:p>
        </w:tc>
        <w:tc>
          <w:tcPr>
            <w:tcW w:w="340" w:type="dxa"/>
          </w:tcPr>
          <w:p w14:paraId="5189E737" w14:textId="77777777" w:rsidR="00167F7D" w:rsidRPr="00A319C0" w:rsidRDefault="00167F7D" w:rsidP="00A4116A">
            <w:pPr>
              <w:pStyle w:val="TabNumeri"/>
            </w:pPr>
          </w:p>
        </w:tc>
        <w:tc>
          <w:tcPr>
            <w:tcW w:w="1021" w:type="dxa"/>
          </w:tcPr>
          <w:p w14:paraId="32781A59" w14:textId="77777777" w:rsidR="00167F7D" w:rsidRPr="00D32E0A" w:rsidRDefault="00167F7D" w:rsidP="00A4116A">
            <w:pPr>
              <w:pStyle w:val="TabNumeri"/>
            </w:pPr>
            <w:proofErr w:type="spellStart"/>
            <w:r>
              <w:t>n.d.</w:t>
            </w:r>
            <w:proofErr w:type="spellEnd"/>
          </w:p>
        </w:tc>
        <w:tc>
          <w:tcPr>
            <w:tcW w:w="340" w:type="dxa"/>
          </w:tcPr>
          <w:p w14:paraId="44979B5A" w14:textId="77777777" w:rsidR="00167F7D" w:rsidRPr="00D32E0A" w:rsidRDefault="00167F7D" w:rsidP="00A4116A">
            <w:pPr>
              <w:pStyle w:val="TabNumeri"/>
            </w:pPr>
          </w:p>
        </w:tc>
        <w:tc>
          <w:tcPr>
            <w:tcW w:w="1021" w:type="dxa"/>
          </w:tcPr>
          <w:p w14:paraId="072FAF6E" w14:textId="77777777" w:rsidR="00167F7D" w:rsidRPr="00EE2A60" w:rsidRDefault="00167F7D" w:rsidP="00A4116A">
            <w:pPr>
              <w:pStyle w:val="TabNumeri"/>
            </w:pPr>
            <w:r w:rsidRPr="007D385C">
              <w:t>1,1</w:t>
            </w:r>
          </w:p>
        </w:tc>
        <w:tc>
          <w:tcPr>
            <w:tcW w:w="342" w:type="dxa"/>
          </w:tcPr>
          <w:p w14:paraId="4B69B95F" w14:textId="77777777" w:rsidR="00167F7D" w:rsidRPr="00EE2A60" w:rsidRDefault="00167F7D" w:rsidP="00A4116A">
            <w:pPr>
              <w:pStyle w:val="TabNumeri"/>
            </w:pPr>
            <w:r w:rsidRPr="00EE2A60">
              <w:t>[7]</w:t>
            </w:r>
          </w:p>
        </w:tc>
      </w:tr>
      <w:tr w:rsidR="00167F7D" w14:paraId="70A72416" w14:textId="77777777" w:rsidTr="00A4116A">
        <w:tblPrEx>
          <w:tblBorders>
            <w:bottom w:val="none" w:sz="0" w:space="0" w:color="auto"/>
          </w:tblBorders>
        </w:tblPrEx>
        <w:trPr>
          <w:cantSplit/>
          <w:trHeight w:val="255"/>
        </w:trPr>
        <w:tc>
          <w:tcPr>
            <w:tcW w:w="2552" w:type="dxa"/>
            <w:shd w:val="clear" w:color="auto" w:fill="EAF1DD" w:themeFill="accent3" w:themeFillTint="33"/>
          </w:tcPr>
          <w:p w14:paraId="42B2DA0B" w14:textId="77777777" w:rsidR="00167F7D" w:rsidRPr="00233F5C" w:rsidRDefault="00167F7D" w:rsidP="00A4116A">
            <w:pPr>
              <w:pStyle w:val="TabEtichette"/>
            </w:pPr>
            <w:r>
              <w:t>Occupazione</w:t>
            </w:r>
          </w:p>
        </w:tc>
        <w:tc>
          <w:tcPr>
            <w:tcW w:w="1021" w:type="dxa"/>
            <w:shd w:val="clear" w:color="auto" w:fill="EAF1DD" w:themeFill="accent3" w:themeFillTint="33"/>
          </w:tcPr>
          <w:p w14:paraId="62639F40" w14:textId="77777777" w:rsidR="00167F7D" w:rsidRPr="00083085" w:rsidRDefault="00167F7D" w:rsidP="00A4116A">
            <w:pPr>
              <w:pStyle w:val="TabNumeri"/>
            </w:pPr>
            <w:r w:rsidRPr="00340545">
              <w:t>0,6</w:t>
            </w:r>
          </w:p>
        </w:tc>
        <w:tc>
          <w:tcPr>
            <w:tcW w:w="340" w:type="dxa"/>
            <w:shd w:val="clear" w:color="auto" w:fill="EAF1DD" w:themeFill="accent3" w:themeFillTint="33"/>
          </w:tcPr>
          <w:p w14:paraId="22E1507D" w14:textId="77777777" w:rsidR="00167F7D" w:rsidRPr="008A2BE0" w:rsidRDefault="00167F7D" w:rsidP="00A4116A">
            <w:pPr>
              <w:pStyle w:val="TabNumeri"/>
            </w:pPr>
          </w:p>
        </w:tc>
        <w:tc>
          <w:tcPr>
            <w:tcW w:w="1021" w:type="dxa"/>
            <w:shd w:val="clear" w:color="auto" w:fill="EAF1DD" w:themeFill="accent3" w:themeFillTint="33"/>
          </w:tcPr>
          <w:p w14:paraId="38D99703" w14:textId="77777777" w:rsidR="00167F7D" w:rsidRPr="00811B57" w:rsidRDefault="00167F7D" w:rsidP="00A4116A">
            <w:pPr>
              <w:pStyle w:val="TabNumeri"/>
            </w:pPr>
            <w:r w:rsidRPr="00F255AA">
              <w:t>0,2</w:t>
            </w:r>
          </w:p>
        </w:tc>
        <w:tc>
          <w:tcPr>
            <w:tcW w:w="340" w:type="dxa"/>
            <w:shd w:val="clear" w:color="auto" w:fill="EAF1DD" w:themeFill="accent3" w:themeFillTint="33"/>
          </w:tcPr>
          <w:p w14:paraId="0E83327F" w14:textId="77777777" w:rsidR="00167F7D" w:rsidRPr="00811B57" w:rsidRDefault="00167F7D" w:rsidP="00A4116A">
            <w:pPr>
              <w:pStyle w:val="TabNumeri"/>
            </w:pPr>
            <w:r w:rsidRPr="00F255AA">
              <w:t>[3]</w:t>
            </w:r>
          </w:p>
        </w:tc>
        <w:tc>
          <w:tcPr>
            <w:tcW w:w="1021" w:type="dxa"/>
            <w:shd w:val="clear" w:color="auto" w:fill="EAF1DD" w:themeFill="accent3" w:themeFillTint="33"/>
          </w:tcPr>
          <w:p w14:paraId="5A34F4E6" w14:textId="77777777" w:rsidR="00167F7D" w:rsidRPr="00A319C0" w:rsidRDefault="00167F7D" w:rsidP="00A4116A">
            <w:pPr>
              <w:pStyle w:val="TabNumeri"/>
            </w:pPr>
            <w:r w:rsidRPr="00413582">
              <w:t>0,3</w:t>
            </w:r>
          </w:p>
        </w:tc>
        <w:tc>
          <w:tcPr>
            <w:tcW w:w="340" w:type="dxa"/>
            <w:shd w:val="clear" w:color="auto" w:fill="EAF1DD" w:themeFill="accent3" w:themeFillTint="33"/>
          </w:tcPr>
          <w:p w14:paraId="3CA3EF53" w14:textId="77777777" w:rsidR="00167F7D" w:rsidRPr="00A319C0" w:rsidRDefault="00167F7D" w:rsidP="00A4116A">
            <w:pPr>
              <w:pStyle w:val="TabNumeri"/>
            </w:pPr>
            <w:r w:rsidRPr="00A319C0">
              <w:t>[3]</w:t>
            </w:r>
          </w:p>
        </w:tc>
        <w:tc>
          <w:tcPr>
            <w:tcW w:w="1021" w:type="dxa"/>
            <w:shd w:val="clear" w:color="auto" w:fill="EAF1DD" w:themeFill="accent3" w:themeFillTint="33"/>
          </w:tcPr>
          <w:p w14:paraId="78211FD6" w14:textId="77777777" w:rsidR="00167F7D" w:rsidRPr="00D32E0A" w:rsidRDefault="00167F7D" w:rsidP="00A4116A">
            <w:pPr>
              <w:pStyle w:val="TabNumeri"/>
            </w:pPr>
            <w:r>
              <w:t>0,4</w:t>
            </w:r>
          </w:p>
        </w:tc>
        <w:tc>
          <w:tcPr>
            <w:tcW w:w="340" w:type="dxa"/>
            <w:shd w:val="clear" w:color="auto" w:fill="EAF1DD" w:themeFill="accent3" w:themeFillTint="33"/>
          </w:tcPr>
          <w:p w14:paraId="29CF4908" w14:textId="77777777" w:rsidR="00167F7D" w:rsidRPr="00D32E0A" w:rsidRDefault="00167F7D" w:rsidP="00A4116A">
            <w:pPr>
              <w:pStyle w:val="TabNumeri"/>
            </w:pPr>
          </w:p>
        </w:tc>
        <w:tc>
          <w:tcPr>
            <w:tcW w:w="1021" w:type="dxa"/>
            <w:shd w:val="clear" w:color="auto" w:fill="EAF1DD" w:themeFill="accent3" w:themeFillTint="33"/>
          </w:tcPr>
          <w:p w14:paraId="10318E27" w14:textId="77777777" w:rsidR="00167F7D" w:rsidRPr="00EE2A60" w:rsidRDefault="00167F7D" w:rsidP="00A4116A">
            <w:pPr>
              <w:pStyle w:val="TabNumeri"/>
            </w:pPr>
            <w:r w:rsidRPr="007D385C">
              <w:t>0,1</w:t>
            </w:r>
          </w:p>
        </w:tc>
        <w:tc>
          <w:tcPr>
            <w:tcW w:w="342" w:type="dxa"/>
            <w:shd w:val="clear" w:color="auto" w:fill="EAF1DD" w:themeFill="accent3" w:themeFillTint="33"/>
          </w:tcPr>
          <w:p w14:paraId="58272444" w14:textId="77777777" w:rsidR="00167F7D" w:rsidRPr="00EE2A60" w:rsidRDefault="00167F7D" w:rsidP="00A4116A">
            <w:pPr>
              <w:pStyle w:val="TabNumeri"/>
            </w:pPr>
            <w:r w:rsidRPr="00EE2A60">
              <w:t>[4 7]</w:t>
            </w:r>
          </w:p>
        </w:tc>
      </w:tr>
      <w:tr w:rsidR="00167F7D" w14:paraId="7D30F820" w14:textId="77777777" w:rsidTr="00A4116A">
        <w:tblPrEx>
          <w:tblBorders>
            <w:bottom w:val="none" w:sz="0" w:space="0" w:color="auto"/>
          </w:tblBorders>
        </w:tblPrEx>
        <w:trPr>
          <w:cantSplit/>
          <w:trHeight w:val="255"/>
        </w:trPr>
        <w:tc>
          <w:tcPr>
            <w:tcW w:w="2552" w:type="dxa"/>
          </w:tcPr>
          <w:p w14:paraId="57204299" w14:textId="77777777" w:rsidR="00167F7D" w:rsidRPr="00233F5C" w:rsidRDefault="00167F7D" w:rsidP="00A4116A">
            <w:pPr>
              <w:pStyle w:val="TabEtichette"/>
            </w:pPr>
            <w:r w:rsidRPr="00233F5C">
              <w:t>Disoccupazione [</w:t>
            </w:r>
            <w:r>
              <w:t>a</w:t>
            </w:r>
            <w:r w:rsidRPr="00233F5C">
              <w:t>]</w:t>
            </w:r>
          </w:p>
        </w:tc>
        <w:tc>
          <w:tcPr>
            <w:tcW w:w="1021" w:type="dxa"/>
          </w:tcPr>
          <w:p w14:paraId="0BA7C2EC" w14:textId="77777777" w:rsidR="00167F7D" w:rsidRPr="00D862EC" w:rsidRDefault="00167F7D" w:rsidP="00A4116A">
            <w:pPr>
              <w:pStyle w:val="TabNumeri"/>
            </w:pPr>
            <w:r w:rsidRPr="00340545">
              <w:t>9,9</w:t>
            </w:r>
          </w:p>
        </w:tc>
        <w:tc>
          <w:tcPr>
            <w:tcW w:w="340" w:type="dxa"/>
          </w:tcPr>
          <w:p w14:paraId="3DED9B52" w14:textId="77777777" w:rsidR="00167F7D" w:rsidRPr="008A2BE0" w:rsidRDefault="00167F7D" w:rsidP="00A4116A">
            <w:pPr>
              <w:pStyle w:val="TabNumeri"/>
            </w:pPr>
          </w:p>
        </w:tc>
        <w:tc>
          <w:tcPr>
            <w:tcW w:w="1021" w:type="dxa"/>
          </w:tcPr>
          <w:p w14:paraId="5F6C6C7B" w14:textId="77777777" w:rsidR="00167F7D" w:rsidRPr="00811B57" w:rsidRDefault="00167F7D" w:rsidP="00A4116A">
            <w:pPr>
              <w:pStyle w:val="TabNumeri"/>
            </w:pPr>
            <w:r w:rsidRPr="00F255AA">
              <w:t>10,3</w:t>
            </w:r>
          </w:p>
        </w:tc>
        <w:tc>
          <w:tcPr>
            <w:tcW w:w="340" w:type="dxa"/>
          </w:tcPr>
          <w:p w14:paraId="5D8AA6C3" w14:textId="77777777" w:rsidR="00167F7D" w:rsidRPr="00811B57" w:rsidRDefault="00167F7D" w:rsidP="00A4116A">
            <w:pPr>
              <w:pStyle w:val="TabNumeri"/>
            </w:pPr>
          </w:p>
        </w:tc>
        <w:tc>
          <w:tcPr>
            <w:tcW w:w="1021" w:type="dxa"/>
          </w:tcPr>
          <w:p w14:paraId="2B2C7F40" w14:textId="77777777" w:rsidR="00167F7D" w:rsidRPr="00A319C0" w:rsidRDefault="00167F7D" w:rsidP="00A4116A">
            <w:pPr>
              <w:pStyle w:val="TabNumeri"/>
            </w:pPr>
            <w:r w:rsidRPr="00413582">
              <w:t>10,0</w:t>
            </w:r>
          </w:p>
        </w:tc>
        <w:tc>
          <w:tcPr>
            <w:tcW w:w="340" w:type="dxa"/>
          </w:tcPr>
          <w:p w14:paraId="651A901E" w14:textId="77777777" w:rsidR="00167F7D" w:rsidRPr="00A319C0" w:rsidRDefault="00167F7D" w:rsidP="00A4116A">
            <w:pPr>
              <w:pStyle w:val="TabNumeri"/>
            </w:pPr>
          </w:p>
        </w:tc>
        <w:tc>
          <w:tcPr>
            <w:tcW w:w="1021" w:type="dxa"/>
          </w:tcPr>
          <w:p w14:paraId="4717AEE2" w14:textId="77777777" w:rsidR="00167F7D" w:rsidRPr="00D32E0A" w:rsidRDefault="00167F7D" w:rsidP="00A4116A">
            <w:pPr>
              <w:pStyle w:val="TabNumeri"/>
            </w:pPr>
            <w:r>
              <w:t>9,7</w:t>
            </w:r>
          </w:p>
        </w:tc>
        <w:tc>
          <w:tcPr>
            <w:tcW w:w="340" w:type="dxa"/>
          </w:tcPr>
          <w:p w14:paraId="729CE1B9" w14:textId="77777777" w:rsidR="00167F7D" w:rsidRPr="00D32E0A" w:rsidRDefault="00167F7D" w:rsidP="00A4116A">
            <w:pPr>
              <w:pStyle w:val="TabNumeri"/>
            </w:pPr>
          </w:p>
        </w:tc>
        <w:tc>
          <w:tcPr>
            <w:tcW w:w="1021" w:type="dxa"/>
          </w:tcPr>
          <w:p w14:paraId="078C7D4E" w14:textId="77777777" w:rsidR="00167F7D" w:rsidRPr="00EE2A60" w:rsidRDefault="00167F7D" w:rsidP="00A4116A">
            <w:pPr>
              <w:pStyle w:val="TabNumeri"/>
            </w:pPr>
            <w:r w:rsidRPr="007D385C">
              <w:t>9,7</w:t>
            </w:r>
          </w:p>
        </w:tc>
        <w:tc>
          <w:tcPr>
            <w:tcW w:w="342" w:type="dxa"/>
          </w:tcPr>
          <w:p w14:paraId="33AFDFFF" w14:textId="77777777" w:rsidR="00167F7D" w:rsidRPr="00EE2A60" w:rsidRDefault="00167F7D" w:rsidP="00A4116A">
            <w:pPr>
              <w:pStyle w:val="TabNumeri"/>
            </w:pPr>
            <w:r w:rsidRPr="00EE2A60">
              <w:t>[8]</w:t>
            </w:r>
          </w:p>
        </w:tc>
      </w:tr>
      <w:tr w:rsidR="00167F7D" w14:paraId="1BD6DCE0" w14:textId="77777777" w:rsidTr="00A4116A">
        <w:tblPrEx>
          <w:tblBorders>
            <w:bottom w:val="none" w:sz="0" w:space="0" w:color="auto"/>
          </w:tblBorders>
        </w:tblPrEx>
        <w:trPr>
          <w:cantSplit/>
          <w:trHeight w:val="255"/>
        </w:trPr>
        <w:tc>
          <w:tcPr>
            <w:tcW w:w="2552" w:type="dxa"/>
            <w:shd w:val="clear" w:color="auto" w:fill="EAF1DD" w:themeFill="accent3" w:themeFillTint="33"/>
          </w:tcPr>
          <w:p w14:paraId="5AABD032" w14:textId="77777777" w:rsidR="00167F7D" w:rsidRPr="00233F5C" w:rsidRDefault="00167F7D" w:rsidP="00A4116A">
            <w:pPr>
              <w:pStyle w:val="TabEtichette"/>
            </w:pPr>
            <w:r w:rsidRPr="00233F5C">
              <w:t>Prezzi al consumo</w:t>
            </w:r>
          </w:p>
        </w:tc>
        <w:tc>
          <w:tcPr>
            <w:tcW w:w="1021" w:type="dxa"/>
            <w:shd w:val="clear" w:color="auto" w:fill="EAF1DD" w:themeFill="accent3" w:themeFillTint="33"/>
          </w:tcPr>
          <w:p w14:paraId="0C5EEFA6" w14:textId="77777777" w:rsidR="00167F7D" w:rsidRPr="00D862EC" w:rsidRDefault="00167F7D" w:rsidP="00A4116A">
            <w:pPr>
              <w:pStyle w:val="TabNumeri"/>
            </w:pPr>
            <w:r w:rsidRPr="00340545">
              <w:t>0,6</w:t>
            </w:r>
          </w:p>
        </w:tc>
        <w:tc>
          <w:tcPr>
            <w:tcW w:w="340" w:type="dxa"/>
            <w:shd w:val="clear" w:color="auto" w:fill="EAF1DD" w:themeFill="accent3" w:themeFillTint="33"/>
          </w:tcPr>
          <w:p w14:paraId="311C72D8" w14:textId="77777777" w:rsidR="00167F7D" w:rsidRPr="008A2BE0" w:rsidRDefault="00167F7D" w:rsidP="00A4116A">
            <w:pPr>
              <w:pStyle w:val="TabNumeri"/>
            </w:pPr>
          </w:p>
        </w:tc>
        <w:tc>
          <w:tcPr>
            <w:tcW w:w="1021" w:type="dxa"/>
            <w:shd w:val="clear" w:color="auto" w:fill="EAF1DD" w:themeFill="accent3" w:themeFillTint="33"/>
          </w:tcPr>
          <w:p w14:paraId="2B6EA382" w14:textId="77777777" w:rsidR="00167F7D" w:rsidRPr="00811B57" w:rsidRDefault="00167F7D" w:rsidP="00A4116A">
            <w:pPr>
              <w:pStyle w:val="TabNumeri"/>
            </w:pPr>
            <w:r w:rsidRPr="00F255AA">
              <w:t>1,0</w:t>
            </w:r>
          </w:p>
        </w:tc>
        <w:tc>
          <w:tcPr>
            <w:tcW w:w="340" w:type="dxa"/>
            <w:shd w:val="clear" w:color="auto" w:fill="EAF1DD" w:themeFill="accent3" w:themeFillTint="33"/>
          </w:tcPr>
          <w:p w14:paraId="4E83804D" w14:textId="77777777" w:rsidR="00167F7D" w:rsidRPr="00811B57" w:rsidRDefault="00167F7D" w:rsidP="00A4116A">
            <w:pPr>
              <w:pStyle w:val="TabNumeri"/>
            </w:pPr>
          </w:p>
        </w:tc>
        <w:tc>
          <w:tcPr>
            <w:tcW w:w="1021" w:type="dxa"/>
            <w:shd w:val="clear" w:color="auto" w:fill="EAF1DD" w:themeFill="accent3" w:themeFillTint="33"/>
          </w:tcPr>
          <w:p w14:paraId="25DDEE27" w14:textId="77777777" w:rsidR="00167F7D" w:rsidRPr="00A319C0" w:rsidRDefault="00167F7D" w:rsidP="00A4116A">
            <w:pPr>
              <w:pStyle w:val="TabNumeri"/>
            </w:pPr>
            <w:r w:rsidRPr="00413582">
              <w:t>0,6</w:t>
            </w:r>
          </w:p>
        </w:tc>
        <w:tc>
          <w:tcPr>
            <w:tcW w:w="340" w:type="dxa"/>
            <w:shd w:val="clear" w:color="auto" w:fill="EAF1DD" w:themeFill="accent3" w:themeFillTint="33"/>
          </w:tcPr>
          <w:p w14:paraId="4E062263" w14:textId="77777777" w:rsidR="00167F7D" w:rsidRPr="00A319C0" w:rsidRDefault="00167F7D" w:rsidP="00A4116A">
            <w:pPr>
              <w:pStyle w:val="TabNumeri"/>
            </w:pPr>
            <w:r w:rsidRPr="00A319C0">
              <w:t>[5]</w:t>
            </w:r>
          </w:p>
        </w:tc>
        <w:tc>
          <w:tcPr>
            <w:tcW w:w="1021" w:type="dxa"/>
            <w:shd w:val="clear" w:color="auto" w:fill="EAF1DD" w:themeFill="accent3" w:themeFillTint="33"/>
          </w:tcPr>
          <w:p w14:paraId="5C621019" w14:textId="77777777" w:rsidR="00167F7D" w:rsidRPr="00D32E0A" w:rsidRDefault="00167F7D" w:rsidP="00A4116A">
            <w:pPr>
              <w:pStyle w:val="TabNumeri"/>
            </w:pPr>
            <w:r>
              <w:t>0,7</w:t>
            </w:r>
          </w:p>
        </w:tc>
        <w:tc>
          <w:tcPr>
            <w:tcW w:w="340" w:type="dxa"/>
            <w:shd w:val="clear" w:color="auto" w:fill="EAF1DD" w:themeFill="accent3" w:themeFillTint="33"/>
          </w:tcPr>
          <w:p w14:paraId="39106AA5" w14:textId="77777777" w:rsidR="00167F7D" w:rsidRPr="00D32E0A" w:rsidRDefault="00167F7D" w:rsidP="00A4116A">
            <w:pPr>
              <w:pStyle w:val="TabNumeri"/>
            </w:pPr>
          </w:p>
        </w:tc>
        <w:tc>
          <w:tcPr>
            <w:tcW w:w="1021" w:type="dxa"/>
            <w:shd w:val="clear" w:color="auto" w:fill="EAF1DD" w:themeFill="accent3" w:themeFillTint="33"/>
          </w:tcPr>
          <w:p w14:paraId="45D8146F" w14:textId="77777777" w:rsidR="00167F7D" w:rsidRPr="00EE2A60" w:rsidRDefault="00167F7D" w:rsidP="00A4116A">
            <w:pPr>
              <w:pStyle w:val="TabNumeri"/>
            </w:pPr>
            <w:r w:rsidRPr="007D385C">
              <w:t>0,8</w:t>
            </w:r>
          </w:p>
        </w:tc>
        <w:tc>
          <w:tcPr>
            <w:tcW w:w="342" w:type="dxa"/>
            <w:shd w:val="clear" w:color="auto" w:fill="EAF1DD" w:themeFill="accent3" w:themeFillTint="33"/>
          </w:tcPr>
          <w:p w14:paraId="0D94ADA9" w14:textId="77777777" w:rsidR="00167F7D" w:rsidRPr="00EE2A60" w:rsidRDefault="00167F7D" w:rsidP="00A4116A">
            <w:pPr>
              <w:pStyle w:val="TabNumeri"/>
            </w:pPr>
            <w:r w:rsidRPr="00EE2A60">
              <w:t>[7]</w:t>
            </w:r>
          </w:p>
        </w:tc>
      </w:tr>
      <w:tr w:rsidR="00167F7D" w14:paraId="07B5E085" w14:textId="77777777" w:rsidTr="00A4116A">
        <w:tblPrEx>
          <w:tblBorders>
            <w:bottom w:val="none" w:sz="0" w:space="0" w:color="auto"/>
          </w:tblBorders>
        </w:tblPrEx>
        <w:trPr>
          <w:cantSplit/>
          <w:trHeight w:val="255"/>
        </w:trPr>
        <w:tc>
          <w:tcPr>
            <w:tcW w:w="2552" w:type="dxa"/>
          </w:tcPr>
          <w:p w14:paraId="1CE444DC" w14:textId="77777777" w:rsidR="00167F7D" w:rsidRPr="00233F5C" w:rsidRDefault="00167F7D" w:rsidP="00A4116A">
            <w:pPr>
              <w:pStyle w:val="TabEtichette"/>
            </w:pPr>
            <w:r>
              <w:t xml:space="preserve">Saldo c. c. </w:t>
            </w:r>
            <w:proofErr w:type="spellStart"/>
            <w:r>
              <w:t>Bil</w:t>
            </w:r>
            <w:proofErr w:type="spellEnd"/>
            <w:r>
              <w:t xml:space="preserve"> </w:t>
            </w:r>
            <w:proofErr w:type="spellStart"/>
            <w:r>
              <w:t>Pag</w:t>
            </w:r>
            <w:proofErr w:type="spellEnd"/>
            <w:r>
              <w:t xml:space="preserve"> [b</w:t>
            </w:r>
            <w:r w:rsidRPr="00233F5C">
              <w:t>]</w:t>
            </w:r>
          </w:p>
        </w:tc>
        <w:tc>
          <w:tcPr>
            <w:tcW w:w="1021" w:type="dxa"/>
          </w:tcPr>
          <w:p w14:paraId="7C326A55" w14:textId="77777777" w:rsidR="00167F7D" w:rsidRPr="00083085" w:rsidRDefault="00167F7D" w:rsidP="00A4116A">
            <w:pPr>
              <w:pStyle w:val="TabNumeri"/>
            </w:pPr>
            <w:proofErr w:type="spellStart"/>
            <w:r w:rsidRPr="00340545">
              <w:t>n.d.</w:t>
            </w:r>
            <w:proofErr w:type="spellEnd"/>
          </w:p>
        </w:tc>
        <w:tc>
          <w:tcPr>
            <w:tcW w:w="340" w:type="dxa"/>
          </w:tcPr>
          <w:p w14:paraId="35264AD9" w14:textId="77777777" w:rsidR="00167F7D" w:rsidRPr="008A2BE0" w:rsidRDefault="00167F7D" w:rsidP="00A4116A">
            <w:pPr>
              <w:pStyle w:val="TabNumeri"/>
            </w:pPr>
          </w:p>
        </w:tc>
        <w:tc>
          <w:tcPr>
            <w:tcW w:w="1021" w:type="dxa"/>
          </w:tcPr>
          <w:p w14:paraId="19122600" w14:textId="77777777" w:rsidR="00167F7D" w:rsidRPr="00811B57" w:rsidRDefault="00167F7D" w:rsidP="00A4116A">
            <w:pPr>
              <w:pStyle w:val="TabNumeri"/>
            </w:pPr>
            <w:r w:rsidRPr="00F255AA">
              <w:t>2,9</w:t>
            </w:r>
          </w:p>
        </w:tc>
        <w:tc>
          <w:tcPr>
            <w:tcW w:w="340" w:type="dxa"/>
          </w:tcPr>
          <w:p w14:paraId="68488632" w14:textId="77777777" w:rsidR="00167F7D" w:rsidRPr="00811B57" w:rsidRDefault="00167F7D" w:rsidP="00A4116A">
            <w:pPr>
              <w:pStyle w:val="TabNumeri"/>
            </w:pPr>
          </w:p>
        </w:tc>
        <w:tc>
          <w:tcPr>
            <w:tcW w:w="1021" w:type="dxa"/>
          </w:tcPr>
          <w:p w14:paraId="41510ED8" w14:textId="77777777" w:rsidR="00167F7D" w:rsidRPr="00A319C0" w:rsidRDefault="00167F7D" w:rsidP="00A4116A">
            <w:pPr>
              <w:pStyle w:val="TabNumeri"/>
            </w:pPr>
            <w:r w:rsidRPr="00413582">
              <w:t>2,7</w:t>
            </w:r>
          </w:p>
        </w:tc>
        <w:tc>
          <w:tcPr>
            <w:tcW w:w="340" w:type="dxa"/>
          </w:tcPr>
          <w:p w14:paraId="5DB356C6" w14:textId="77777777" w:rsidR="00167F7D" w:rsidRPr="00A319C0" w:rsidRDefault="00167F7D" w:rsidP="00A4116A">
            <w:pPr>
              <w:pStyle w:val="TabNumeri"/>
            </w:pPr>
          </w:p>
        </w:tc>
        <w:tc>
          <w:tcPr>
            <w:tcW w:w="1021" w:type="dxa"/>
          </w:tcPr>
          <w:p w14:paraId="4414CFC2" w14:textId="77777777" w:rsidR="00167F7D" w:rsidRPr="00D32E0A" w:rsidRDefault="00167F7D" w:rsidP="00A4116A">
            <w:pPr>
              <w:pStyle w:val="TabNumeri"/>
            </w:pPr>
            <w:r>
              <w:t>2,7</w:t>
            </w:r>
          </w:p>
        </w:tc>
        <w:tc>
          <w:tcPr>
            <w:tcW w:w="340" w:type="dxa"/>
          </w:tcPr>
          <w:p w14:paraId="6D73198B" w14:textId="77777777" w:rsidR="00167F7D" w:rsidRPr="00D32E0A" w:rsidRDefault="00167F7D" w:rsidP="00A4116A">
            <w:pPr>
              <w:pStyle w:val="TabNumeri"/>
            </w:pPr>
          </w:p>
        </w:tc>
        <w:tc>
          <w:tcPr>
            <w:tcW w:w="1021" w:type="dxa"/>
          </w:tcPr>
          <w:p w14:paraId="73A7E20E" w14:textId="77777777" w:rsidR="00167F7D" w:rsidRPr="00EE2A60" w:rsidRDefault="00167F7D" w:rsidP="00A4116A">
            <w:pPr>
              <w:pStyle w:val="TabNumeri"/>
            </w:pPr>
            <w:r w:rsidRPr="007D385C">
              <w:t>3,6</w:t>
            </w:r>
          </w:p>
        </w:tc>
        <w:tc>
          <w:tcPr>
            <w:tcW w:w="342" w:type="dxa"/>
          </w:tcPr>
          <w:p w14:paraId="0A9816F8" w14:textId="77777777" w:rsidR="00167F7D" w:rsidRPr="00EE2A60" w:rsidRDefault="00167F7D" w:rsidP="00A4116A">
            <w:pPr>
              <w:pStyle w:val="TabNumeri"/>
            </w:pPr>
            <w:r w:rsidRPr="00EE2A60">
              <w:t>[6 7]</w:t>
            </w:r>
          </w:p>
        </w:tc>
      </w:tr>
      <w:tr w:rsidR="00167F7D" w14:paraId="35BD2F5B" w14:textId="77777777" w:rsidTr="00A4116A">
        <w:tblPrEx>
          <w:tblBorders>
            <w:bottom w:val="none" w:sz="0" w:space="0" w:color="auto"/>
          </w:tblBorders>
        </w:tblPrEx>
        <w:trPr>
          <w:cantSplit/>
          <w:trHeight w:val="255"/>
        </w:trPr>
        <w:tc>
          <w:tcPr>
            <w:tcW w:w="2552" w:type="dxa"/>
            <w:shd w:val="clear" w:color="auto" w:fill="EAF1DD" w:themeFill="accent3" w:themeFillTint="33"/>
          </w:tcPr>
          <w:p w14:paraId="6772F92C" w14:textId="77777777" w:rsidR="00167F7D" w:rsidRPr="00233F5C" w:rsidRDefault="00167F7D" w:rsidP="00A4116A">
            <w:pPr>
              <w:pStyle w:val="TabEtichette"/>
            </w:pPr>
            <w:r w:rsidRPr="00233F5C">
              <w:t>Avanzo primario [</w:t>
            </w:r>
            <w:r>
              <w:t>b</w:t>
            </w:r>
            <w:r w:rsidRPr="00233F5C">
              <w:t>]</w:t>
            </w:r>
          </w:p>
        </w:tc>
        <w:tc>
          <w:tcPr>
            <w:tcW w:w="1021" w:type="dxa"/>
            <w:shd w:val="clear" w:color="auto" w:fill="EAF1DD" w:themeFill="accent3" w:themeFillTint="33"/>
          </w:tcPr>
          <w:p w14:paraId="40CE094A" w14:textId="77777777" w:rsidR="00167F7D" w:rsidRPr="00D862EC" w:rsidRDefault="00167F7D" w:rsidP="00A4116A">
            <w:pPr>
              <w:pStyle w:val="TabNumeri"/>
            </w:pPr>
            <w:r w:rsidRPr="00340545">
              <w:t>1,7</w:t>
            </w:r>
          </w:p>
        </w:tc>
        <w:tc>
          <w:tcPr>
            <w:tcW w:w="340" w:type="dxa"/>
            <w:shd w:val="clear" w:color="auto" w:fill="EAF1DD" w:themeFill="accent3" w:themeFillTint="33"/>
          </w:tcPr>
          <w:p w14:paraId="3B4742D6" w14:textId="77777777" w:rsidR="00167F7D" w:rsidRPr="008A2BE0" w:rsidRDefault="00167F7D" w:rsidP="00A4116A">
            <w:pPr>
              <w:pStyle w:val="TabNumeri"/>
            </w:pPr>
          </w:p>
        </w:tc>
        <w:tc>
          <w:tcPr>
            <w:tcW w:w="1021" w:type="dxa"/>
            <w:shd w:val="clear" w:color="auto" w:fill="EAF1DD" w:themeFill="accent3" w:themeFillTint="33"/>
          </w:tcPr>
          <w:p w14:paraId="37DBD53F" w14:textId="77777777" w:rsidR="00167F7D" w:rsidRPr="00811B57" w:rsidRDefault="00167F7D" w:rsidP="00A4116A">
            <w:pPr>
              <w:pStyle w:val="TabNumeri"/>
            </w:pPr>
            <w:r w:rsidRPr="00F255AA">
              <w:t>0,7</w:t>
            </w:r>
          </w:p>
        </w:tc>
        <w:tc>
          <w:tcPr>
            <w:tcW w:w="340" w:type="dxa"/>
            <w:shd w:val="clear" w:color="auto" w:fill="EAF1DD" w:themeFill="accent3" w:themeFillTint="33"/>
          </w:tcPr>
          <w:p w14:paraId="0790B2FF" w14:textId="77777777" w:rsidR="00167F7D" w:rsidRPr="00811B57" w:rsidRDefault="00167F7D" w:rsidP="00A4116A">
            <w:pPr>
              <w:pStyle w:val="TabNumeri"/>
            </w:pPr>
          </w:p>
        </w:tc>
        <w:tc>
          <w:tcPr>
            <w:tcW w:w="1021" w:type="dxa"/>
            <w:shd w:val="clear" w:color="auto" w:fill="EAF1DD" w:themeFill="accent3" w:themeFillTint="33"/>
          </w:tcPr>
          <w:p w14:paraId="552FA3B2" w14:textId="77777777" w:rsidR="00167F7D" w:rsidRPr="00A319C0" w:rsidRDefault="00167F7D" w:rsidP="00A4116A">
            <w:pPr>
              <w:pStyle w:val="TabNumeri"/>
            </w:pPr>
            <w:r w:rsidRPr="00413582">
              <w:t>1,0</w:t>
            </w:r>
          </w:p>
        </w:tc>
        <w:tc>
          <w:tcPr>
            <w:tcW w:w="340" w:type="dxa"/>
            <w:shd w:val="clear" w:color="auto" w:fill="EAF1DD" w:themeFill="accent3" w:themeFillTint="33"/>
          </w:tcPr>
          <w:p w14:paraId="1FA7D34F" w14:textId="77777777" w:rsidR="00167F7D" w:rsidRPr="00A319C0" w:rsidRDefault="00167F7D" w:rsidP="00A4116A">
            <w:pPr>
              <w:pStyle w:val="TabNumeri"/>
            </w:pPr>
          </w:p>
        </w:tc>
        <w:tc>
          <w:tcPr>
            <w:tcW w:w="1021" w:type="dxa"/>
            <w:shd w:val="clear" w:color="auto" w:fill="EAF1DD" w:themeFill="accent3" w:themeFillTint="33"/>
          </w:tcPr>
          <w:p w14:paraId="046249E8" w14:textId="77777777" w:rsidR="00167F7D" w:rsidRPr="00D32E0A" w:rsidRDefault="00167F7D" w:rsidP="00A4116A">
            <w:pPr>
              <w:pStyle w:val="TabNumeri"/>
            </w:pPr>
            <w:proofErr w:type="spellStart"/>
            <w:r>
              <w:t>n.d.</w:t>
            </w:r>
            <w:proofErr w:type="spellEnd"/>
          </w:p>
        </w:tc>
        <w:tc>
          <w:tcPr>
            <w:tcW w:w="340" w:type="dxa"/>
            <w:shd w:val="clear" w:color="auto" w:fill="EAF1DD" w:themeFill="accent3" w:themeFillTint="33"/>
          </w:tcPr>
          <w:p w14:paraId="49B9F257" w14:textId="77777777" w:rsidR="00167F7D" w:rsidRPr="00D32E0A" w:rsidRDefault="00167F7D" w:rsidP="00A4116A">
            <w:pPr>
              <w:pStyle w:val="TabNumeri"/>
            </w:pPr>
          </w:p>
        </w:tc>
        <w:tc>
          <w:tcPr>
            <w:tcW w:w="1021" w:type="dxa"/>
            <w:shd w:val="clear" w:color="auto" w:fill="EAF1DD" w:themeFill="accent3" w:themeFillTint="33"/>
          </w:tcPr>
          <w:p w14:paraId="7D92E21F" w14:textId="77777777" w:rsidR="00167F7D" w:rsidRPr="00EE2A60" w:rsidRDefault="00167F7D" w:rsidP="00A4116A">
            <w:pPr>
              <w:pStyle w:val="TabNumeri"/>
            </w:pPr>
            <w:r w:rsidRPr="007D385C">
              <w:t>1,1</w:t>
            </w:r>
          </w:p>
        </w:tc>
        <w:tc>
          <w:tcPr>
            <w:tcW w:w="342" w:type="dxa"/>
            <w:shd w:val="clear" w:color="auto" w:fill="EAF1DD" w:themeFill="accent3" w:themeFillTint="33"/>
          </w:tcPr>
          <w:p w14:paraId="06F9BC65" w14:textId="77777777" w:rsidR="00167F7D" w:rsidRPr="00EE2A60" w:rsidRDefault="00167F7D" w:rsidP="00A4116A">
            <w:pPr>
              <w:pStyle w:val="TabNumeri"/>
            </w:pPr>
            <w:r w:rsidRPr="00EE2A60">
              <w:t>[8]</w:t>
            </w:r>
          </w:p>
        </w:tc>
      </w:tr>
      <w:tr w:rsidR="00167F7D" w14:paraId="542D5FA8" w14:textId="77777777" w:rsidTr="00A4116A">
        <w:tblPrEx>
          <w:tblBorders>
            <w:bottom w:val="none" w:sz="0" w:space="0" w:color="auto"/>
          </w:tblBorders>
        </w:tblPrEx>
        <w:trPr>
          <w:cantSplit/>
          <w:trHeight w:val="255"/>
        </w:trPr>
        <w:tc>
          <w:tcPr>
            <w:tcW w:w="2552" w:type="dxa"/>
          </w:tcPr>
          <w:p w14:paraId="35CE8688" w14:textId="77777777" w:rsidR="00167F7D" w:rsidRPr="00233F5C" w:rsidRDefault="00167F7D" w:rsidP="00A4116A">
            <w:pPr>
              <w:pStyle w:val="TabEtichette"/>
            </w:pPr>
            <w:r w:rsidRPr="00233F5C">
              <w:t>Ind</w:t>
            </w:r>
            <w:r>
              <w:t>ebitamento A. P. [b</w:t>
            </w:r>
            <w:r w:rsidRPr="00233F5C">
              <w:t>]</w:t>
            </w:r>
          </w:p>
        </w:tc>
        <w:tc>
          <w:tcPr>
            <w:tcW w:w="1021" w:type="dxa"/>
          </w:tcPr>
          <w:p w14:paraId="4F0BEC64" w14:textId="77777777" w:rsidR="00167F7D" w:rsidRPr="00D862EC" w:rsidRDefault="00167F7D" w:rsidP="00A4116A">
            <w:pPr>
              <w:pStyle w:val="TabNumeri"/>
            </w:pPr>
            <w:r w:rsidRPr="00340545">
              <w:t>1,6</w:t>
            </w:r>
          </w:p>
        </w:tc>
        <w:tc>
          <w:tcPr>
            <w:tcW w:w="340" w:type="dxa"/>
          </w:tcPr>
          <w:p w14:paraId="1778A221" w14:textId="77777777" w:rsidR="00167F7D" w:rsidRPr="004936D0" w:rsidRDefault="00167F7D" w:rsidP="00A4116A">
            <w:pPr>
              <w:pStyle w:val="TabNumeri"/>
            </w:pPr>
          </w:p>
        </w:tc>
        <w:tc>
          <w:tcPr>
            <w:tcW w:w="1021" w:type="dxa"/>
          </w:tcPr>
          <w:p w14:paraId="09F091C0" w14:textId="77777777" w:rsidR="00167F7D" w:rsidRPr="00811B57" w:rsidRDefault="00167F7D" w:rsidP="00A4116A">
            <w:pPr>
              <w:pStyle w:val="TabNumeri"/>
            </w:pPr>
            <w:r w:rsidRPr="00F255AA">
              <w:t>2,5</w:t>
            </w:r>
          </w:p>
        </w:tc>
        <w:tc>
          <w:tcPr>
            <w:tcW w:w="340" w:type="dxa"/>
          </w:tcPr>
          <w:p w14:paraId="6D142A58" w14:textId="77777777" w:rsidR="00167F7D" w:rsidRPr="00811B57" w:rsidRDefault="00167F7D" w:rsidP="00A4116A">
            <w:pPr>
              <w:pStyle w:val="TabNumeri"/>
            </w:pPr>
          </w:p>
        </w:tc>
        <w:tc>
          <w:tcPr>
            <w:tcW w:w="1021" w:type="dxa"/>
          </w:tcPr>
          <w:p w14:paraId="39A969A1" w14:textId="77777777" w:rsidR="00167F7D" w:rsidRPr="00A319C0" w:rsidRDefault="00167F7D" w:rsidP="00A4116A">
            <w:pPr>
              <w:pStyle w:val="TabNumeri"/>
            </w:pPr>
            <w:r w:rsidRPr="00413582">
              <w:t>2,2</w:t>
            </w:r>
          </w:p>
        </w:tc>
        <w:tc>
          <w:tcPr>
            <w:tcW w:w="340" w:type="dxa"/>
          </w:tcPr>
          <w:p w14:paraId="3346227A" w14:textId="77777777" w:rsidR="00167F7D" w:rsidRPr="00A319C0" w:rsidRDefault="00167F7D" w:rsidP="00A4116A">
            <w:pPr>
              <w:pStyle w:val="TabNumeri"/>
            </w:pPr>
          </w:p>
        </w:tc>
        <w:tc>
          <w:tcPr>
            <w:tcW w:w="1021" w:type="dxa"/>
          </w:tcPr>
          <w:p w14:paraId="24A565C2" w14:textId="77777777" w:rsidR="00167F7D" w:rsidRPr="00D32E0A" w:rsidRDefault="00167F7D" w:rsidP="00A4116A">
            <w:pPr>
              <w:pStyle w:val="TabNumeri"/>
            </w:pPr>
            <w:proofErr w:type="spellStart"/>
            <w:r>
              <w:t>n.d.</w:t>
            </w:r>
            <w:proofErr w:type="spellEnd"/>
          </w:p>
        </w:tc>
        <w:tc>
          <w:tcPr>
            <w:tcW w:w="340" w:type="dxa"/>
          </w:tcPr>
          <w:p w14:paraId="783D893B" w14:textId="77777777" w:rsidR="00167F7D" w:rsidRPr="00D32E0A" w:rsidRDefault="00167F7D" w:rsidP="00A4116A">
            <w:pPr>
              <w:pStyle w:val="TabNumeri"/>
            </w:pPr>
          </w:p>
        </w:tc>
        <w:tc>
          <w:tcPr>
            <w:tcW w:w="1021" w:type="dxa"/>
          </w:tcPr>
          <w:p w14:paraId="6BC6A0C1" w14:textId="77777777" w:rsidR="00167F7D" w:rsidRPr="00EE2A60" w:rsidRDefault="00167F7D" w:rsidP="00A4116A">
            <w:pPr>
              <w:pStyle w:val="TabNumeri"/>
            </w:pPr>
            <w:r w:rsidRPr="007D385C">
              <w:t>2,3</w:t>
            </w:r>
          </w:p>
        </w:tc>
        <w:tc>
          <w:tcPr>
            <w:tcW w:w="342" w:type="dxa"/>
          </w:tcPr>
          <w:p w14:paraId="3E1203ED" w14:textId="77777777" w:rsidR="00167F7D" w:rsidRPr="00EE2A60" w:rsidRDefault="00167F7D" w:rsidP="00A4116A">
            <w:pPr>
              <w:pStyle w:val="TabNumeri"/>
            </w:pPr>
            <w:r w:rsidRPr="00EE2A60">
              <w:t>[7]</w:t>
            </w:r>
          </w:p>
        </w:tc>
      </w:tr>
      <w:tr w:rsidR="00167F7D" w14:paraId="7C42A1BB" w14:textId="77777777" w:rsidTr="00A4116A">
        <w:tblPrEx>
          <w:tblBorders>
            <w:bottom w:val="none" w:sz="0" w:space="0" w:color="auto"/>
          </w:tblBorders>
        </w:tblPrEx>
        <w:trPr>
          <w:cantSplit/>
          <w:trHeight w:val="255"/>
        </w:trPr>
        <w:tc>
          <w:tcPr>
            <w:tcW w:w="2552" w:type="dxa"/>
            <w:shd w:val="clear" w:color="auto" w:fill="EAF1DD" w:themeFill="accent3" w:themeFillTint="33"/>
          </w:tcPr>
          <w:p w14:paraId="6BBB9196" w14:textId="77777777" w:rsidR="00167F7D" w:rsidRDefault="00167F7D" w:rsidP="00A4116A">
            <w:pPr>
              <w:pStyle w:val="TabEtichette"/>
            </w:pPr>
            <w:r>
              <w:t>Debito A. Pubblica [b</w:t>
            </w:r>
            <w:r w:rsidRPr="00233F5C">
              <w:t>]</w:t>
            </w:r>
          </w:p>
        </w:tc>
        <w:tc>
          <w:tcPr>
            <w:tcW w:w="1021" w:type="dxa"/>
            <w:shd w:val="clear" w:color="auto" w:fill="EAF1DD" w:themeFill="accent3" w:themeFillTint="33"/>
          </w:tcPr>
          <w:p w14:paraId="15CD145E" w14:textId="77777777" w:rsidR="00167F7D" w:rsidRDefault="00167F7D" w:rsidP="00A4116A">
            <w:pPr>
              <w:pStyle w:val="TabNumeri"/>
            </w:pPr>
            <w:r w:rsidRPr="00340545">
              <w:t>134,8</w:t>
            </w:r>
          </w:p>
        </w:tc>
        <w:tc>
          <w:tcPr>
            <w:tcW w:w="340" w:type="dxa"/>
            <w:shd w:val="clear" w:color="auto" w:fill="EAF1DD" w:themeFill="accent3" w:themeFillTint="33"/>
          </w:tcPr>
          <w:p w14:paraId="77930AC6" w14:textId="77777777" w:rsidR="00167F7D" w:rsidRPr="008A2BE0" w:rsidRDefault="00167F7D" w:rsidP="00A4116A">
            <w:pPr>
              <w:pStyle w:val="TabNumeri"/>
            </w:pPr>
          </w:p>
        </w:tc>
        <w:tc>
          <w:tcPr>
            <w:tcW w:w="1021" w:type="dxa"/>
            <w:shd w:val="clear" w:color="auto" w:fill="EAF1DD" w:themeFill="accent3" w:themeFillTint="33"/>
          </w:tcPr>
          <w:p w14:paraId="5F1149B6" w14:textId="77777777" w:rsidR="00167F7D" w:rsidRPr="00811B57" w:rsidRDefault="00167F7D" w:rsidP="00A4116A">
            <w:pPr>
              <w:pStyle w:val="TabNumeri"/>
            </w:pPr>
            <w:r w:rsidRPr="00F255AA">
              <w:t>133,7</w:t>
            </w:r>
          </w:p>
        </w:tc>
        <w:tc>
          <w:tcPr>
            <w:tcW w:w="340" w:type="dxa"/>
            <w:shd w:val="clear" w:color="auto" w:fill="EAF1DD" w:themeFill="accent3" w:themeFillTint="33"/>
          </w:tcPr>
          <w:p w14:paraId="3545A7A8" w14:textId="77777777" w:rsidR="00167F7D" w:rsidRDefault="00167F7D" w:rsidP="00A4116A">
            <w:pPr>
              <w:pStyle w:val="TabNumeri"/>
            </w:pPr>
          </w:p>
        </w:tc>
        <w:tc>
          <w:tcPr>
            <w:tcW w:w="1021" w:type="dxa"/>
            <w:shd w:val="clear" w:color="auto" w:fill="EAF1DD" w:themeFill="accent3" w:themeFillTint="33"/>
          </w:tcPr>
          <w:p w14:paraId="4C3D9805" w14:textId="77777777" w:rsidR="00167F7D" w:rsidRPr="00A319C0" w:rsidRDefault="00167F7D" w:rsidP="00A4116A">
            <w:pPr>
              <w:pStyle w:val="TabNumeri"/>
            </w:pPr>
            <w:r w:rsidRPr="00413582">
              <w:t>136,1</w:t>
            </w:r>
          </w:p>
        </w:tc>
        <w:tc>
          <w:tcPr>
            <w:tcW w:w="340" w:type="dxa"/>
            <w:shd w:val="clear" w:color="auto" w:fill="EAF1DD" w:themeFill="accent3" w:themeFillTint="33"/>
          </w:tcPr>
          <w:p w14:paraId="71FDD64C" w14:textId="77777777" w:rsidR="00167F7D" w:rsidRDefault="00167F7D" w:rsidP="00A4116A">
            <w:pPr>
              <w:pStyle w:val="TabNumeri"/>
            </w:pPr>
          </w:p>
        </w:tc>
        <w:tc>
          <w:tcPr>
            <w:tcW w:w="1021" w:type="dxa"/>
            <w:shd w:val="clear" w:color="auto" w:fill="EAF1DD" w:themeFill="accent3" w:themeFillTint="33"/>
          </w:tcPr>
          <w:p w14:paraId="321323B0" w14:textId="77777777" w:rsidR="00167F7D" w:rsidRPr="00D32E0A" w:rsidRDefault="00167F7D" w:rsidP="00A4116A">
            <w:pPr>
              <w:pStyle w:val="TabNumeri"/>
            </w:pPr>
            <w:proofErr w:type="spellStart"/>
            <w:r>
              <w:t>n.d.</w:t>
            </w:r>
            <w:proofErr w:type="spellEnd"/>
          </w:p>
        </w:tc>
        <w:tc>
          <w:tcPr>
            <w:tcW w:w="340" w:type="dxa"/>
            <w:shd w:val="clear" w:color="auto" w:fill="EAF1DD" w:themeFill="accent3" w:themeFillTint="33"/>
          </w:tcPr>
          <w:p w14:paraId="234CD701" w14:textId="77777777" w:rsidR="00167F7D" w:rsidRDefault="00167F7D" w:rsidP="00A4116A">
            <w:pPr>
              <w:pStyle w:val="TabNumeri"/>
            </w:pPr>
          </w:p>
        </w:tc>
        <w:tc>
          <w:tcPr>
            <w:tcW w:w="1021" w:type="dxa"/>
            <w:shd w:val="clear" w:color="auto" w:fill="EAF1DD" w:themeFill="accent3" w:themeFillTint="33"/>
          </w:tcPr>
          <w:p w14:paraId="55E10074" w14:textId="77777777" w:rsidR="00167F7D" w:rsidRPr="00EE2A60" w:rsidRDefault="00167F7D" w:rsidP="00A4116A">
            <w:pPr>
              <w:pStyle w:val="TabNumeri"/>
            </w:pPr>
            <w:r w:rsidRPr="007D385C">
              <w:t>135,7</w:t>
            </w:r>
          </w:p>
        </w:tc>
        <w:tc>
          <w:tcPr>
            <w:tcW w:w="342" w:type="dxa"/>
            <w:shd w:val="clear" w:color="auto" w:fill="EAF1DD" w:themeFill="accent3" w:themeFillTint="33"/>
          </w:tcPr>
          <w:p w14:paraId="33DB39BC" w14:textId="77777777" w:rsidR="00167F7D" w:rsidRDefault="00167F7D" w:rsidP="00A4116A">
            <w:pPr>
              <w:pStyle w:val="TabNumeri"/>
            </w:pPr>
            <w:r w:rsidRPr="00EE2A60">
              <w:t>[8]</w:t>
            </w:r>
          </w:p>
        </w:tc>
      </w:tr>
      <w:tr w:rsidR="00167F7D" w:rsidRPr="00D76DB6" w14:paraId="697BE66A" w14:textId="77777777" w:rsidTr="00A4116A">
        <w:tblPrEx>
          <w:tblBorders>
            <w:bottom w:val="none" w:sz="0" w:space="0" w:color="auto"/>
          </w:tblBorders>
        </w:tblPrEx>
        <w:trPr>
          <w:cantSplit/>
        </w:trPr>
        <w:tc>
          <w:tcPr>
            <w:tcW w:w="9359" w:type="dxa"/>
            <w:gridSpan w:val="11"/>
            <w:tcBorders>
              <w:top w:val="single" w:sz="4" w:space="0" w:color="A50021"/>
            </w:tcBorders>
          </w:tcPr>
          <w:p w14:paraId="23438B3B" w14:textId="10C08E63" w:rsidR="00167F7D" w:rsidRPr="006629F7" w:rsidRDefault="00167F7D" w:rsidP="00A4116A">
            <w:pPr>
              <w:pStyle w:val="TabNoteSuperiori"/>
            </w:pPr>
            <w:r w:rsidRPr="006629F7">
              <w:t xml:space="preserve">a] Tasso percentuale. [b] Percentuale sul Pil. [1] Variazioni del PIL e delle sue componenti stimate su dati trimestrali destagionalizzati e corretti per il numero di giornate. [2] Investment in </w:t>
            </w:r>
            <w:proofErr w:type="spellStart"/>
            <w:r w:rsidRPr="006629F7">
              <w:t>equipment</w:t>
            </w:r>
            <w:proofErr w:type="spellEnd"/>
            <w:r w:rsidRPr="006629F7">
              <w:t xml:space="preserve">. Investimenti in beni strumentali. [3] Persone. [4] Unità di lavoro standard. [5] Tasso di inflazione armonizzato Ue. [6] Bilancia commerciale (in % del Pil). [7] </w:t>
            </w:r>
            <w:proofErr w:type="spellStart"/>
            <w:r w:rsidRPr="006629F7">
              <w:t>Promoteia</w:t>
            </w:r>
            <w:proofErr w:type="spellEnd"/>
            <w:r w:rsidRPr="006629F7">
              <w:t xml:space="preserve"> Brief, febbraio </w:t>
            </w:r>
            <w:r w:rsidRPr="006629F7">
              <w:fldChar w:fldCharType="begin"/>
            </w:r>
            <w:r w:rsidRPr="006629F7">
              <w:instrText xml:space="preserve"> DATE  \@ "yyyy"  \* MERGEFORMAT </w:instrText>
            </w:r>
            <w:r w:rsidRPr="006629F7">
              <w:fldChar w:fldCharType="separate"/>
            </w:r>
            <w:r w:rsidR="005D497A">
              <w:rPr>
                <w:noProof/>
              </w:rPr>
              <w:t>2020</w:t>
            </w:r>
            <w:r w:rsidRPr="006629F7">
              <w:fldChar w:fldCharType="end"/>
            </w:r>
            <w:r w:rsidRPr="006629F7">
              <w:t>. [8] Rapporto di previsione, dicembre 2019.</w:t>
            </w:r>
          </w:p>
          <w:p w14:paraId="7141197E" w14:textId="2CCEEFD6" w:rsidR="00167F7D" w:rsidRPr="00D76DB6" w:rsidRDefault="00167F7D" w:rsidP="00A4116A">
            <w:pPr>
              <w:pStyle w:val="TabNoteInferiori"/>
            </w:pPr>
            <w:r w:rsidRPr="006629F7">
              <w:t xml:space="preserve">Fonte Istat, Pil e indebitamento AP, Prezzi al consumo, Occupati e disoccupati; Fmi, World </w:t>
            </w:r>
            <w:proofErr w:type="spellStart"/>
            <w:r w:rsidRPr="006629F7">
              <w:t>Economic</w:t>
            </w:r>
            <w:proofErr w:type="spellEnd"/>
            <w:r w:rsidRPr="006629F7">
              <w:t xml:space="preserve"> Outlook; Oecd, </w:t>
            </w:r>
            <w:proofErr w:type="spellStart"/>
            <w:r w:rsidRPr="006629F7">
              <w:t>Economic</w:t>
            </w:r>
            <w:proofErr w:type="spellEnd"/>
            <w:r w:rsidRPr="006629F7">
              <w:t xml:space="preserve"> Outlook; Banca d’Italia, Bollettino economico; Prometeia, Rapporto di Previsione; Prometeia, Brief.</w:t>
            </w:r>
          </w:p>
        </w:tc>
      </w:tr>
    </w:tbl>
    <w:p w14:paraId="308E1186" w14:textId="3202EF7E" w:rsidR="00200ADC" w:rsidRPr="00DD7703" w:rsidRDefault="00200ADC" w:rsidP="00200ADC">
      <w:pPr>
        <w:rPr>
          <w:bCs/>
        </w:rPr>
      </w:pPr>
      <w:r w:rsidRPr="00DD7703">
        <w:rPr>
          <w:bCs/>
        </w:rPr>
        <w:t>Gli investimenti privati non sono andati oltre un incremento dell’1,4 per cento nel 2019, frenati dall’incertezza interna e internazionale, dalla riduzione dei margini di profitto e dalle deboli prospettive di domanda. Gli stessi fattori, cui si aggiunge l’incertezza relativa agli effetti dell’evoluzione sanitaria, avranno un effetto negativo sul ciclo degli investimenti, che non andranno oltre un +1,0 per cento nel 2020, nonostante il supporto degli incentivi fiscali e le favorevoli condizioni di finanziamento, ma già tale previsione appare ottimistica.</w:t>
      </w:r>
    </w:p>
    <w:p w14:paraId="5543142D" w14:textId="77777777" w:rsidR="00200ADC" w:rsidRPr="00DD7703" w:rsidRDefault="00200ADC" w:rsidP="00200ADC">
      <w:pPr>
        <w:rPr>
          <w:bCs/>
        </w:rPr>
      </w:pPr>
      <w:r w:rsidRPr="00DD7703">
        <w:rPr>
          <w:bCs/>
        </w:rPr>
        <w:t>La crescita delle esportazioni si è fermata all’1,2 per cento nel 2019, a seguito del brusco rallentamento del commercio globale, e la dinamica delle vendite all’estero non si riprenderà nel 2020 (+1,2 per cento), tenuto conto anche della rivalutazione dell’euro.</w:t>
      </w:r>
    </w:p>
    <w:p w14:paraId="0969DBAA" w14:textId="77777777" w:rsidR="00200ADC" w:rsidRPr="00E412E6" w:rsidRDefault="00200ADC" w:rsidP="00200ADC">
      <w:pPr>
        <w:pStyle w:val="Titolo4"/>
        <w:rPr>
          <w:bCs/>
        </w:rPr>
      </w:pPr>
      <w:bookmarkStart w:id="1" w:name="_Toc19697796"/>
      <w:r w:rsidRPr="00E412E6">
        <w:rPr>
          <w:bCs/>
        </w:rPr>
        <w:t>Prezzi</w:t>
      </w:r>
      <w:bookmarkEnd w:id="1"/>
    </w:p>
    <w:p w14:paraId="3D1CD004" w14:textId="67B8968A" w:rsidR="00200ADC" w:rsidRPr="00DD7703" w:rsidRDefault="00200ADC" w:rsidP="00200ADC">
      <w:pPr>
        <w:rPr>
          <w:bCs/>
        </w:rPr>
      </w:pPr>
      <w:r w:rsidRPr="00DD7703">
        <w:rPr>
          <w:bCs/>
        </w:rPr>
        <w:t xml:space="preserve">La crescita dell’indice dei prezzi al consumo ha </w:t>
      </w:r>
      <w:r w:rsidR="0085510F" w:rsidRPr="00DD7703">
        <w:rPr>
          <w:bCs/>
        </w:rPr>
        <w:t>ulteriormente</w:t>
      </w:r>
      <w:r w:rsidRPr="00DD7703">
        <w:rPr>
          <w:bCs/>
        </w:rPr>
        <w:t xml:space="preserve"> rallentato e non è andata oltre lo 0,6 per cento nel 2019. Nell’aggiornamento di febbraio di Prometeia, se ne prevedeva solo una lieve accelerazione (+0,8 per cento) nel 2020. La recente evoluzione prospetta una notevole contributo negativo degli energetici, mentre l’evoluzione futura sarà determinata dall’andamento dell’equilibrio tra domanda e offerta a fronte delle difficoltà createsi per le catene di fornitura a livello globale.</w:t>
      </w:r>
    </w:p>
    <w:p w14:paraId="1564F954" w14:textId="77777777" w:rsidR="00200ADC" w:rsidRPr="00E412E6" w:rsidRDefault="00200ADC" w:rsidP="00200ADC">
      <w:pPr>
        <w:pStyle w:val="Titolo4"/>
        <w:rPr>
          <w:bCs/>
        </w:rPr>
      </w:pPr>
      <w:bookmarkStart w:id="2" w:name="_Toc19697797"/>
      <w:r w:rsidRPr="00E412E6">
        <w:rPr>
          <w:bCs/>
        </w:rPr>
        <w:t>Lavoro</w:t>
      </w:r>
      <w:bookmarkEnd w:id="2"/>
    </w:p>
    <w:p w14:paraId="5DBDD71E" w14:textId="7090CA38" w:rsidR="00200ADC" w:rsidRPr="00DD7703" w:rsidRDefault="00200ADC" w:rsidP="00200ADC">
      <w:pPr>
        <w:rPr>
          <w:bCs/>
        </w:rPr>
      </w:pPr>
      <w:r w:rsidRPr="00DD7703">
        <w:rPr>
          <w:bCs/>
        </w:rPr>
        <w:t xml:space="preserve">L’andamento del mercato del lavoro ha mostrato una certa resistenza al rallentamento dell’attività, ma ha </w:t>
      </w:r>
      <w:r w:rsidR="0085510F" w:rsidRPr="00DD7703">
        <w:rPr>
          <w:bCs/>
        </w:rPr>
        <w:t>progressivamente</w:t>
      </w:r>
      <w:r w:rsidRPr="00DD7703">
        <w:rPr>
          <w:bCs/>
        </w:rPr>
        <w:t xml:space="preserve"> perso slancio. La crescita dell’occupazione si è ridotta nel 2019 (+0,6 per cento) e le previsioni più recenti prospettano uno stop alla crescita degli occupati nel 2020 (+0,1 per cento). Il tasso di disoccupazione è sceso dall’11,2 del 2017 al 10,6 per cento del 2018, si è ridotto al 9,9 per cento nel 2019, dovrebbe ridursi solo lievemente nel 2020 (9,7 per cento), ma l’attuale incertezza potrebbe favorirne una ripresa. </w:t>
      </w:r>
    </w:p>
    <w:p w14:paraId="56F27E4D" w14:textId="77777777" w:rsidR="00200ADC" w:rsidRPr="00E412E6" w:rsidRDefault="00200ADC" w:rsidP="00200ADC">
      <w:pPr>
        <w:pStyle w:val="Titolo4"/>
        <w:rPr>
          <w:bCs/>
        </w:rPr>
      </w:pPr>
      <w:bookmarkStart w:id="3" w:name="_Toc19697798"/>
      <w:r w:rsidRPr="00E412E6">
        <w:rPr>
          <w:bCs/>
        </w:rPr>
        <w:lastRenderedPageBreak/>
        <w:t>Credito</w:t>
      </w:r>
      <w:bookmarkEnd w:id="3"/>
    </w:p>
    <w:p w14:paraId="2FE43919" w14:textId="1BF45628" w:rsidR="00200ADC" w:rsidRPr="00DD7703" w:rsidRDefault="00200ADC" w:rsidP="00200ADC">
      <w:pPr>
        <w:rPr>
          <w:bCs/>
        </w:rPr>
      </w:pPr>
      <w:r w:rsidRPr="00DD7703">
        <w:rPr>
          <w:bCs/>
        </w:rPr>
        <w:t xml:space="preserve">Secondo i dati provvisori di Banca d’Italia, riferiti allo scorso novembre, la crescita del credito al settore privato non finanziario si è fermata sui 12 mesi. La flessione dei finanziamenti alle società non finanziarie si è accentuata (-1,9 per cento), riflettendo gli effetti delle deboli condizioni cicliche sulla domanda di prestiti; mentre l’aumento del credito alle famiglie è ancora solido (+2,3 per cento) rispetto a un anno prima. La riduzione dei rendimenti sovrani si è trasmessa al costo della raccolta. Il costo medio dei nuovi prestiti bancari al settore privato è lievemente diminuito. Il peggioramento del credito ha interessato tutti i comparti, -0,5 per cento per la manifattura, -1,7 per cento per i servizi e addirittura -4,3 per cento per le costruzioni. La tendenza negativa è più marcata per le società di </w:t>
      </w:r>
      <w:r w:rsidR="0085510F" w:rsidRPr="00DD7703">
        <w:rPr>
          <w:bCs/>
        </w:rPr>
        <w:t>minore</w:t>
      </w:r>
      <w:r w:rsidRPr="00DD7703">
        <w:rPr>
          <w:bCs/>
        </w:rPr>
        <w:t xml:space="preserve"> dimensione. L’interconnessione tra l’elevato debito pubblico e il sistema bancario costituisce il principale rischio per la finanza nazionale. </w:t>
      </w:r>
    </w:p>
    <w:p w14:paraId="616F47DA" w14:textId="77777777" w:rsidR="00200ADC" w:rsidRPr="00E412E6" w:rsidRDefault="00200ADC" w:rsidP="00200ADC">
      <w:pPr>
        <w:pStyle w:val="Titolo4"/>
        <w:rPr>
          <w:bCs/>
        </w:rPr>
      </w:pPr>
      <w:bookmarkStart w:id="4" w:name="_Toc19697799"/>
      <w:r w:rsidRPr="00E412E6">
        <w:rPr>
          <w:bCs/>
        </w:rPr>
        <w:t>Finanza pubblica</w:t>
      </w:r>
      <w:bookmarkEnd w:id="4"/>
    </w:p>
    <w:p w14:paraId="052452E3" w14:textId="1015ADFC" w:rsidR="00200ADC" w:rsidRPr="00DD7703" w:rsidRDefault="00200ADC" w:rsidP="00200ADC">
      <w:pPr>
        <w:rPr>
          <w:bCs/>
        </w:rPr>
      </w:pPr>
      <w:r w:rsidRPr="00DD7703">
        <w:rPr>
          <w:bCs/>
        </w:rPr>
        <w:t>Nonostante la forte tendenza alla riduzione dei tassi di interesse, la necessità di interventi economici gravosi a fronte della crisi sanitaria imporrà un aumento del deficit e del debito pubblico e del loro rapporto con il prodotto interno lordo i cui effetti dovranno essere considerati una volta superata l’emergenza.</w:t>
      </w:r>
      <w:r w:rsidR="00EA259C">
        <w:rPr>
          <w:bCs/>
        </w:rPr>
        <w:t xml:space="preserve"> </w:t>
      </w:r>
      <w:r w:rsidR="00EA259C">
        <w:rPr>
          <w:bCs/>
        </w:rPr>
        <w:t>n questo senso</w:t>
      </w:r>
      <w:r w:rsidR="00EA259C">
        <w:rPr>
          <w:bCs/>
        </w:rPr>
        <w:t>, ottenuta la flessibilità di bilancio richiesta dalla Commissione europea, il Governo ha recentemente stanziato 25 miliardi di euro per fronteggiare la crisi.</w:t>
      </w:r>
    </w:p>
    <w:p w14:paraId="5D8C7607" w14:textId="7FC433A7" w:rsidR="00200ADC" w:rsidRPr="00DD7703" w:rsidRDefault="00200ADC" w:rsidP="00200ADC">
      <w:r w:rsidRPr="00DD7703">
        <w:rPr>
          <w:bCs/>
        </w:rPr>
        <w:t xml:space="preserve">Il deficit pubblico in rapporto al prodotto interno lordo è stato contenuto all’1,6 per cento nel 2019, con un leggero aumento della pressione fiscale. Per il 2020 Prometeia prospettava a febbraio un aumento fino al 2,3 per cento, con il pieno andare a regime della spesa legata al reddito di cittadinanza e a quota 100, mentre sulle entrate avrebbero avuto effetto in un senso la riduzione del cuneo fiscale e nell’altro le misure antievasione. La spesa per interessi viene contenuta dal livello dei tassi nell’area dell’euro eccezionalmente basso. </w:t>
      </w:r>
      <w:r w:rsidRPr="00DD7703">
        <w:t>Il rapporto debito pubblico e Pil ha raggiunto quota 134,8 per cento nel 2019. Prometeia a febbraio ne prospettava un aumento fino al 135,7 per cento. Con l’accordo dell’Unione europea, l’azione del Governo a fronte dell’emergenza sanitaria port</w:t>
      </w:r>
      <w:r w:rsidR="007974D7">
        <w:t xml:space="preserve">erà </w:t>
      </w:r>
      <w:r w:rsidRPr="00DD7703">
        <w:t>ben al di sopra di tali livelli del rapporto con il Pil sia la necessità di finanziamento pubblico, sia l’ammontare del debito pubblico</w:t>
      </w:r>
      <w:r w:rsidR="007974D7">
        <w:t>, per garantire un adeguato sostegno all’economia</w:t>
      </w:r>
      <w:r w:rsidRPr="00DD7703">
        <w:t xml:space="preserve">. </w:t>
      </w:r>
    </w:p>
    <w:p w14:paraId="08261EE0" w14:textId="77777777" w:rsidR="00F858D8" w:rsidRDefault="00CF2079" w:rsidP="00F858D8">
      <w:pPr>
        <w:pStyle w:val="Titolo2"/>
      </w:pPr>
      <w:r>
        <w:t>X</w:t>
      </w:r>
      <w:r w:rsidR="00F858D8">
        <w:t>.</w:t>
      </w:r>
      <w:r w:rsidR="00C43F0D">
        <w:t>4</w:t>
      </w:r>
      <w:r w:rsidR="00F858D8">
        <w:t>.</w:t>
      </w:r>
      <w:r w:rsidR="00F858D8">
        <w:tab/>
      </w:r>
      <w:bookmarkStart w:id="5" w:name="OLE_LINK1"/>
      <w:r w:rsidR="002B3250">
        <w:t xml:space="preserve">L’economia </w:t>
      </w:r>
      <w:r w:rsidR="00F858D8">
        <w:t>regionale</w:t>
      </w:r>
      <w:bookmarkEnd w:id="5"/>
    </w:p>
    <w:p w14:paraId="397B2D66" w14:textId="77777777" w:rsidR="00B71DC6" w:rsidRDefault="00B71DC6" w:rsidP="00FC3774">
      <w:pPr>
        <w:pStyle w:val="Titolo2"/>
      </w:pPr>
      <w:r>
        <w:t>X.4.</w:t>
      </w:r>
      <w:r>
        <w:tab/>
        <w:t>Il quadro regionale</w:t>
      </w:r>
    </w:p>
    <w:p w14:paraId="45897A78" w14:textId="77777777" w:rsidR="00B71DC6" w:rsidRDefault="00B71DC6" w:rsidP="001F4DC8">
      <w:pPr>
        <w:pStyle w:val="Titolo4"/>
      </w:pPr>
      <w:r>
        <w:t>Pil e conto economico</w:t>
      </w:r>
    </w:p>
    <w:tbl>
      <w:tblPr>
        <w:tblpPr w:topFromText="284" w:bottomFromText="284" w:horzAnchor="margin" w:tblpXSpec="center" w:tblpYSpec="bottom"/>
        <w:tblOverlap w:val="never"/>
        <w:tblW w:w="0" w:type="auto"/>
        <w:tblLayout w:type="fixed"/>
        <w:tblCellMar>
          <w:left w:w="0" w:type="dxa"/>
          <w:right w:w="0" w:type="dxa"/>
        </w:tblCellMar>
        <w:tblLook w:val="04A0" w:firstRow="1" w:lastRow="0" w:firstColumn="1" w:lastColumn="0" w:noHBand="0" w:noVBand="1"/>
      </w:tblPr>
      <w:tblGrid>
        <w:gridCol w:w="9356"/>
      </w:tblGrid>
      <w:tr w:rsidR="00167F7D" w14:paraId="5A19FEB9" w14:textId="77777777" w:rsidTr="00167F7D">
        <w:trPr>
          <w:cantSplit/>
        </w:trPr>
        <w:tc>
          <w:tcPr>
            <w:tcW w:w="9356" w:type="dxa"/>
          </w:tcPr>
          <w:p w14:paraId="34F2BC0A" w14:textId="77777777" w:rsidR="00167F7D" w:rsidRDefault="00167F7D" w:rsidP="00167F7D">
            <w:pPr>
              <w:pStyle w:val="FigTitolo"/>
              <w:ind w:left="1134" w:hanging="1134"/>
            </w:pPr>
            <w:r>
              <w:t>Il quadro regionale: tasso di variazione e numero indice del Pil (2000=100)</w:t>
            </w:r>
          </w:p>
          <w:p w14:paraId="5F24AD1D" w14:textId="77777777" w:rsidR="00167F7D" w:rsidRDefault="00167F7D" w:rsidP="00167F7D">
            <w:pPr>
              <w:pStyle w:val="Figure"/>
            </w:pPr>
            <w:r w:rsidRPr="00AD0198">
              <w:rPr>
                <w:noProof/>
              </w:rPr>
              <w:drawing>
                <wp:inline distT="0" distB="0" distL="0" distR="0" wp14:anchorId="324DF3A6" wp14:editId="7388E51E">
                  <wp:extent cx="5904000" cy="2340000"/>
                  <wp:effectExtent l="0" t="0" r="0" b="0"/>
                  <wp:docPr id="1" name="Gra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1D121771" w14:textId="12B04096" w:rsidR="00167F7D" w:rsidRDefault="00167F7D" w:rsidP="00167F7D">
            <w:pPr>
              <w:pStyle w:val="TabNoteInferiori"/>
            </w:pPr>
            <w:r w:rsidRPr="0029075E">
              <w:t xml:space="preserve">Fonte: </w:t>
            </w:r>
            <w:r w:rsidRPr="00B60C06">
              <w:t xml:space="preserve">elaborazione Unioncamere E.R. su dati Prometeia, Scenari per le economie locali, </w:t>
            </w:r>
            <w:r>
              <w:t xml:space="preserve">gennaio </w:t>
            </w:r>
            <w:r>
              <w:fldChar w:fldCharType="begin"/>
            </w:r>
            <w:r>
              <w:instrText xml:space="preserve"> DATE  \@ "yyyy"  \* MERGEFORMAT </w:instrText>
            </w:r>
            <w:r>
              <w:fldChar w:fldCharType="separate"/>
            </w:r>
            <w:r w:rsidR="005D497A">
              <w:rPr>
                <w:noProof/>
              </w:rPr>
              <w:t>2020</w:t>
            </w:r>
            <w:r>
              <w:fldChar w:fldCharType="end"/>
            </w:r>
            <w:r w:rsidRPr="00B60C06">
              <w:t>..</w:t>
            </w:r>
            <w:r w:rsidRPr="0029075E">
              <w:t>.</w:t>
            </w:r>
          </w:p>
        </w:tc>
      </w:tr>
    </w:tbl>
    <w:p w14:paraId="462C3452" w14:textId="77777777" w:rsidR="00B71DC6" w:rsidRDefault="00B71DC6" w:rsidP="00E40C89">
      <w:r>
        <w:t>La crescita stimata del prodotto interno lordo per il 2019 dovrebbe essere stata dello 0,5 per cento e quella attesa nel 2020 dovrebbe accelerare solo leggermente allo 0,8 per cento. Il Pil regionale in termini reali nel 2020 dovrebbe risultare superiore del 9,6 per cento rispetto ai livelli minimi toccati al culmine della crisi nel 2009, ma ancora sostanzialmente in linea con il livello del 2007 (+1,0 per cento).</w:t>
      </w:r>
    </w:p>
    <w:p w14:paraId="28E008C1" w14:textId="77777777" w:rsidR="00B71DC6" w:rsidRDefault="00B71DC6" w:rsidP="00E40C89">
      <w:r>
        <w:t xml:space="preserve">L’andamento regionale si conferma sostanzialmente migliore di quello nazionale. Nonostante il rallentamento, nel 2019 l’Emilia-Romagna risulta comunque al vertice tra tutte le regioni italiane per </w:t>
      </w:r>
      <w:r>
        <w:lastRenderedPageBreak/>
        <w:t>capacità di crescita, insieme con la Lombardia, e lo sarà anche nel 2020 e nel 2021, insieme alla Lombardia e al Veneto.</w:t>
      </w:r>
      <w:r w:rsidR="00914F9B">
        <w:t xml:space="preserve"> </w:t>
      </w:r>
    </w:p>
    <w:tbl>
      <w:tblPr>
        <w:tblpPr w:topFromText="425" w:bottomFromText="425" w:horzAnchor="margin" w:tblpXSpec="center" w:tblpYSpec="top"/>
        <w:tblOverlap w:val="never"/>
        <w:tblW w:w="9356" w:type="dxa"/>
        <w:tblLayout w:type="fixed"/>
        <w:tblCellMar>
          <w:left w:w="0" w:type="dxa"/>
          <w:right w:w="0" w:type="dxa"/>
        </w:tblCellMar>
        <w:tblLook w:val="0000" w:firstRow="0" w:lastRow="0" w:firstColumn="0" w:lastColumn="0" w:noHBand="0" w:noVBand="0"/>
      </w:tblPr>
      <w:tblGrid>
        <w:gridCol w:w="4820"/>
        <w:gridCol w:w="1134"/>
        <w:gridCol w:w="1134"/>
        <w:gridCol w:w="1134"/>
        <w:gridCol w:w="1134"/>
      </w:tblGrid>
      <w:tr w:rsidR="00167F7D" w14:paraId="49DC1F2F" w14:textId="77777777" w:rsidTr="00167F7D">
        <w:trPr>
          <w:cantSplit/>
        </w:trPr>
        <w:tc>
          <w:tcPr>
            <w:tcW w:w="9356" w:type="dxa"/>
            <w:gridSpan w:val="5"/>
            <w:tcBorders>
              <w:bottom w:val="single" w:sz="4" w:space="0" w:color="800000"/>
            </w:tcBorders>
          </w:tcPr>
          <w:p w14:paraId="06ECEA10" w14:textId="77777777" w:rsidR="00167F7D" w:rsidRPr="007C570B" w:rsidRDefault="00167F7D" w:rsidP="00167F7D">
            <w:pPr>
              <w:pStyle w:val="TabTitolo"/>
              <w:ind w:left="1134" w:hanging="1134"/>
            </w:pPr>
            <w:bookmarkStart w:id="6" w:name="_Hlk35271308"/>
            <w:r>
              <w:t>Previsione per l’Emilia-Romagna. Tassi di variazione percentuali</w:t>
            </w:r>
            <w:r w:rsidRPr="007C570B">
              <w:t xml:space="preserve"> su valori </w:t>
            </w:r>
            <w:r>
              <w:t xml:space="preserve">concatenati, anno di </w:t>
            </w:r>
            <w:proofErr w:type="spellStart"/>
            <w:r>
              <w:t>riferim</w:t>
            </w:r>
            <w:proofErr w:type="spellEnd"/>
            <w:r>
              <w:t>. 2010</w:t>
            </w:r>
          </w:p>
        </w:tc>
      </w:tr>
      <w:tr w:rsidR="00167F7D" w14:paraId="5E26DA81" w14:textId="77777777" w:rsidTr="00167F7D">
        <w:trPr>
          <w:cantSplit/>
        </w:trPr>
        <w:tc>
          <w:tcPr>
            <w:tcW w:w="4820" w:type="dxa"/>
            <w:tcBorders>
              <w:bottom w:val="single" w:sz="4" w:space="0" w:color="800000"/>
            </w:tcBorders>
            <w:vAlign w:val="bottom"/>
          </w:tcPr>
          <w:p w14:paraId="1CA530D5" w14:textId="77777777" w:rsidR="00167F7D" w:rsidRDefault="00167F7D" w:rsidP="00167F7D">
            <w:pPr>
              <w:pStyle w:val="TabIntestazioni"/>
              <w:rPr>
                <w:rFonts w:eastAsia="Arial Unicode MS"/>
              </w:rPr>
            </w:pPr>
          </w:p>
        </w:tc>
        <w:tc>
          <w:tcPr>
            <w:tcW w:w="1134" w:type="dxa"/>
            <w:tcBorders>
              <w:bottom w:val="single" w:sz="4" w:space="0" w:color="800000"/>
            </w:tcBorders>
          </w:tcPr>
          <w:p w14:paraId="084F1E4B" w14:textId="77777777" w:rsidR="00167F7D" w:rsidRPr="0085406E" w:rsidRDefault="00167F7D" w:rsidP="00167F7D">
            <w:pPr>
              <w:pStyle w:val="TabIntestazioni"/>
              <w:jc w:val="right"/>
            </w:pPr>
            <w:r w:rsidRPr="0085406E">
              <w:t>2017</w:t>
            </w:r>
          </w:p>
        </w:tc>
        <w:tc>
          <w:tcPr>
            <w:tcW w:w="1134" w:type="dxa"/>
            <w:tcBorders>
              <w:bottom w:val="single" w:sz="4" w:space="0" w:color="800000"/>
            </w:tcBorders>
          </w:tcPr>
          <w:p w14:paraId="5E49DE96" w14:textId="77777777" w:rsidR="00167F7D" w:rsidRPr="0085406E" w:rsidRDefault="00167F7D" w:rsidP="00167F7D">
            <w:pPr>
              <w:pStyle w:val="TabIntestazioni"/>
              <w:jc w:val="right"/>
            </w:pPr>
            <w:r w:rsidRPr="0085406E">
              <w:t>2018</w:t>
            </w:r>
          </w:p>
        </w:tc>
        <w:tc>
          <w:tcPr>
            <w:tcW w:w="1134" w:type="dxa"/>
            <w:tcBorders>
              <w:bottom w:val="single" w:sz="4" w:space="0" w:color="800000"/>
            </w:tcBorders>
          </w:tcPr>
          <w:p w14:paraId="52ED1B4C" w14:textId="77777777" w:rsidR="00167F7D" w:rsidRPr="0085406E" w:rsidRDefault="00167F7D" w:rsidP="00167F7D">
            <w:pPr>
              <w:pStyle w:val="TabIntestazioni"/>
              <w:jc w:val="right"/>
            </w:pPr>
            <w:r w:rsidRPr="0085406E">
              <w:t>2019</w:t>
            </w:r>
          </w:p>
        </w:tc>
        <w:tc>
          <w:tcPr>
            <w:tcW w:w="1134" w:type="dxa"/>
            <w:tcBorders>
              <w:bottom w:val="single" w:sz="4" w:space="0" w:color="800000"/>
            </w:tcBorders>
          </w:tcPr>
          <w:p w14:paraId="6D3D27A5" w14:textId="77777777" w:rsidR="00167F7D" w:rsidRPr="0085406E" w:rsidRDefault="00167F7D" w:rsidP="00167F7D">
            <w:pPr>
              <w:pStyle w:val="TabIntestazioni"/>
              <w:jc w:val="right"/>
            </w:pPr>
            <w:r w:rsidRPr="0085406E">
              <w:t>20</w:t>
            </w:r>
            <w:r>
              <w:t>20</w:t>
            </w:r>
          </w:p>
        </w:tc>
      </w:tr>
      <w:tr w:rsidR="00167F7D" w14:paraId="71308FB8" w14:textId="77777777" w:rsidTr="00167F7D">
        <w:trPr>
          <w:cantSplit/>
          <w:trHeight w:hRule="exact" w:val="57"/>
        </w:trPr>
        <w:tc>
          <w:tcPr>
            <w:tcW w:w="4820" w:type="dxa"/>
            <w:tcBorders>
              <w:top w:val="single" w:sz="4" w:space="0" w:color="800000"/>
            </w:tcBorders>
          </w:tcPr>
          <w:p w14:paraId="1399608E" w14:textId="77777777" w:rsidR="00167F7D" w:rsidRPr="00686A56" w:rsidRDefault="00167F7D" w:rsidP="00167F7D">
            <w:pPr>
              <w:pStyle w:val="TabEtichette"/>
              <w:rPr>
                <w:rFonts w:eastAsia="Arial Unicode MS"/>
              </w:rPr>
            </w:pPr>
          </w:p>
        </w:tc>
        <w:tc>
          <w:tcPr>
            <w:tcW w:w="1134" w:type="dxa"/>
            <w:tcBorders>
              <w:top w:val="single" w:sz="4" w:space="0" w:color="800000"/>
            </w:tcBorders>
          </w:tcPr>
          <w:p w14:paraId="7E19EB51" w14:textId="77777777" w:rsidR="00167F7D" w:rsidRPr="0085406E" w:rsidRDefault="00167F7D" w:rsidP="00167F7D"/>
        </w:tc>
        <w:tc>
          <w:tcPr>
            <w:tcW w:w="1134" w:type="dxa"/>
            <w:tcBorders>
              <w:top w:val="single" w:sz="4" w:space="0" w:color="800000"/>
            </w:tcBorders>
          </w:tcPr>
          <w:p w14:paraId="43658A6C" w14:textId="77777777" w:rsidR="00167F7D" w:rsidRPr="0085406E" w:rsidRDefault="00167F7D" w:rsidP="00167F7D"/>
        </w:tc>
        <w:tc>
          <w:tcPr>
            <w:tcW w:w="1134" w:type="dxa"/>
            <w:tcBorders>
              <w:top w:val="single" w:sz="4" w:space="0" w:color="800000"/>
            </w:tcBorders>
          </w:tcPr>
          <w:p w14:paraId="297C1EC9" w14:textId="77777777" w:rsidR="00167F7D" w:rsidRPr="0085406E" w:rsidRDefault="00167F7D" w:rsidP="00167F7D"/>
        </w:tc>
        <w:tc>
          <w:tcPr>
            <w:tcW w:w="1134" w:type="dxa"/>
            <w:tcBorders>
              <w:top w:val="single" w:sz="4" w:space="0" w:color="800000"/>
            </w:tcBorders>
          </w:tcPr>
          <w:p w14:paraId="19B5DEC9" w14:textId="77777777" w:rsidR="00167F7D" w:rsidRPr="0085406E" w:rsidRDefault="00167F7D" w:rsidP="00167F7D"/>
        </w:tc>
      </w:tr>
      <w:tr w:rsidR="00167F7D" w14:paraId="77DDFCBB" w14:textId="77777777" w:rsidTr="00167F7D">
        <w:trPr>
          <w:cantSplit/>
          <w:trHeight w:val="227"/>
        </w:trPr>
        <w:tc>
          <w:tcPr>
            <w:tcW w:w="4820" w:type="dxa"/>
          </w:tcPr>
          <w:p w14:paraId="6F0689B7" w14:textId="77777777" w:rsidR="00167F7D" w:rsidRPr="00F039B7" w:rsidRDefault="00167F7D" w:rsidP="00167F7D">
            <w:pPr>
              <w:pStyle w:val="TabEtichetteBold"/>
              <w:rPr>
                <w:rFonts w:eastAsia="Arial Unicode MS"/>
              </w:rPr>
            </w:pPr>
            <w:r w:rsidRPr="00F039B7">
              <w:t>Conto economico</w:t>
            </w:r>
          </w:p>
        </w:tc>
        <w:tc>
          <w:tcPr>
            <w:tcW w:w="1134" w:type="dxa"/>
          </w:tcPr>
          <w:p w14:paraId="68DE25B1" w14:textId="77777777" w:rsidR="00167F7D" w:rsidRPr="0085406E" w:rsidRDefault="00167F7D" w:rsidP="00167F7D">
            <w:pPr>
              <w:pStyle w:val="tabnum"/>
            </w:pPr>
          </w:p>
        </w:tc>
        <w:tc>
          <w:tcPr>
            <w:tcW w:w="1134" w:type="dxa"/>
          </w:tcPr>
          <w:p w14:paraId="2D58ED04" w14:textId="77777777" w:rsidR="00167F7D" w:rsidRPr="0085406E" w:rsidRDefault="00167F7D" w:rsidP="00167F7D">
            <w:pPr>
              <w:pStyle w:val="tabnum"/>
            </w:pPr>
          </w:p>
        </w:tc>
        <w:tc>
          <w:tcPr>
            <w:tcW w:w="1134" w:type="dxa"/>
          </w:tcPr>
          <w:p w14:paraId="478973A4" w14:textId="77777777" w:rsidR="00167F7D" w:rsidRPr="0085406E" w:rsidRDefault="00167F7D" w:rsidP="00167F7D">
            <w:pPr>
              <w:pStyle w:val="tabnum"/>
            </w:pPr>
          </w:p>
        </w:tc>
        <w:tc>
          <w:tcPr>
            <w:tcW w:w="1134" w:type="dxa"/>
          </w:tcPr>
          <w:p w14:paraId="7F263576" w14:textId="77777777" w:rsidR="00167F7D" w:rsidRPr="0085406E" w:rsidRDefault="00167F7D" w:rsidP="00167F7D">
            <w:pPr>
              <w:pStyle w:val="tabnum"/>
            </w:pPr>
          </w:p>
        </w:tc>
      </w:tr>
      <w:tr w:rsidR="00167F7D" w14:paraId="0C3EAB5A" w14:textId="77777777" w:rsidTr="00167F7D">
        <w:trPr>
          <w:cantSplit/>
          <w:trHeight w:val="227"/>
        </w:trPr>
        <w:tc>
          <w:tcPr>
            <w:tcW w:w="4820" w:type="dxa"/>
            <w:shd w:val="clear" w:color="auto" w:fill="DAEEF3" w:themeFill="accent5" w:themeFillTint="33"/>
          </w:tcPr>
          <w:p w14:paraId="1A357E5C" w14:textId="77777777" w:rsidR="00167F7D" w:rsidRDefault="00167F7D" w:rsidP="00167F7D">
            <w:pPr>
              <w:pStyle w:val="TabEtichette"/>
              <w:rPr>
                <w:rFonts w:eastAsia="Arial Unicode MS"/>
              </w:rPr>
            </w:pPr>
            <w:r>
              <w:t>Prodotto interno lordo</w:t>
            </w:r>
          </w:p>
        </w:tc>
        <w:tc>
          <w:tcPr>
            <w:tcW w:w="1134" w:type="dxa"/>
            <w:shd w:val="clear" w:color="auto" w:fill="DAEEF3" w:themeFill="accent5" w:themeFillTint="33"/>
          </w:tcPr>
          <w:p w14:paraId="113D3C9B" w14:textId="77777777" w:rsidR="00167F7D" w:rsidRPr="00AE376F" w:rsidRDefault="00167F7D" w:rsidP="00167F7D">
            <w:pPr>
              <w:pStyle w:val="TabNumeri"/>
            </w:pPr>
            <w:r w:rsidRPr="00AE376F">
              <w:t>1,8</w:t>
            </w:r>
          </w:p>
        </w:tc>
        <w:tc>
          <w:tcPr>
            <w:tcW w:w="1134" w:type="dxa"/>
            <w:shd w:val="clear" w:color="auto" w:fill="DAEEF3" w:themeFill="accent5" w:themeFillTint="33"/>
          </w:tcPr>
          <w:p w14:paraId="754ACE16" w14:textId="77777777" w:rsidR="00167F7D" w:rsidRPr="00AE376F" w:rsidRDefault="00167F7D" w:rsidP="00167F7D">
            <w:pPr>
              <w:pStyle w:val="TabNumeri"/>
            </w:pPr>
            <w:r w:rsidRPr="00AE376F">
              <w:t>0,5</w:t>
            </w:r>
          </w:p>
        </w:tc>
        <w:tc>
          <w:tcPr>
            <w:tcW w:w="1134" w:type="dxa"/>
            <w:shd w:val="clear" w:color="auto" w:fill="DAEEF3" w:themeFill="accent5" w:themeFillTint="33"/>
          </w:tcPr>
          <w:p w14:paraId="51D122A5" w14:textId="77777777" w:rsidR="00167F7D" w:rsidRPr="00AE376F" w:rsidRDefault="00167F7D" w:rsidP="00167F7D">
            <w:pPr>
              <w:pStyle w:val="TabNumeri"/>
            </w:pPr>
            <w:r w:rsidRPr="00AE376F">
              <w:t>0,8</w:t>
            </w:r>
          </w:p>
        </w:tc>
        <w:tc>
          <w:tcPr>
            <w:tcW w:w="1134" w:type="dxa"/>
            <w:shd w:val="clear" w:color="auto" w:fill="DAEEF3" w:themeFill="accent5" w:themeFillTint="33"/>
          </w:tcPr>
          <w:p w14:paraId="5F2AE922" w14:textId="77777777" w:rsidR="00167F7D" w:rsidRPr="00AE376F" w:rsidRDefault="00167F7D" w:rsidP="00167F7D">
            <w:pPr>
              <w:pStyle w:val="TabNumeri"/>
            </w:pPr>
            <w:r w:rsidRPr="00AE376F">
              <w:t>1,0</w:t>
            </w:r>
          </w:p>
        </w:tc>
      </w:tr>
      <w:tr w:rsidR="00167F7D" w14:paraId="260A8595" w14:textId="77777777" w:rsidTr="00167F7D">
        <w:trPr>
          <w:cantSplit/>
          <w:trHeight w:val="227"/>
        </w:trPr>
        <w:tc>
          <w:tcPr>
            <w:tcW w:w="4820" w:type="dxa"/>
          </w:tcPr>
          <w:p w14:paraId="5B4041AF" w14:textId="77777777" w:rsidR="00167F7D" w:rsidRDefault="00167F7D" w:rsidP="00167F7D">
            <w:pPr>
              <w:pStyle w:val="TabEtichette"/>
              <w:rPr>
                <w:rFonts w:eastAsia="Arial Unicode MS"/>
              </w:rPr>
            </w:pPr>
            <w:r>
              <w:t>Domanda interna</w:t>
            </w:r>
            <w:r>
              <w:rPr>
                <w:vertAlign w:val="superscript"/>
              </w:rPr>
              <w:t>(1</w:t>
            </w:r>
            <w:r w:rsidRPr="002F2B82">
              <w:rPr>
                <w:vertAlign w:val="superscript"/>
              </w:rPr>
              <w:t>)</w:t>
            </w:r>
          </w:p>
        </w:tc>
        <w:tc>
          <w:tcPr>
            <w:tcW w:w="1134" w:type="dxa"/>
          </w:tcPr>
          <w:p w14:paraId="4B24B3EF" w14:textId="77777777" w:rsidR="00167F7D" w:rsidRPr="00AE376F" w:rsidRDefault="00167F7D" w:rsidP="00167F7D">
            <w:pPr>
              <w:pStyle w:val="TabNumeri"/>
            </w:pPr>
            <w:r w:rsidRPr="00AE376F">
              <w:t>1,7</w:t>
            </w:r>
          </w:p>
        </w:tc>
        <w:tc>
          <w:tcPr>
            <w:tcW w:w="1134" w:type="dxa"/>
          </w:tcPr>
          <w:p w14:paraId="5A17BE1A" w14:textId="77777777" w:rsidR="00167F7D" w:rsidRPr="00AE376F" w:rsidRDefault="00167F7D" w:rsidP="00167F7D">
            <w:pPr>
              <w:pStyle w:val="TabNumeri"/>
            </w:pPr>
            <w:r w:rsidRPr="00AE376F">
              <w:t>1,4</w:t>
            </w:r>
          </w:p>
        </w:tc>
        <w:tc>
          <w:tcPr>
            <w:tcW w:w="1134" w:type="dxa"/>
          </w:tcPr>
          <w:p w14:paraId="5BE4C2F6" w14:textId="77777777" w:rsidR="00167F7D" w:rsidRPr="00AE376F" w:rsidRDefault="00167F7D" w:rsidP="00167F7D">
            <w:pPr>
              <w:pStyle w:val="TabNumeri"/>
            </w:pPr>
            <w:r w:rsidRPr="00AE376F">
              <w:t>1,3</w:t>
            </w:r>
          </w:p>
        </w:tc>
        <w:tc>
          <w:tcPr>
            <w:tcW w:w="1134" w:type="dxa"/>
          </w:tcPr>
          <w:p w14:paraId="72183733" w14:textId="77777777" w:rsidR="00167F7D" w:rsidRPr="00AE376F" w:rsidRDefault="00167F7D" w:rsidP="00167F7D">
            <w:pPr>
              <w:pStyle w:val="TabNumeri"/>
            </w:pPr>
            <w:r w:rsidRPr="00AE376F">
              <w:t>1,1</w:t>
            </w:r>
          </w:p>
        </w:tc>
      </w:tr>
      <w:tr w:rsidR="00167F7D" w14:paraId="50E6C1D2" w14:textId="77777777" w:rsidTr="00167F7D">
        <w:trPr>
          <w:cantSplit/>
          <w:trHeight w:val="227"/>
        </w:trPr>
        <w:tc>
          <w:tcPr>
            <w:tcW w:w="4820" w:type="dxa"/>
            <w:shd w:val="clear" w:color="auto" w:fill="DAEEF3" w:themeFill="accent5" w:themeFillTint="33"/>
          </w:tcPr>
          <w:p w14:paraId="7CB367E3" w14:textId="77777777" w:rsidR="00167F7D" w:rsidRDefault="00167F7D" w:rsidP="00167F7D">
            <w:pPr>
              <w:pStyle w:val="TabEtichette"/>
              <w:rPr>
                <w:rFonts w:eastAsia="Arial Unicode MS"/>
              </w:rPr>
            </w:pPr>
            <w:r>
              <w:t xml:space="preserve">   Consumi delle famiglie</w:t>
            </w:r>
          </w:p>
        </w:tc>
        <w:tc>
          <w:tcPr>
            <w:tcW w:w="1134" w:type="dxa"/>
            <w:shd w:val="clear" w:color="auto" w:fill="DAEEF3" w:themeFill="accent5" w:themeFillTint="33"/>
          </w:tcPr>
          <w:p w14:paraId="09A5699A" w14:textId="77777777" w:rsidR="00167F7D" w:rsidRPr="00AE376F" w:rsidRDefault="00167F7D" w:rsidP="00167F7D">
            <w:pPr>
              <w:pStyle w:val="TabNumeri"/>
            </w:pPr>
            <w:r w:rsidRPr="00AE376F">
              <w:t>0,9</w:t>
            </w:r>
          </w:p>
        </w:tc>
        <w:tc>
          <w:tcPr>
            <w:tcW w:w="1134" w:type="dxa"/>
            <w:shd w:val="clear" w:color="auto" w:fill="DAEEF3" w:themeFill="accent5" w:themeFillTint="33"/>
          </w:tcPr>
          <w:p w14:paraId="29D0EF6B" w14:textId="77777777" w:rsidR="00167F7D" w:rsidRPr="00AE376F" w:rsidRDefault="00167F7D" w:rsidP="00167F7D">
            <w:pPr>
              <w:pStyle w:val="TabNumeri"/>
            </w:pPr>
            <w:r w:rsidRPr="00AE376F">
              <w:t>1,0</w:t>
            </w:r>
          </w:p>
        </w:tc>
        <w:tc>
          <w:tcPr>
            <w:tcW w:w="1134" w:type="dxa"/>
            <w:shd w:val="clear" w:color="auto" w:fill="DAEEF3" w:themeFill="accent5" w:themeFillTint="33"/>
          </w:tcPr>
          <w:p w14:paraId="4F7DB7BC" w14:textId="77777777" w:rsidR="00167F7D" w:rsidRPr="00AE376F" w:rsidRDefault="00167F7D" w:rsidP="00167F7D">
            <w:pPr>
              <w:pStyle w:val="TabNumeri"/>
            </w:pPr>
            <w:r w:rsidRPr="00AE376F">
              <w:t>1,1</w:t>
            </w:r>
          </w:p>
        </w:tc>
        <w:tc>
          <w:tcPr>
            <w:tcW w:w="1134" w:type="dxa"/>
            <w:shd w:val="clear" w:color="auto" w:fill="DAEEF3" w:themeFill="accent5" w:themeFillTint="33"/>
          </w:tcPr>
          <w:p w14:paraId="24FE754D" w14:textId="77777777" w:rsidR="00167F7D" w:rsidRPr="00AE376F" w:rsidRDefault="00167F7D" w:rsidP="00167F7D">
            <w:pPr>
              <w:pStyle w:val="TabNumeri"/>
            </w:pPr>
            <w:r w:rsidRPr="00AE376F">
              <w:t>1,0</w:t>
            </w:r>
          </w:p>
        </w:tc>
      </w:tr>
      <w:tr w:rsidR="00167F7D" w14:paraId="33C44251" w14:textId="77777777" w:rsidTr="00167F7D">
        <w:trPr>
          <w:cantSplit/>
          <w:trHeight w:val="227"/>
        </w:trPr>
        <w:tc>
          <w:tcPr>
            <w:tcW w:w="4820" w:type="dxa"/>
          </w:tcPr>
          <w:p w14:paraId="3FA66DA1" w14:textId="77777777" w:rsidR="00167F7D" w:rsidRDefault="00167F7D" w:rsidP="00167F7D">
            <w:pPr>
              <w:pStyle w:val="TabEtichette"/>
              <w:rPr>
                <w:rFonts w:eastAsia="Arial Unicode MS"/>
              </w:rPr>
            </w:pPr>
            <w:r>
              <w:t xml:space="preserve">   Consumi delle AAPP e ISP</w:t>
            </w:r>
          </w:p>
        </w:tc>
        <w:tc>
          <w:tcPr>
            <w:tcW w:w="1134" w:type="dxa"/>
          </w:tcPr>
          <w:p w14:paraId="6EC8993E" w14:textId="77777777" w:rsidR="00167F7D" w:rsidRPr="00AE376F" w:rsidRDefault="00167F7D" w:rsidP="00167F7D">
            <w:pPr>
              <w:pStyle w:val="TabNumeri"/>
            </w:pPr>
            <w:r w:rsidRPr="00AE376F">
              <w:t>0,8</w:t>
            </w:r>
          </w:p>
        </w:tc>
        <w:tc>
          <w:tcPr>
            <w:tcW w:w="1134" w:type="dxa"/>
          </w:tcPr>
          <w:p w14:paraId="20ABE4F9" w14:textId="77777777" w:rsidR="00167F7D" w:rsidRPr="00AE376F" w:rsidRDefault="00167F7D" w:rsidP="00167F7D">
            <w:pPr>
              <w:pStyle w:val="TabNumeri"/>
            </w:pPr>
            <w:r w:rsidRPr="00AE376F">
              <w:t>0,7</w:t>
            </w:r>
          </w:p>
        </w:tc>
        <w:tc>
          <w:tcPr>
            <w:tcW w:w="1134" w:type="dxa"/>
          </w:tcPr>
          <w:p w14:paraId="7D7BEB43" w14:textId="77777777" w:rsidR="00167F7D" w:rsidRPr="00AE376F" w:rsidRDefault="00167F7D" w:rsidP="00167F7D">
            <w:pPr>
              <w:pStyle w:val="TabNumeri"/>
            </w:pPr>
            <w:r w:rsidRPr="00AE376F">
              <w:t>0,1</w:t>
            </w:r>
          </w:p>
        </w:tc>
        <w:tc>
          <w:tcPr>
            <w:tcW w:w="1134" w:type="dxa"/>
          </w:tcPr>
          <w:p w14:paraId="15FD5C22" w14:textId="77777777" w:rsidR="00167F7D" w:rsidRPr="00AE376F" w:rsidRDefault="00167F7D" w:rsidP="00167F7D">
            <w:pPr>
              <w:pStyle w:val="TabNumeri"/>
            </w:pPr>
            <w:r w:rsidRPr="00AE376F">
              <w:t>0,0</w:t>
            </w:r>
          </w:p>
        </w:tc>
      </w:tr>
      <w:tr w:rsidR="00167F7D" w14:paraId="67D5D192" w14:textId="77777777" w:rsidTr="00167F7D">
        <w:trPr>
          <w:cantSplit/>
          <w:trHeight w:val="227"/>
        </w:trPr>
        <w:tc>
          <w:tcPr>
            <w:tcW w:w="4820" w:type="dxa"/>
            <w:shd w:val="clear" w:color="auto" w:fill="DAEEF3" w:themeFill="accent5" w:themeFillTint="33"/>
          </w:tcPr>
          <w:p w14:paraId="0B30FF96" w14:textId="77777777" w:rsidR="00167F7D" w:rsidRDefault="00167F7D" w:rsidP="00167F7D">
            <w:pPr>
              <w:pStyle w:val="TabEtichette"/>
              <w:rPr>
                <w:rFonts w:eastAsia="Arial Unicode MS"/>
              </w:rPr>
            </w:pPr>
            <w:r>
              <w:t xml:space="preserve">   Investimenti fissi lordi</w:t>
            </w:r>
          </w:p>
        </w:tc>
        <w:tc>
          <w:tcPr>
            <w:tcW w:w="1134" w:type="dxa"/>
            <w:shd w:val="clear" w:color="auto" w:fill="DAEEF3" w:themeFill="accent5" w:themeFillTint="33"/>
          </w:tcPr>
          <w:p w14:paraId="71C9CF04" w14:textId="77777777" w:rsidR="00167F7D" w:rsidRPr="00AE376F" w:rsidRDefault="00167F7D" w:rsidP="00167F7D">
            <w:pPr>
              <w:pStyle w:val="TabNumeri"/>
            </w:pPr>
            <w:r w:rsidRPr="00AE376F">
              <w:t>4,9</w:t>
            </w:r>
          </w:p>
        </w:tc>
        <w:tc>
          <w:tcPr>
            <w:tcW w:w="1134" w:type="dxa"/>
            <w:shd w:val="clear" w:color="auto" w:fill="DAEEF3" w:themeFill="accent5" w:themeFillTint="33"/>
          </w:tcPr>
          <w:p w14:paraId="6617CF20" w14:textId="77777777" w:rsidR="00167F7D" w:rsidRPr="00AE376F" w:rsidRDefault="00167F7D" w:rsidP="00167F7D">
            <w:pPr>
              <w:pStyle w:val="TabNumeri"/>
            </w:pPr>
            <w:r w:rsidRPr="00AE376F">
              <w:t>3,1</w:t>
            </w:r>
          </w:p>
        </w:tc>
        <w:tc>
          <w:tcPr>
            <w:tcW w:w="1134" w:type="dxa"/>
            <w:shd w:val="clear" w:color="auto" w:fill="DAEEF3" w:themeFill="accent5" w:themeFillTint="33"/>
          </w:tcPr>
          <w:p w14:paraId="3A71F670" w14:textId="77777777" w:rsidR="00167F7D" w:rsidRPr="00AE376F" w:rsidRDefault="00167F7D" w:rsidP="00167F7D">
            <w:pPr>
              <w:pStyle w:val="TabNumeri"/>
            </w:pPr>
            <w:r w:rsidRPr="00AE376F">
              <w:t>2,7</w:t>
            </w:r>
          </w:p>
        </w:tc>
        <w:tc>
          <w:tcPr>
            <w:tcW w:w="1134" w:type="dxa"/>
            <w:shd w:val="clear" w:color="auto" w:fill="DAEEF3" w:themeFill="accent5" w:themeFillTint="33"/>
          </w:tcPr>
          <w:p w14:paraId="4107EB2C" w14:textId="77777777" w:rsidR="00167F7D" w:rsidRPr="00AE376F" w:rsidRDefault="00167F7D" w:rsidP="00167F7D">
            <w:pPr>
              <w:pStyle w:val="TabNumeri"/>
            </w:pPr>
            <w:r w:rsidRPr="00AE376F">
              <w:t>2,4</w:t>
            </w:r>
          </w:p>
        </w:tc>
      </w:tr>
      <w:tr w:rsidR="00167F7D" w14:paraId="565B3253" w14:textId="77777777" w:rsidTr="00167F7D">
        <w:trPr>
          <w:cantSplit/>
          <w:trHeight w:val="227"/>
        </w:trPr>
        <w:tc>
          <w:tcPr>
            <w:tcW w:w="4820" w:type="dxa"/>
          </w:tcPr>
          <w:p w14:paraId="10D5BF09" w14:textId="77777777" w:rsidR="00167F7D" w:rsidRDefault="00167F7D" w:rsidP="00167F7D">
            <w:pPr>
              <w:pStyle w:val="TabEtichette"/>
              <w:rPr>
                <w:rFonts w:eastAsia="Arial Unicode MS"/>
              </w:rPr>
            </w:pPr>
            <w:r>
              <w:t>Importazioni di beni dall’estero</w:t>
            </w:r>
          </w:p>
        </w:tc>
        <w:tc>
          <w:tcPr>
            <w:tcW w:w="1134" w:type="dxa"/>
          </w:tcPr>
          <w:p w14:paraId="730E6C72" w14:textId="77777777" w:rsidR="00167F7D" w:rsidRPr="00AE376F" w:rsidRDefault="00167F7D" w:rsidP="00167F7D">
            <w:pPr>
              <w:pStyle w:val="TabNumeri"/>
            </w:pPr>
            <w:r w:rsidRPr="00AE376F">
              <w:t>0,1</w:t>
            </w:r>
          </w:p>
        </w:tc>
        <w:tc>
          <w:tcPr>
            <w:tcW w:w="1134" w:type="dxa"/>
          </w:tcPr>
          <w:p w14:paraId="0B6349C1" w14:textId="77777777" w:rsidR="00167F7D" w:rsidRPr="00AE376F" w:rsidRDefault="00167F7D" w:rsidP="00167F7D">
            <w:pPr>
              <w:pStyle w:val="TabNumeri"/>
            </w:pPr>
            <w:r w:rsidRPr="00AE376F">
              <w:t>3,1</w:t>
            </w:r>
          </w:p>
        </w:tc>
        <w:tc>
          <w:tcPr>
            <w:tcW w:w="1134" w:type="dxa"/>
          </w:tcPr>
          <w:p w14:paraId="7B1119CC" w14:textId="77777777" w:rsidR="00167F7D" w:rsidRPr="00AE376F" w:rsidRDefault="00167F7D" w:rsidP="00167F7D">
            <w:pPr>
              <w:pStyle w:val="TabNumeri"/>
            </w:pPr>
            <w:r w:rsidRPr="00AE376F">
              <w:t>3,2</w:t>
            </w:r>
          </w:p>
        </w:tc>
        <w:tc>
          <w:tcPr>
            <w:tcW w:w="1134" w:type="dxa"/>
          </w:tcPr>
          <w:p w14:paraId="5A179926" w14:textId="77777777" w:rsidR="00167F7D" w:rsidRPr="00AE376F" w:rsidRDefault="00167F7D" w:rsidP="00167F7D">
            <w:pPr>
              <w:pStyle w:val="TabNumeri"/>
            </w:pPr>
            <w:r w:rsidRPr="00AE376F">
              <w:t>3,2</w:t>
            </w:r>
          </w:p>
        </w:tc>
      </w:tr>
      <w:tr w:rsidR="00167F7D" w14:paraId="0E196CD0" w14:textId="77777777" w:rsidTr="00167F7D">
        <w:trPr>
          <w:cantSplit/>
          <w:trHeight w:val="227"/>
        </w:trPr>
        <w:tc>
          <w:tcPr>
            <w:tcW w:w="4820" w:type="dxa"/>
            <w:shd w:val="clear" w:color="auto" w:fill="DAEEF3" w:themeFill="accent5" w:themeFillTint="33"/>
          </w:tcPr>
          <w:p w14:paraId="03A68D19" w14:textId="77777777" w:rsidR="00167F7D" w:rsidRDefault="00167F7D" w:rsidP="00167F7D">
            <w:pPr>
              <w:pStyle w:val="TabEtichette"/>
              <w:rPr>
                <w:rFonts w:eastAsia="Arial Unicode MS"/>
              </w:rPr>
            </w:pPr>
            <w:r>
              <w:t>Esportazioni di beni verso l’estero</w:t>
            </w:r>
          </w:p>
        </w:tc>
        <w:tc>
          <w:tcPr>
            <w:tcW w:w="1134" w:type="dxa"/>
            <w:shd w:val="clear" w:color="auto" w:fill="DAEEF3" w:themeFill="accent5" w:themeFillTint="33"/>
          </w:tcPr>
          <w:p w14:paraId="277F9D9F" w14:textId="77777777" w:rsidR="00167F7D" w:rsidRPr="00AE376F" w:rsidRDefault="00167F7D" w:rsidP="00167F7D">
            <w:pPr>
              <w:pStyle w:val="TabNumeri"/>
            </w:pPr>
            <w:r w:rsidRPr="00AE376F">
              <w:t>4,5</w:t>
            </w:r>
          </w:p>
        </w:tc>
        <w:tc>
          <w:tcPr>
            <w:tcW w:w="1134" w:type="dxa"/>
            <w:shd w:val="clear" w:color="auto" w:fill="DAEEF3" w:themeFill="accent5" w:themeFillTint="33"/>
          </w:tcPr>
          <w:p w14:paraId="65CEB6AC" w14:textId="77777777" w:rsidR="00167F7D" w:rsidRPr="00AE376F" w:rsidRDefault="00167F7D" w:rsidP="00167F7D">
            <w:pPr>
              <w:pStyle w:val="TabNumeri"/>
            </w:pPr>
            <w:r w:rsidRPr="00AE376F">
              <w:t>3,7</w:t>
            </w:r>
          </w:p>
        </w:tc>
        <w:tc>
          <w:tcPr>
            <w:tcW w:w="1134" w:type="dxa"/>
            <w:shd w:val="clear" w:color="auto" w:fill="DAEEF3" w:themeFill="accent5" w:themeFillTint="33"/>
          </w:tcPr>
          <w:p w14:paraId="4642E37D" w14:textId="77777777" w:rsidR="00167F7D" w:rsidRPr="00AE376F" w:rsidRDefault="00167F7D" w:rsidP="00167F7D">
            <w:pPr>
              <w:pStyle w:val="TabNumeri"/>
            </w:pPr>
            <w:r w:rsidRPr="00AE376F">
              <w:t>2,1</w:t>
            </w:r>
          </w:p>
        </w:tc>
        <w:tc>
          <w:tcPr>
            <w:tcW w:w="1134" w:type="dxa"/>
            <w:shd w:val="clear" w:color="auto" w:fill="DAEEF3" w:themeFill="accent5" w:themeFillTint="33"/>
          </w:tcPr>
          <w:p w14:paraId="0F1E07AF" w14:textId="77777777" w:rsidR="00167F7D" w:rsidRPr="00AE376F" w:rsidRDefault="00167F7D" w:rsidP="00167F7D">
            <w:pPr>
              <w:pStyle w:val="TabNumeri"/>
            </w:pPr>
            <w:r w:rsidRPr="00AE376F">
              <w:t>2,8</w:t>
            </w:r>
          </w:p>
        </w:tc>
      </w:tr>
      <w:tr w:rsidR="00167F7D" w14:paraId="30CE6D83" w14:textId="77777777" w:rsidTr="00167F7D">
        <w:trPr>
          <w:cantSplit/>
          <w:trHeight w:val="227"/>
        </w:trPr>
        <w:tc>
          <w:tcPr>
            <w:tcW w:w="4820" w:type="dxa"/>
          </w:tcPr>
          <w:p w14:paraId="00702FCC" w14:textId="77777777" w:rsidR="00167F7D" w:rsidRPr="00EC6592" w:rsidRDefault="00167F7D" w:rsidP="00167F7D">
            <w:pPr>
              <w:pStyle w:val="TabEtichetteBold"/>
              <w:rPr>
                <w:rFonts w:eastAsia="Arial Unicode MS"/>
              </w:rPr>
            </w:pPr>
            <w:r w:rsidRPr="00EC6592">
              <w:t>Valore aggiunto ai prezzi base</w:t>
            </w:r>
          </w:p>
        </w:tc>
        <w:tc>
          <w:tcPr>
            <w:tcW w:w="1134" w:type="dxa"/>
          </w:tcPr>
          <w:p w14:paraId="6AE65C7B" w14:textId="77777777" w:rsidR="00167F7D" w:rsidRPr="00AE376F" w:rsidRDefault="00167F7D" w:rsidP="00167F7D">
            <w:pPr>
              <w:pStyle w:val="TabNumeri"/>
            </w:pPr>
          </w:p>
        </w:tc>
        <w:tc>
          <w:tcPr>
            <w:tcW w:w="1134" w:type="dxa"/>
          </w:tcPr>
          <w:p w14:paraId="2276BD71" w14:textId="77777777" w:rsidR="00167F7D" w:rsidRPr="00AE376F" w:rsidRDefault="00167F7D" w:rsidP="00167F7D">
            <w:pPr>
              <w:pStyle w:val="TabNumeri"/>
            </w:pPr>
          </w:p>
        </w:tc>
        <w:tc>
          <w:tcPr>
            <w:tcW w:w="1134" w:type="dxa"/>
          </w:tcPr>
          <w:p w14:paraId="404E6680" w14:textId="77777777" w:rsidR="00167F7D" w:rsidRPr="00AE376F" w:rsidRDefault="00167F7D" w:rsidP="00167F7D">
            <w:pPr>
              <w:pStyle w:val="TabNumeri"/>
            </w:pPr>
          </w:p>
        </w:tc>
        <w:tc>
          <w:tcPr>
            <w:tcW w:w="1134" w:type="dxa"/>
          </w:tcPr>
          <w:p w14:paraId="1ABF1D29" w14:textId="77777777" w:rsidR="00167F7D" w:rsidRPr="00AE376F" w:rsidRDefault="00167F7D" w:rsidP="00167F7D">
            <w:pPr>
              <w:pStyle w:val="TabNumeri"/>
            </w:pPr>
          </w:p>
        </w:tc>
      </w:tr>
      <w:tr w:rsidR="00167F7D" w14:paraId="4FE0A3D2" w14:textId="77777777" w:rsidTr="00167F7D">
        <w:trPr>
          <w:cantSplit/>
          <w:trHeight w:val="227"/>
        </w:trPr>
        <w:tc>
          <w:tcPr>
            <w:tcW w:w="4820" w:type="dxa"/>
            <w:shd w:val="clear" w:color="auto" w:fill="DAEEF3" w:themeFill="accent5" w:themeFillTint="33"/>
          </w:tcPr>
          <w:p w14:paraId="7A4BF63B" w14:textId="77777777" w:rsidR="00167F7D" w:rsidRDefault="00167F7D" w:rsidP="00167F7D">
            <w:pPr>
              <w:pStyle w:val="TabEtichette"/>
              <w:rPr>
                <w:rFonts w:eastAsia="Arial Unicode MS"/>
              </w:rPr>
            </w:pPr>
            <w:r>
              <w:t>Agricoltura</w:t>
            </w:r>
          </w:p>
        </w:tc>
        <w:tc>
          <w:tcPr>
            <w:tcW w:w="1134" w:type="dxa"/>
            <w:shd w:val="clear" w:color="auto" w:fill="DAEEF3" w:themeFill="accent5" w:themeFillTint="33"/>
          </w:tcPr>
          <w:p w14:paraId="4F3225C0" w14:textId="77777777" w:rsidR="00167F7D" w:rsidRPr="00AE376F" w:rsidRDefault="00167F7D" w:rsidP="00167F7D">
            <w:pPr>
              <w:pStyle w:val="TabNumeri"/>
            </w:pPr>
            <w:r w:rsidRPr="00AE376F">
              <w:t>0,3</w:t>
            </w:r>
          </w:p>
        </w:tc>
        <w:tc>
          <w:tcPr>
            <w:tcW w:w="1134" w:type="dxa"/>
            <w:shd w:val="clear" w:color="auto" w:fill="DAEEF3" w:themeFill="accent5" w:themeFillTint="33"/>
          </w:tcPr>
          <w:p w14:paraId="51DF1B61" w14:textId="77777777" w:rsidR="00167F7D" w:rsidRPr="00AE376F" w:rsidRDefault="00167F7D" w:rsidP="00167F7D">
            <w:pPr>
              <w:pStyle w:val="TabNumeri"/>
            </w:pPr>
            <w:r w:rsidRPr="00AE376F">
              <w:t>0,1</w:t>
            </w:r>
          </w:p>
        </w:tc>
        <w:tc>
          <w:tcPr>
            <w:tcW w:w="1134" w:type="dxa"/>
            <w:shd w:val="clear" w:color="auto" w:fill="DAEEF3" w:themeFill="accent5" w:themeFillTint="33"/>
          </w:tcPr>
          <w:p w14:paraId="772A2FE7" w14:textId="77777777" w:rsidR="00167F7D" w:rsidRPr="00AE376F" w:rsidRDefault="00167F7D" w:rsidP="00167F7D">
            <w:pPr>
              <w:pStyle w:val="TabNumeri"/>
            </w:pPr>
            <w:r w:rsidRPr="00AE376F">
              <w:t>0,8</w:t>
            </w:r>
          </w:p>
        </w:tc>
        <w:tc>
          <w:tcPr>
            <w:tcW w:w="1134" w:type="dxa"/>
            <w:shd w:val="clear" w:color="auto" w:fill="DAEEF3" w:themeFill="accent5" w:themeFillTint="33"/>
          </w:tcPr>
          <w:p w14:paraId="287C9EB1" w14:textId="77777777" w:rsidR="00167F7D" w:rsidRPr="00AE376F" w:rsidRDefault="00167F7D" w:rsidP="00167F7D">
            <w:pPr>
              <w:pStyle w:val="TabNumeri"/>
            </w:pPr>
            <w:r w:rsidRPr="00AE376F">
              <w:t>0,9</w:t>
            </w:r>
          </w:p>
        </w:tc>
      </w:tr>
      <w:tr w:rsidR="00167F7D" w14:paraId="0AA42B3A" w14:textId="77777777" w:rsidTr="00167F7D">
        <w:trPr>
          <w:cantSplit/>
          <w:trHeight w:val="227"/>
        </w:trPr>
        <w:tc>
          <w:tcPr>
            <w:tcW w:w="4820" w:type="dxa"/>
          </w:tcPr>
          <w:p w14:paraId="77F99FFA" w14:textId="77777777" w:rsidR="00167F7D" w:rsidRDefault="00167F7D" w:rsidP="00167F7D">
            <w:pPr>
              <w:pStyle w:val="TabEtichette"/>
              <w:rPr>
                <w:rFonts w:eastAsia="Arial Unicode MS"/>
              </w:rPr>
            </w:pPr>
            <w:r>
              <w:t>Industria</w:t>
            </w:r>
          </w:p>
        </w:tc>
        <w:tc>
          <w:tcPr>
            <w:tcW w:w="1134" w:type="dxa"/>
          </w:tcPr>
          <w:p w14:paraId="3E7B4137" w14:textId="77777777" w:rsidR="00167F7D" w:rsidRPr="00AE376F" w:rsidRDefault="00167F7D" w:rsidP="00167F7D">
            <w:pPr>
              <w:pStyle w:val="TabNumeri"/>
            </w:pPr>
            <w:r w:rsidRPr="00AE376F">
              <w:t>3,9</w:t>
            </w:r>
          </w:p>
        </w:tc>
        <w:tc>
          <w:tcPr>
            <w:tcW w:w="1134" w:type="dxa"/>
          </w:tcPr>
          <w:p w14:paraId="1981BD84" w14:textId="77777777" w:rsidR="00167F7D" w:rsidRPr="00AE376F" w:rsidRDefault="00167F7D" w:rsidP="00167F7D">
            <w:pPr>
              <w:pStyle w:val="TabNumeri"/>
            </w:pPr>
            <w:r w:rsidRPr="00AE376F">
              <w:t>0,1</w:t>
            </w:r>
          </w:p>
        </w:tc>
        <w:tc>
          <w:tcPr>
            <w:tcW w:w="1134" w:type="dxa"/>
          </w:tcPr>
          <w:p w14:paraId="21501EF6" w14:textId="77777777" w:rsidR="00167F7D" w:rsidRPr="00AE376F" w:rsidRDefault="00167F7D" w:rsidP="00167F7D">
            <w:pPr>
              <w:pStyle w:val="TabNumeri"/>
            </w:pPr>
            <w:r w:rsidRPr="00AE376F">
              <w:t>1,0</w:t>
            </w:r>
          </w:p>
        </w:tc>
        <w:tc>
          <w:tcPr>
            <w:tcW w:w="1134" w:type="dxa"/>
          </w:tcPr>
          <w:p w14:paraId="19C08B14" w14:textId="77777777" w:rsidR="00167F7D" w:rsidRPr="00AE376F" w:rsidRDefault="00167F7D" w:rsidP="00167F7D">
            <w:pPr>
              <w:pStyle w:val="TabNumeri"/>
            </w:pPr>
            <w:r w:rsidRPr="00AE376F">
              <w:t>1,4</w:t>
            </w:r>
          </w:p>
        </w:tc>
      </w:tr>
      <w:tr w:rsidR="00167F7D" w14:paraId="09EEF65E" w14:textId="77777777" w:rsidTr="00167F7D">
        <w:trPr>
          <w:cantSplit/>
          <w:trHeight w:val="227"/>
        </w:trPr>
        <w:tc>
          <w:tcPr>
            <w:tcW w:w="4820" w:type="dxa"/>
            <w:shd w:val="clear" w:color="auto" w:fill="DAEEF3" w:themeFill="accent5" w:themeFillTint="33"/>
          </w:tcPr>
          <w:p w14:paraId="571B02F2" w14:textId="77777777" w:rsidR="00167F7D" w:rsidRDefault="00167F7D" w:rsidP="00167F7D">
            <w:pPr>
              <w:pStyle w:val="TabEtichette"/>
              <w:rPr>
                <w:rFonts w:eastAsia="Arial Unicode MS"/>
              </w:rPr>
            </w:pPr>
            <w:r>
              <w:t>Costruzioni</w:t>
            </w:r>
          </w:p>
        </w:tc>
        <w:tc>
          <w:tcPr>
            <w:tcW w:w="1134" w:type="dxa"/>
            <w:shd w:val="clear" w:color="auto" w:fill="DAEEF3" w:themeFill="accent5" w:themeFillTint="33"/>
          </w:tcPr>
          <w:p w14:paraId="424CE491" w14:textId="77777777" w:rsidR="00167F7D" w:rsidRPr="00AE376F" w:rsidRDefault="00167F7D" w:rsidP="00167F7D">
            <w:pPr>
              <w:pStyle w:val="TabNumeri"/>
            </w:pPr>
            <w:r w:rsidRPr="00AE376F">
              <w:t>2,2</w:t>
            </w:r>
          </w:p>
        </w:tc>
        <w:tc>
          <w:tcPr>
            <w:tcW w:w="1134" w:type="dxa"/>
            <w:shd w:val="clear" w:color="auto" w:fill="DAEEF3" w:themeFill="accent5" w:themeFillTint="33"/>
          </w:tcPr>
          <w:p w14:paraId="1AE962AC" w14:textId="77777777" w:rsidR="00167F7D" w:rsidRPr="00AE376F" w:rsidRDefault="00167F7D" w:rsidP="00167F7D">
            <w:pPr>
              <w:pStyle w:val="TabNumeri"/>
            </w:pPr>
            <w:r w:rsidRPr="00AE376F">
              <w:t>4,1</w:t>
            </w:r>
          </w:p>
        </w:tc>
        <w:tc>
          <w:tcPr>
            <w:tcW w:w="1134" w:type="dxa"/>
            <w:shd w:val="clear" w:color="auto" w:fill="DAEEF3" w:themeFill="accent5" w:themeFillTint="33"/>
          </w:tcPr>
          <w:p w14:paraId="067B2BB7" w14:textId="77777777" w:rsidR="00167F7D" w:rsidRPr="00AE376F" w:rsidRDefault="00167F7D" w:rsidP="00167F7D">
            <w:pPr>
              <w:pStyle w:val="TabNumeri"/>
            </w:pPr>
            <w:r w:rsidRPr="00AE376F">
              <w:t>2,2</w:t>
            </w:r>
          </w:p>
        </w:tc>
        <w:tc>
          <w:tcPr>
            <w:tcW w:w="1134" w:type="dxa"/>
            <w:shd w:val="clear" w:color="auto" w:fill="DAEEF3" w:themeFill="accent5" w:themeFillTint="33"/>
          </w:tcPr>
          <w:p w14:paraId="3E48CD0B" w14:textId="77777777" w:rsidR="00167F7D" w:rsidRPr="00AE376F" w:rsidRDefault="00167F7D" w:rsidP="00167F7D">
            <w:pPr>
              <w:pStyle w:val="TabNumeri"/>
            </w:pPr>
            <w:r w:rsidRPr="00AE376F">
              <w:t>2,0</w:t>
            </w:r>
          </w:p>
        </w:tc>
      </w:tr>
      <w:tr w:rsidR="00167F7D" w14:paraId="3FDE2FCA" w14:textId="77777777" w:rsidTr="00167F7D">
        <w:trPr>
          <w:cantSplit/>
          <w:trHeight w:val="227"/>
        </w:trPr>
        <w:tc>
          <w:tcPr>
            <w:tcW w:w="4820" w:type="dxa"/>
          </w:tcPr>
          <w:p w14:paraId="2F6E1FAF" w14:textId="77777777" w:rsidR="00167F7D" w:rsidRDefault="00167F7D" w:rsidP="00167F7D">
            <w:pPr>
              <w:pStyle w:val="TabEtichette"/>
              <w:rPr>
                <w:rFonts w:eastAsia="Arial Unicode MS"/>
              </w:rPr>
            </w:pPr>
            <w:r>
              <w:t>Servizi</w:t>
            </w:r>
          </w:p>
        </w:tc>
        <w:tc>
          <w:tcPr>
            <w:tcW w:w="1134" w:type="dxa"/>
          </w:tcPr>
          <w:p w14:paraId="2EC24482" w14:textId="77777777" w:rsidR="00167F7D" w:rsidRPr="00AE376F" w:rsidRDefault="00167F7D" w:rsidP="00167F7D">
            <w:pPr>
              <w:pStyle w:val="TabNumeri"/>
            </w:pPr>
            <w:r w:rsidRPr="00AE376F">
              <w:t>1,1</w:t>
            </w:r>
          </w:p>
        </w:tc>
        <w:tc>
          <w:tcPr>
            <w:tcW w:w="1134" w:type="dxa"/>
          </w:tcPr>
          <w:p w14:paraId="6DCAF116" w14:textId="77777777" w:rsidR="00167F7D" w:rsidRPr="00AE376F" w:rsidRDefault="00167F7D" w:rsidP="00167F7D">
            <w:pPr>
              <w:pStyle w:val="TabNumeri"/>
            </w:pPr>
            <w:r w:rsidRPr="00AE376F">
              <w:t>0,6</w:t>
            </w:r>
          </w:p>
        </w:tc>
        <w:tc>
          <w:tcPr>
            <w:tcW w:w="1134" w:type="dxa"/>
          </w:tcPr>
          <w:p w14:paraId="1D8FCC3C" w14:textId="77777777" w:rsidR="00167F7D" w:rsidRPr="00AE376F" w:rsidRDefault="00167F7D" w:rsidP="00167F7D">
            <w:pPr>
              <w:pStyle w:val="TabNumeri"/>
            </w:pPr>
            <w:r w:rsidRPr="00AE376F">
              <w:t>0,7</w:t>
            </w:r>
          </w:p>
        </w:tc>
        <w:tc>
          <w:tcPr>
            <w:tcW w:w="1134" w:type="dxa"/>
          </w:tcPr>
          <w:p w14:paraId="309ADB5C" w14:textId="77777777" w:rsidR="00167F7D" w:rsidRPr="00AE376F" w:rsidRDefault="00167F7D" w:rsidP="00167F7D">
            <w:pPr>
              <w:pStyle w:val="TabNumeri"/>
            </w:pPr>
            <w:r w:rsidRPr="00AE376F">
              <w:t>0,8</w:t>
            </w:r>
          </w:p>
        </w:tc>
      </w:tr>
      <w:tr w:rsidR="00167F7D" w14:paraId="147E9BB2" w14:textId="77777777" w:rsidTr="00167F7D">
        <w:trPr>
          <w:cantSplit/>
          <w:trHeight w:val="227"/>
        </w:trPr>
        <w:tc>
          <w:tcPr>
            <w:tcW w:w="4820" w:type="dxa"/>
            <w:shd w:val="clear" w:color="auto" w:fill="DAEEF3" w:themeFill="accent5" w:themeFillTint="33"/>
          </w:tcPr>
          <w:p w14:paraId="49DC2A47" w14:textId="77777777" w:rsidR="00167F7D" w:rsidRDefault="00167F7D" w:rsidP="00167F7D">
            <w:pPr>
              <w:pStyle w:val="TabEtichette"/>
              <w:rPr>
                <w:rFonts w:eastAsia="Arial Unicode MS"/>
              </w:rPr>
            </w:pPr>
            <w:r>
              <w:t>Totale</w:t>
            </w:r>
          </w:p>
        </w:tc>
        <w:tc>
          <w:tcPr>
            <w:tcW w:w="1134" w:type="dxa"/>
            <w:shd w:val="clear" w:color="auto" w:fill="DAEEF3" w:themeFill="accent5" w:themeFillTint="33"/>
          </w:tcPr>
          <w:p w14:paraId="1E4ED417" w14:textId="77777777" w:rsidR="00167F7D" w:rsidRPr="00AE376F" w:rsidRDefault="00167F7D" w:rsidP="00167F7D">
            <w:pPr>
              <w:pStyle w:val="TabNumeri"/>
            </w:pPr>
            <w:r w:rsidRPr="00AE376F">
              <w:t>1,8</w:t>
            </w:r>
          </w:p>
        </w:tc>
        <w:tc>
          <w:tcPr>
            <w:tcW w:w="1134" w:type="dxa"/>
            <w:shd w:val="clear" w:color="auto" w:fill="DAEEF3" w:themeFill="accent5" w:themeFillTint="33"/>
          </w:tcPr>
          <w:p w14:paraId="512B3837" w14:textId="77777777" w:rsidR="00167F7D" w:rsidRPr="00AE376F" w:rsidRDefault="00167F7D" w:rsidP="00167F7D">
            <w:pPr>
              <w:pStyle w:val="TabNumeri"/>
            </w:pPr>
            <w:r w:rsidRPr="00AE376F">
              <w:t>0,6</w:t>
            </w:r>
          </w:p>
        </w:tc>
        <w:tc>
          <w:tcPr>
            <w:tcW w:w="1134" w:type="dxa"/>
            <w:shd w:val="clear" w:color="auto" w:fill="DAEEF3" w:themeFill="accent5" w:themeFillTint="33"/>
          </w:tcPr>
          <w:p w14:paraId="02188939" w14:textId="77777777" w:rsidR="00167F7D" w:rsidRPr="00AE376F" w:rsidRDefault="00167F7D" w:rsidP="00167F7D">
            <w:pPr>
              <w:pStyle w:val="TabNumeri"/>
            </w:pPr>
            <w:r w:rsidRPr="00AE376F">
              <w:t>0,8</w:t>
            </w:r>
          </w:p>
        </w:tc>
        <w:tc>
          <w:tcPr>
            <w:tcW w:w="1134" w:type="dxa"/>
            <w:shd w:val="clear" w:color="auto" w:fill="DAEEF3" w:themeFill="accent5" w:themeFillTint="33"/>
          </w:tcPr>
          <w:p w14:paraId="02551120" w14:textId="77777777" w:rsidR="00167F7D" w:rsidRPr="00AE376F" w:rsidRDefault="00167F7D" w:rsidP="00167F7D">
            <w:pPr>
              <w:pStyle w:val="TabNumeri"/>
            </w:pPr>
            <w:r w:rsidRPr="00AE376F">
              <w:t>1,1</w:t>
            </w:r>
          </w:p>
        </w:tc>
      </w:tr>
      <w:tr w:rsidR="00167F7D" w14:paraId="7C7B6676" w14:textId="77777777" w:rsidTr="00167F7D">
        <w:trPr>
          <w:cantSplit/>
          <w:trHeight w:val="227"/>
        </w:trPr>
        <w:tc>
          <w:tcPr>
            <w:tcW w:w="4820" w:type="dxa"/>
          </w:tcPr>
          <w:p w14:paraId="5827C670" w14:textId="77777777" w:rsidR="00167F7D" w:rsidRPr="00EC6592" w:rsidRDefault="00167F7D" w:rsidP="00167F7D">
            <w:pPr>
              <w:pStyle w:val="TabEtichetteBold"/>
              <w:rPr>
                <w:rFonts w:eastAsia="Arial Unicode MS"/>
              </w:rPr>
            </w:pPr>
            <w:r w:rsidRPr="00EC6592">
              <w:t>Rapporti caratteristici</w:t>
            </w:r>
          </w:p>
        </w:tc>
        <w:tc>
          <w:tcPr>
            <w:tcW w:w="1134" w:type="dxa"/>
          </w:tcPr>
          <w:p w14:paraId="08F4938C" w14:textId="77777777" w:rsidR="00167F7D" w:rsidRPr="00AE376F" w:rsidRDefault="00167F7D" w:rsidP="00167F7D">
            <w:pPr>
              <w:pStyle w:val="TabNumeri"/>
            </w:pPr>
          </w:p>
        </w:tc>
        <w:tc>
          <w:tcPr>
            <w:tcW w:w="1134" w:type="dxa"/>
          </w:tcPr>
          <w:p w14:paraId="29CD0F7E" w14:textId="77777777" w:rsidR="00167F7D" w:rsidRPr="00AE376F" w:rsidRDefault="00167F7D" w:rsidP="00167F7D">
            <w:pPr>
              <w:pStyle w:val="TabNumeri"/>
            </w:pPr>
          </w:p>
        </w:tc>
        <w:tc>
          <w:tcPr>
            <w:tcW w:w="1134" w:type="dxa"/>
          </w:tcPr>
          <w:p w14:paraId="3AD82001" w14:textId="77777777" w:rsidR="00167F7D" w:rsidRPr="00AE376F" w:rsidRDefault="00167F7D" w:rsidP="00167F7D">
            <w:pPr>
              <w:pStyle w:val="TabNumeri"/>
            </w:pPr>
          </w:p>
        </w:tc>
        <w:tc>
          <w:tcPr>
            <w:tcW w:w="1134" w:type="dxa"/>
          </w:tcPr>
          <w:p w14:paraId="105087EE" w14:textId="77777777" w:rsidR="00167F7D" w:rsidRPr="00AE376F" w:rsidRDefault="00167F7D" w:rsidP="00167F7D">
            <w:pPr>
              <w:pStyle w:val="TabNumeri"/>
            </w:pPr>
          </w:p>
        </w:tc>
      </w:tr>
      <w:tr w:rsidR="00167F7D" w14:paraId="06CA39D4" w14:textId="77777777" w:rsidTr="00167F7D">
        <w:trPr>
          <w:cantSplit/>
          <w:trHeight w:val="227"/>
        </w:trPr>
        <w:tc>
          <w:tcPr>
            <w:tcW w:w="4820" w:type="dxa"/>
            <w:shd w:val="clear" w:color="auto" w:fill="DAEEF3" w:themeFill="accent5" w:themeFillTint="33"/>
          </w:tcPr>
          <w:p w14:paraId="2516B521" w14:textId="77777777" w:rsidR="00167F7D" w:rsidRPr="00983308" w:rsidRDefault="00167F7D" w:rsidP="00167F7D">
            <w:pPr>
              <w:pStyle w:val="TabEtichette"/>
            </w:pPr>
            <w:r w:rsidRPr="00983308">
              <w:t>Forze di lavoro</w:t>
            </w:r>
          </w:p>
        </w:tc>
        <w:tc>
          <w:tcPr>
            <w:tcW w:w="1134" w:type="dxa"/>
            <w:shd w:val="clear" w:color="auto" w:fill="DAEEF3" w:themeFill="accent5" w:themeFillTint="33"/>
          </w:tcPr>
          <w:p w14:paraId="732F7AFE" w14:textId="77777777" w:rsidR="00167F7D" w:rsidRPr="00AE376F" w:rsidRDefault="00167F7D" w:rsidP="00167F7D">
            <w:pPr>
              <w:pStyle w:val="TabNumeri"/>
            </w:pPr>
            <w:r w:rsidRPr="00AE376F">
              <w:t>0,9</w:t>
            </w:r>
          </w:p>
        </w:tc>
        <w:tc>
          <w:tcPr>
            <w:tcW w:w="1134" w:type="dxa"/>
            <w:shd w:val="clear" w:color="auto" w:fill="DAEEF3" w:themeFill="accent5" w:themeFillTint="33"/>
          </w:tcPr>
          <w:p w14:paraId="7F8E5177" w14:textId="77777777" w:rsidR="00167F7D" w:rsidRPr="00AE376F" w:rsidRDefault="00167F7D" w:rsidP="00167F7D">
            <w:pPr>
              <w:pStyle w:val="TabNumeri"/>
            </w:pPr>
            <w:r w:rsidRPr="00AE376F">
              <w:t>1,0</w:t>
            </w:r>
          </w:p>
        </w:tc>
        <w:tc>
          <w:tcPr>
            <w:tcW w:w="1134" w:type="dxa"/>
            <w:shd w:val="clear" w:color="auto" w:fill="DAEEF3" w:themeFill="accent5" w:themeFillTint="33"/>
          </w:tcPr>
          <w:p w14:paraId="11D8315A" w14:textId="77777777" w:rsidR="00167F7D" w:rsidRPr="00AE376F" w:rsidRDefault="00167F7D" w:rsidP="00167F7D">
            <w:pPr>
              <w:pStyle w:val="TabNumeri"/>
            </w:pPr>
            <w:r w:rsidRPr="00AE376F">
              <w:t>0,5</w:t>
            </w:r>
          </w:p>
        </w:tc>
        <w:tc>
          <w:tcPr>
            <w:tcW w:w="1134" w:type="dxa"/>
            <w:shd w:val="clear" w:color="auto" w:fill="DAEEF3" w:themeFill="accent5" w:themeFillTint="33"/>
          </w:tcPr>
          <w:p w14:paraId="2DEA0B8F" w14:textId="77777777" w:rsidR="00167F7D" w:rsidRPr="00AE376F" w:rsidRDefault="00167F7D" w:rsidP="00167F7D">
            <w:pPr>
              <w:pStyle w:val="TabNumeri"/>
            </w:pPr>
            <w:r w:rsidRPr="00AE376F">
              <w:t>0,3</w:t>
            </w:r>
          </w:p>
        </w:tc>
      </w:tr>
      <w:tr w:rsidR="00167F7D" w14:paraId="41043740" w14:textId="77777777" w:rsidTr="00167F7D">
        <w:trPr>
          <w:cantSplit/>
          <w:trHeight w:val="227"/>
        </w:trPr>
        <w:tc>
          <w:tcPr>
            <w:tcW w:w="4820" w:type="dxa"/>
          </w:tcPr>
          <w:p w14:paraId="17193B6E" w14:textId="77777777" w:rsidR="00167F7D" w:rsidRDefault="00167F7D" w:rsidP="00167F7D">
            <w:pPr>
              <w:pStyle w:val="TabEtichette"/>
            </w:pPr>
            <w:r w:rsidRPr="00983308">
              <w:t>Occupati</w:t>
            </w:r>
          </w:p>
        </w:tc>
        <w:tc>
          <w:tcPr>
            <w:tcW w:w="1134" w:type="dxa"/>
          </w:tcPr>
          <w:p w14:paraId="3E09B464" w14:textId="77777777" w:rsidR="00167F7D" w:rsidRPr="00AE376F" w:rsidRDefault="00167F7D" w:rsidP="00167F7D">
            <w:pPr>
              <w:pStyle w:val="TabNumeri"/>
            </w:pPr>
            <w:r w:rsidRPr="00AE376F">
              <w:t>1,6</w:t>
            </w:r>
          </w:p>
        </w:tc>
        <w:tc>
          <w:tcPr>
            <w:tcW w:w="1134" w:type="dxa"/>
          </w:tcPr>
          <w:p w14:paraId="155A3A78" w14:textId="77777777" w:rsidR="00167F7D" w:rsidRPr="00AE376F" w:rsidRDefault="00167F7D" w:rsidP="00167F7D">
            <w:pPr>
              <w:pStyle w:val="TabNumeri"/>
            </w:pPr>
            <w:r w:rsidRPr="00AE376F">
              <w:t>1,4</w:t>
            </w:r>
          </w:p>
        </w:tc>
        <w:tc>
          <w:tcPr>
            <w:tcW w:w="1134" w:type="dxa"/>
          </w:tcPr>
          <w:p w14:paraId="4181D4C7" w14:textId="77777777" w:rsidR="00167F7D" w:rsidRPr="00AE376F" w:rsidRDefault="00167F7D" w:rsidP="00167F7D">
            <w:pPr>
              <w:pStyle w:val="TabNumeri"/>
            </w:pPr>
            <w:r w:rsidRPr="00AE376F">
              <w:t>0,6</w:t>
            </w:r>
          </w:p>
        </w:tc>
        <w:tc>
          <w:tcPr>
            <w:tcW w:w="1134" w:type="dxa"/>
          </w:tcPr>
          <w:p w14:paraId="2CCC9F33" w14:textId="77777777" w:rsidR="00167F7D" w:rsidRPr="00AE376F" w:rsidRDefault="00167F7D" w:rsidP="00167F7D">
            <w:pPr>
              <w:pStyle w:val="TabNumeri"/>
            </w:pPr>
            <w:r w:rsidRPr="00AE376F">
              <w:t>0,6</w:t>
            </w:r>
          </w:p>
        </w:tc>
      </w:tr>
      <w:tr w:rsidR="00167F7D" w14:paraId="5E87BF55" w14:textId="77777777" w:rsidTr="00167F7D">
        <w:trPr>
          <w:cantSplit/>
          <w:trHeight w:val="227"/>
        </w:trPr>
        <w:tc>
          <w:tcPr>
            <w:tcW w:w="4820" w:type="dxa"/>
            <w:shd w:val="clear" w:color="auto" w:fill="DAEEF3" w:themeFill="accent5" w:themeFillTint="33"/>
          </w:tcPr>
          <w:p w14:paraId="59C87647" w14:textId="77777777" w:rsidR="00167F7D" w:rsidRPr="007427DC" w:rsidRDefault="00167F7D" w:rsidP="00167F7D">
            <w:pPr>
              <w:pStyle w:val="tabetic"/>
            </w:pPr>
            <w:r>
              <w:t xml:space="preserve"> Tasso di attività (2)(3</w:t>
            </w:r>
            <w:r w:rsidRPr="007427DC">
              <w:t>)</w:t>
            </w:r>
          </w:p>
        </w:tc>
        <w:tc>
          <w:tcPr>
            <w:tcW w:w="1134" w:type="dxa"/>
            <w:shd w:val="clear" w:color="auto" w:fill="DAEEF3" w:themeFill="accent5" w:themeFillTint="33"/>
          </w:tcPr>
          <w:p w14:paraId="7A6E6E70" w14:textId="77777777" w:rsidR="00167F7D" w:rsidRPr="00AE376F" w:rsidRDefault="00167F7D" w:rsidP="00167F7D">
            <w:pPr>
              <w:pStyle w:val="TabNumeri"/>
            </w:pPr>
            <w:r w:rsidRPr="00AE376F">
              <w:t>48,2</w:t>
            </w:r>
          </w:p>
        </w:tc>
        <w:tc>
          <w:tcPr>
            <w:tcW w:w="1134" w:type="dxa"/>
            <w:shd w:val="clear" w:color="auto" w:fill="DAEEF3" w:themeFill="accent5" w:themeFillTint="33"/>
          </w:tcPr>
          <w:p w14:paraId="798FA70F" w14:textId="77777777" w:rsidR="00167F7D" w:rsidRPr="00AE376F" w:rsidRDefault="00167F7D" w:rsidP="00167F7D">
            <w:pPr>
              <w:pStyle w:val="TabNumeri"/>
            </w:pPr>
            <w:r w:rsidRPr="00AE376F">
              <w:t>48,6</w:t>
            </w:r>
          </w:p>
        </w:tc>
        <w:tc>
          <w:tcPr>
            <w:tcW w:w="1134" w:type="dxa"/>
            <w:shd w:val="clear" w:color="auto" w:fill="DAEEF3" w:themeFill="accent5" w:themeFillTint="33"/>
          </w:tcPr>
          <w:p w14:paraId="1708EBB4" w14:textId="77777777" w:rsidR="00167F7D" w:rsidRPr="00AE376F" w:rsidRDefault="00167F7D" w:rsidP="00167F7D">
            <w:pPr>
              <w:pStyle w:val="TabNumeri"/>
            </w:pPr>
            <w:r w:rsidRPr="00AE376F">
              <w:t>48,7</w:t>
            </w:r>
          </w:p>
        </w:tc>
        <w:tc>
          <w:tcPr>
            <w:tcW w:w="1134" w:type="dxa"/>
            <w:shd w:val="clear" w:color="auto" w:fill="DAEEF3" w:themeFill="accent5" w:themeFillTint="33"/>
          </w:tcPr>
          <w:p w14:paraId="4C47189B" w14:textId="77777777" w:rsidR="00167F7D" w:rsidRPr="00AE376F" w:rsidRDefault="00167F7D" w:rsidP="00167F7D">
            <w:pPr>
              <w:pStyle w:val="TabNumeri"/>
            </w:pPr>
            <w:r w:rsidRPr="00AE376F">
              <w:t>48,8</w:t>
            </w:r>
          </w:p>
        </w:tc>
      </w:tr>
      <w:tr w:rsidR="00167F7D" w14:paraId="5DD67D8B" w14:textId="77777777" w:rsidTr="00167F7D">
        <w:trPr>
          <w:cantSplit/>
          <w:trHeight w:val="227"/>
        </w:trPr>
        <w:tc>
          <w:tcPr>
            <w:tcW w:w="4820" w:type="dxa"/>
          </w:tcPr>
          <w:p w14:paraId="18C41598" w14:textId="77777777" w:rsidR="00167F7D" w:rsidRPr="007427DC" w:rsidRDefault="00167F7D" w:rsidP="00167F7D">
            <w:pPr>
              <w:pStyle w:val="tabetic"/>
            </w:pPr>
            <w:r>
              <w:t xml:space="preserve"> </w:t>
            </w:r>
            <w:r w:rsidRPr="007427DC">
              <w:t>Tasso di occupazione</w:t>
            </w:r>
            <w:r>
              <w:t xml:space="preserve"> </w:t>
            </w:r>
            <w:r w:rsidRPr="007427DC">
              <w:t>(</w:t>
            </w:r>
            <w:r>
              <w:t>2</w:t>
            </w:r>
            <w:r w:rsidRPr="007427DC">
              <w:t>)(</w:t>
            </w:r>
            <w:r>
              <w:t>3</w:t>
            </w:r>
            <w:r w:rsidRPr="007427DC">
              <w:t>)</w:t>
            </w:r>
          </w:p>
        </w:tc>
        <w:tc>
          <w:tcPr>
            <w:tcW w:w="1134" w:type="dxa"/>
          </w:tcPr>
          <w:p w14:paraId="357D2968" w14:textId="77777777" w:rsidR="00167F7D" w:rsidRPr="00AE376F" w:rsidRDefault="00167F7D" w:rsidP="00167F7D">
            <w:pPr>
              <w:pStyle w:val="TabNumeri"/>
            </w:pPr>
            <w:r w:rsidRPr="00AE376F">
              <w:t>45,3</w:t>
            </w:r>
          </w:p>
        </w:tc>
        <w:tc>
          <w:tcPr>
            <w:tcW w:w="1134" w:type="dxa"/>
          </w:tcPr>
          <w:p w14:paraId="1DAA55AC" w14:textId="77777777" w:rsidR="00167F7D" w:rsidRPr="00AE376F" w:rsidRDefault="00167F7D" w:rsidP="00167F7D">
            <w:pPr>
              <w:pStyle w:val="TabNumeri"/>
            </w:pPr>
            <w:r w:rsidRPr="00AE376F">
              <w:t>45,9</w:t>
            </w:r>
          </w:p>
        </w:tc>
        <w:tc>
          <w:tcPr>
            <w:tcW w:w="1134" w:type="dxa"/>
          </w:tcPr>
          <w:p w14:paraId="2AA567A0" w14:textId="77777777" w:rsidR="00167F7D" w:rsidRPr="00AE376F" w:rsidRDefault="00167F7D" w:rsidP="00167F7D">
            <w:pPr>
              <w:pStyle w:val="TabNumeri"/>
            </w:pPr>
            <w:r w:rsidRPr="00AE376F">
              <w:t>46,1</w:t>
            </w:r>
          </w:p>
        </w:tc>
        <w:tc>
          <w:tcPr>
            <w:tcW w:w="1134" w:type="dxa"/>
          </w:tcPr>
          <w:p w14:paraId="26852B2F" w14:textId="77777777" w:rsidR="00167F7D" w:rsidRPr="00AE376F" w:rsidRDefault="00167F7D" w:rsidP="00167F7D">
            <w:pPr>
              <w:pStyle w:val="TabNumeri"/>
            </w:pPr>
            <w:r w:rsidRPr="00AE376F">
              <w:t>46,3</w:t>
            </w:r>
          </w:p>
        </w:tc>
      </w:tr>
      <w:tr w:rsidR="00167F7D" w14:paraId="43A23CF8" w14:textId="77777777" w:rsidTr="00167F7D">
        <w:trPr>
          <w:cantSplit/>
          <w:trHeight w:val="227"/>
        </w:trPr>
        <w:tc>
          <w:tcPr>
            <w:tcW w:w="4820" w:type="dxa"/>
            <w:shd w:val="clear" w:color="auto" w:fill="DAEEF3" w:themeFill="accent5" w:themeFillTint="33"/>
          </w:tcPr>
          <w:p w14:paraId="089B24AD" w14:textId="77777777" w:rsidR="00167F7D" w:rsidRPr="007427DC" w:rsidRDefault="00167F7D" w:rsidP="00167F7D">
            <w:pPr>
              <w:pStyle w:val="tabetic"/>
            </w:pPr>
            <w:r>
              <w:t xml:space="preserve"> Tasso di disoccupazione (2</w:t>
            </w:r>
            <w:r w:rsidRPr="007427DC">
              <w:t>)</w:t>
            </w:r>
          </w:p>
        </w:tc>
        <w:tc>
          <w:tcPr>
            <w:tcW w:w="1134" w:type="dxa"/>
            <w:shd w:val="clear" w:color="auto" w:fill="DAEEF3" w:themeFill="accent5" w:themeFillTint="33"/>
          </w:tcPr>
          <w:p w14:paraId="42DAB8E5" w14:textId="77777777" w:rsidR="00167F7D" w:rsidRPr="00AE376F" w:rsidRDefault="00167F7D" w:rsidP="00167F7D">
            <w:pPr>
              <w:pStyle w:val="TabNumeri"/>
            </w:pPr>
            <w:r w:rsidRPr="00AE376F">
              <w:t>5,9</w:t>
            </w:r>
          </w:p>
        </w:tc>
        <w:tc>
          <w:tcPr>
            <w:tcW w:w="1134" w:type="dxa"/>
            <w:shd w:val="clear" w:color="auto" w:fill="DAEEF3" w:themeFill="accent5" w:themeFillTint="33"/>
          </w:tcPr>
          <w:p w14:paraId="5BF3FDEF" w14:textId="77777777" w:rsidR="00167F7D" w:rsidRPr="00AE376F" w:rsidRDefault="00167F7D" w:rsidP="00167F7D">
            <w:pPr>
              <w:pStyle w:val="TabNumeri"/>
            </w:pPr>
            <w:r w:rsidRPr="00AE376F">
              <w:t>5,5</w:t>
            </w:r>
          </w:p>
        </w:tc>
        <w:tc>
          <w:tcPr>
            <w:tcW w:w="1134" w:type="dxa"/>
            <w:shd w:val="clear" w:color="auto" w:fill="DAEEF3" w:themeFill="accent5" w:themeFillTint="33"/>
          </w:tcPr>
          <w:p w14:paraId="3A61A45F" w14:textId="77777777" w:rsidR="00167F7D" w:rsidRPr="00AE376F" w:rsidRDefault="00167F7D" w:rsidP="00167F7D">
            <w:pPr>
              <w:pStyle w:val="TabNumeri"/>
            </w:pPr>
            <w:r w:rsidRPr="00AE376F">
              <w:t>5,4</w:t>
            </w:r>
          </w:p>
        </w:tc>
        <w:tc>
          <w:tcPr>
            <w:tcW w:w="1134" w:type="dxa"/>
            <w:shd w:val="clear" w:color="auto" w:fill="DAEEF3" w:themeFill="accent5" w:themeFillTint="33"/>
          </w:tcPr>
          <w:p w14:paraId="4EEBB597" w14:textId="77777777" w:rsidR="00167F7D" w:rsidRPr="00AE376F" w:rsidRDefault="00167F7D" w:rsidP="00167F7D">
            <w:pPr>
              <w:pStyle w:val="TabNumeri"/>
            </w:pPr>
            <w:r w:rsidRPr="00AE376F">
              <w:t>5,1</w:t>
            </w:r>
          </w:p>
        </w:tc>
      </w:tr>
      <w:tr w:rsidR="00167F7D" w14:paraId="1F063F42" w14:textId="77777777" w:rsidTr="00167F7D">
        <w:trPr>
          <w:cantSplit/>
          <w:trHeight w:val="227"/>
        </w:trPr>
        <w:tc>
          <w:tcPr>
            <w:tcW w:w="4820" w:type="dxa"/>
          </w:tcPr>
          <w:p w14:paraId="4209CB23" w14:textId="77777777" w:rsidR="00167F7D" w:rsidRPr="00EC6592" w:rsidRDefault="00167F7D" w:rsidP="00167F7D">
            <w:pPr>
              <w:pStyle w:val="TabEtichetteBold"/>
            </w:pPr>
            <w:r w:rsidRPr="00EC6592">
              <w:t>Produttività e capacità di spesa</w:t>
            </w:r>
          </w:p>
        </w:tc>
        <w:tc>
          <w:tcPr>
            <w:tcW w:w="1134" w:type="dxa"/>
          </w:tcPr>
          <w:p w14:paraId="0CC2DDC7" w14:textId="77777777" w:rsidR="00167F7D" w:rsidRPr="00AE376F" w:rsidRDefault="00167F7D" w:rsidP="00167F7D">
            <w:pPr>
              <w:pStyle w:val="TabNumeri"/>
            </w:pPr>
          </w:p>
        </w:tc>
        <w:tc>
          <w:tcPr>
            <w:tcW w:w="1134" w:type="dxa"/>
          </w:tcPr>
          <w:p w14:paraId="2AC2C986" w14:textId="77777777" w:rsidR="00167F7D" w:rsidRPr="00AE376F" w:rsidRDefault="00167F7D" w:rsidP="00167F7D">
            <w:pPr>
              <w:pStyle w:val="TabNumeri"/>
            </w:pPr>
          </w:p>
        </w:tc>
        <w:tc>
          <w:tcPr>
            <w:tcW w:w="1134" w:type="dxa"/>
          </w:tcPr>
          <w:p w14:paraId="0DB9F64B" w14:textId="77777777" w:rsidR="00167F7D" w:rsidRPr="00AE376F" w:rsidRDefault="00167F7D" w:rsidP="00167F7D">
            <w:pPr>
              <w:pStyle w:val="TabNumeri"/>
            </w:pPr>
          </w:p>
        </w:tc>
        <w:tc>
          <w:tcPr>
            <w:tcW w:w="1134" w:type="dxa"/>
          </w:tcPr>
          <w:p w14:paraId="322A6234" w14:textId="77777777" w:rsidR="00167F7D" w:rsidRPr="00AE376F" w:rsidRDefault="00167F7D" w:rsidP="00167F7D">
            <w:pPr>
              <w:pStyle w:val="TabNumeri"/>
            </w:pPr>
          </w:p>
        </w:tc>
      </w:tr>
      <w:tr w:rsidR="00167F7D" w14:paraId="3F1F5997" w14:textId="77777777" w:rsidTr="00167F7D">
        <w:trPr>
          <w:cantSplit/>
          <w:trHeight w:val="227"/>
        </w:trPr>
        <w:tc>
          <w:tcPr>
            <w:tcW w:w="4820" w:type="dxa"/>
            <w:shd w:val="clear" w:color="auto" w:fill="DAEEF3" w:themeFill="accent5" w:themeFillTint="33"/>
          </w:tcPr>
          <w:p w14:paraId="4DB57CB3" w14:textId="77777777" w:rsidR="00167F7D" w:rsidRPr="00B130A5" w:rsidRDefault="00167F7D" w:rsidP="00167F7D">
            <w:pPr>
              <w:pStyle w:val="TabEtichette"/>
            </w:pPr>
            <w:r w:rsidRPr="00B130A5">
              <w:t xml:space="preserve">Reddito disponibile delle famiglie e </w:t>
            </w:r>
            <w:proofErr w:type="spellStart"/>
            <w:r w:rsidRPr="00B130A5">
              <w:t>Istituz.SP</w:t>
            </w:r>
            <w:proofErr w:type="spellEnd"/>
            <w:r w:rsidRPr="00B130A5">
              <w:t xml:space="preserve"> (prezzi correnti)</w:t>
            </w:r>
          </w:p>
        </w:tc>
        <w:tc>
          <w:tcPr>
            <w:tcW w:w="1134" w:type="dxa"/>
            <w:shd w:val="clear" w:color="auto" w:fill="DAEEF3" w:themeFill="accent5" w:themeFillTint="33"/>
          </w:tcPr>
          <w:p w14:paraId="467DC1EF" w14:textId="77777777" w:rsidR="00167F7D" w:rsidRPr="00AE376F" w:rsidRDefault="00167F7D" w:rsidP="00167F7D">
            <w:pPr>
              <w:pStyle w:val="TabNumeri"/>
            </w:pPr>
            <w:r w:rsidRPr="00AE376F">
              <w:t>2,2</w:t>
            </w:r>
          </w:p>
        </w:tc>
        <w:tc>
          <w:tcPr>
            <w:tcW w:w="1134" w:type="dxa"/>
            <w:shd w:val="clear" w:color="auto" w:fill="DAEEF3" w:themeFill="accent5" w:themeFillTint="33"/>
          </w:tcPr>
          <w:p w14:paraId="6185BEAC" w14:textId="77777777" w:rsidR="00167F7D" w:rsidRPr="00AE376F" w:rsidRDefault="00167F7D" w:rsidP="00167F7D">
            <w:pPr>
              <w:pStyle w:val="TabNumeri"/>
            </w:pPr>
            <w:r w:rsidRPr="00AE376F">
              <w:t>1,9</w:t>
            </w:r>
          </w:p>
        </w:tc>
        <w:tc>
          <w:tcPr>
            <w:tcW w:w="1134" w:type="dxa"/>
            <w:shd w:val="clear" w:color="auto" w:fill="DAEEF3" w:themeFill="accent5" w:themeFillTint="33"/>
          </w:tcPr>
          <w:p w14:paraId="62F0A5F2" w14:textId="77777777" w:rsidR="00167F7D" w:rsidRPr="00AE376F" w:rsidRDefault="00167F7D" w:rsidP="00167F7D">
            <w:pPr>
              <w:pStyle w:val="TabNumeri"/>
            </w:pPr>
            <w:r w:rsidRPr="00AE376F">
              <w:t>1,6</w:t>
            </w:r>
          </w:p>
        </w:tc>
        <w:tc>
          <w:tcPr>
            <w:tcW w:w="1134" w:type="dxa"/>
            <w:shd w:val="clear" w:color="auto" w:fill="DAEEF3" w:themeFill="accent5" w:themeFillTint="33"/>
          </w:tcPr>
          <w:p w14:paraId="451B3079" w14:textId="77777777" w:rsidR="00167F7D" w:rsidRPr="00AE376F" w:rsidRDefault="00167F7D" w:rsidP="00167F7D">
            <w:pPr>
              <w:pStyle w:val="TabNumeri"/>
            </w:pPr>
            <w:r w:rsidRPr="00AE376F">
              <w:t>2,1</w:t>
            </w:r>
          </w:p>
        </w:tc>
      </w:tr>
      <w:tr w:rsidR="00167F7D" w14:paraId="19C3E9A4" w14:textId="77777777" w:rsidTr="00167F7D">
        <w:trPr>
          <w:cantSplit/>
          <w:trHeight w:val="227"/>
        </w:trPr>
        <w:tc>
          <w:tcPr>
            <w:tcW w:w="4820" w:type="dxa"/>
          </w:tcPr>
          <w:p w14:paraId="30BCC235" w14:textId="77777777" w:rsidR="00167F7D" w:rsidRDefault="00167F7D" w:rsidP="00167F7D">
            <w:pPr>
              <w:pStyle w:val="TabEtichette"/>
            </w:pPr>
            <w:r w:rsidRPr="00B130A5">
              <w:t>Valore aggiunto totale per abitante (migliaia di euro)</w:t>
            </w:r>
          </w:p>
        </w:tc>
        <w:tc>
          <w:tcPr>
            <w:tcW w:w="1134" w:type="dxa"/>
          </w:tcPr>
          <w:p w14:paraId="5473489D" w14:textId="77777777" w:rsidR="00167F7D" w:rsidRPr="00AE376F" w:rsidRDefault="00167F7D" w:rsidP="00167F7D">
            <w:pPr>
              <w:pStyle w:val="TabNumeri"/>
            </w:pPr>
            <w:r w:rsidRPr="00AE376F">
              <w:t>29,9</w:t>
            </w:r>
          </w:p>
        </w:tc>
        <w:tc>
          <w:tcPr>
            <w:tcW w:w="1134" w:type="dxa"/>
          </w:tcPr>
          <w:p w14:paraId="65B5954F" w14:textId="77777777" w:rsidR="00167F7D" w:rsidRPr="00AE376F" w:rsidRDefault="00167F7D" w:rsidP="00167F7D">
            <w:pPr>
              <w:pStyle w:val="TabNumeri"/>
            </w:pPr>
            <w:r w:rsidRPr="00AE376F">
              <w:t>30,0</w:t>
            </w:r>
          </w:p>
        </w:tc>
        <w:tc>
          <w:tcPr>
            <w:tcW w:w="1134" w:type="dxa"/>
          </w:tcPr>
          <w:p w14:paraId="022DF595" w14:textId="77777777" w:rsidR="00167F7D" w:rsidRPr="00AE376F" w:rsidRDefault="00167F7D" w:rsidP="00167F7D">
            <w:pPr>
              <w:pStyle w:val="TabNumeri"/>
            </w:pPr>
            <w:r w:rsidRPr="00AE376F">
              <w:t>30,2</w:t>
            </w:r>
          </w:p>
        </w:tc>
        <w:tc>
          <w:tcPr>
            <w:tcW w:w="1134" w:type="dxa"/>
          </w:tcPr>
          <w:p w14:paraId="38330E9A" w14:textId="77777777" w:rsidR="00167F7D" w:rsidRDefault="00167F7D" w:rsidP="00167F7D">
            <w:pPr>
              <w:pStyle w:val="TabNumeri"/>
            </w:pPr>
            <w:r w:rsidRPr="00AE376F">
              <w:t>30,5</w:t>
            </w:r>
          </w:p>
        </w:tc>
      </w:tr>
      <w:tr w:rsidR="00167F7D" w14:paraId="4408FC32" w14:textId="77777777" w:rsidTr="00167F7D">
        <w:trPr>
          <w:cantSplit/>
        </w:trPr>
        <w:tc>
          <w:tcPr>
            <w:tcW w:w="9356" w:type="dxa"/>
            <w:gridSpan w:val="5"/>
            <w:tcBorders>
              <w:top w:val="single" w:sz="4" w:space="0" w:color="800000"/>
            </w:tcBorders>
          </w:tcPr>
          <w:p w14:paraId="0BE6EBD5" w14:textId="77777777" w:rsidR="00167F7D" w:rsidRDefault="00167F7D" w:rsidP="00167F7D">
            <w:pPr>
              <w:pStyle w:val="TabNoteSuperiori"/>
            </w:pPr>
            <w:r>
              <w:t>(1) Al netto delle scorte. (2) Rapporto percentuale. (3) Quota sulla popolazione presente totale.</w:t>
            </w:r>
          </w:p>
          <w:p w14:paraId="34F20726" w14:textId="5851D746" w:rsidR="00167F7D" w:rsidRPr="007C570B" w:rsidRDefault="00167F7D" w:rsidP="00167F7D">
            <w:pPr>
              <w:pStyle w:val="TabNoteInferiori"/>
            </w:pPr>
            <w:r w:rsidRPr="00B60C06">
              <w:t xml:space="preserve">Fonte: elaborazione Unioncamere E.R. su dati Prometeia, Scenari per le economie locali, </w:t>
            </w:r>
            <w:r>
              <w:t xml:space="preserve">gennaio </w:t>
            </w:r>
            <w:r>
              <w:fldChar w:fldCharType="begin"/>
            </w:r>
            <w:r>
              <w:instrText xml:space="preserve"> DATE  \@ "yyyy"  \* MERGEFORMAT </w:instrText>
            </w:r>
            <w:r>
              <w:fldChar w:fldCharType="separate"/>
            </w:r>
            <w:r w:rsidR="005D497A">
              <w:rPr>
                <w:noProof/>
              </w:rPr>
              <w:t>2020</w:t>
            </w:r>
            <w:r>
              <w:fldChar w:fldCharType="end"/>
            </w:r>
            <w:r w:rsidRPr="00B60C06">
              <w:t>.</w:t>
            </w:r>
          </w:p>
        </w:tc>
      </w:tr>
    </w:tbl>
    <w:tbl>
      <w:tblPr>
        <w:tblpPr w:topFromText="284" w:bottomFromText="284" w:horzAnchor="margin" w:tblpXSpec="center" w:tblpYSpec="bottom"/>
        <w:tblOverlap w:val="never"/>
        <w:tblW w:w="0" w:type="auto"/>
        <w:tblLayout w:type="fixed"/>
        <w:tblCellMar>
          <w:left w:w="0" w:type="dxa"/>
          <w:right w:w="0" w:type="dxa"/>
        </w:tblCellMar>
        <w:tblLook w:val="04A0" w:firstRow="1" w:lastRow="0" w:firstColumn="1" w:lastColumn="0" w:noHBand="0" w:noVBand="1"/>
      </w:tblPr>
      <w:tblGrid>
        <w:gridCol w:w="9356"/>
      </w:tblGrid>
      <w:tr w:rsidR="005D497A" w14:paraId="26262133" w14:textId="77777777" w:rsidTr="00A4116A">
        <w:trPr>
          <w:cantSplit/>
        </w:trPr>
        <w:tc>
          <w:tcPr>
            <w:tcW w:w="9356" w:type="dxa"/>
          </w:tcPr>
          <w:bookmarkEnd w:id="6"/>
          <w:p w14:paraId="7814637B" w14:textId="77777777" w:rsidR="005D497A" w:rsidRDefault="005D497A" w:rsidP="00A4116A">
            <w:pPr>
              <w:pStyle w:val="FigTitolo"/>
              <w:ind w:left="1134" w:hanging="1134"/>
            </w:pPr>
            <w:r>
              <w:t>Il quadro regionale, i settori : tassi di variazione e numeri indice del valore aggiunto (2000=100)</w:t>
            </w:r>
          </w:p>
          <w:p w14:paraId="41396F54" w14:textId="77777777" w:rsidR="005D497A" w:rsidRDefault="005D497A" w:rsidP="00A4116A">
            <w:pPr>
              <w:pStyle w:val="Figure"/>
            </w:pPr>
            <w:r w:rsidRPr="00AD0198">
              <w:rPr>
                <w:noProof/>
              </w:rPr>
              <w:drawing>
                <wp:inline distT="0" distB="0" distL="0" distR="0" wp14:anchorId="1FD4747A" wp14:editId="348522B8">
                  <wp:extent cx="5904000" cy="2340000"/>
                  <wp:effectExtent l="0" t="0" r="0" b="0"/>
                  <wp:docPr id="29" name="Gra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5370B6EA" w14:textId="77777777" w:rsidR="005D497A" w:rsidRDefault="005D497A" w:rsidP="00A4116A">
            <w:pPr>
              <w:pStyle w:val="TabNoteInferiori"/>
            </w:pPr>
            <w:r w:rsidRPr="0029075E">
              <w:t xml:space="preserve">Fonte: </w:t>
            </w:r>
            <w:r w:rsidRPr="00B60C06">
              <w:t xml:space="preserve">elaborazione Unioncamere E.R. su dati </w:t>
            </w:r>
            <w:r w:rsidRPr="0029075E">
              <w:t xml:space="preserve">Prometeia, Scenari per le economie locali, </w:t>
            </w:r>
            <w:r>
              <w:t xml:space="preserve">gennaio </w:t>
            </w:r>
            <w:r>
              <w:fldChar w:fldCharType="begin"/>
            </w:r>
            <w:r>
              <w:instrText xml:space="preserve"> DATE  \@ "yyyy"  \* MERGEFORMAT </w:instrText>
            </w:r>
            <w:r>
              <w:fldChar w:fldCharType="separate"/>
            </w:r>
            <w:r>
              <w:rPr>
                <w:noProof/>
              </w:rPr>
              <w:t>2020</w:t>
            </w:r>
            <w:r>
              <w:fldChar w:fldCharType="end"/>
            </w:r>
            <w:r w:rsidRPr="006F0EA1">
              <w:t>.</w:t>
            </w:r>
          </w:p>
        </w:tc>
      </w:tr>
    </w:tbl>
    <w:p w14:paraId="35BC9B39" w14:textId="77777777" w:rsidR="00B71DC6" w:rsidRDefault="00B71DC6" w:rsidP="00D03723">
      <w:bookmarkStart w:id="7" w:name="_GoBack"/>
      <w:bookmarkEnd w:id="7"/>
      <w:r>
        <w:t xml:space="preserve">La crescita dei consumi nel 2019 (+1,0 per cento) è andata oltre quella del Pil, ma non rallenterà </w:t>
      </w:r>
      <w:r w:rsidR="0009653C">
        <w:t>nel 2020 (+1,1 per cento)</w:t>
      </w:r>
      <w:r>
        <w:t>, quando i consumi privati aggregati risulteranno superiori del 4,4 per cento rispetto a quelli del picco del 2011.</w:t>
      </w:r>
    </w:p>
    <w:p w14:paraId="1F9B9BA5" w14:textId="77777777" w:rsidR="00B71DC6" w:rsidRDefault="00B71DC6" w:rsidP="00D03723">
      <w:r>
        <w:t>Gli investimenti fissi lordi, nonostante il rallentamento del ciclo, hanno trainato la domanda interna nel 2019 pure avendo ridotto sensibilmente la tendenza positiva. Nel 2020 la crescita rallenterà in misura molto più contenuta (+2,7 per cento). I livelli di accumulazione nel 2020 saranno inferiori del 15,1 per cento rispetto a quelli del precedente massimo risalente al 2008.</w:t>
      </w:r>
    </w:p>
    <w:p w14:paraId="2FAEDCCA" w14:textId="77777777" w:rsidR="00B71DC6" w:rsidRDefault="00B71DC6" w:rsidP="007856E7">
      <w:r>
        <w:t xml:space="preserve">La dinamica delle esportazioni regionali dovrebbe essere risultata più contenuta nel 2019 (+3,7 per cento) e lo sarà anche nel 2020 (+2,1 per cento), nonostante la debole ripresa della crescita del commercio mondiale. Al termine dell’anno corrente in valore reale le esportazioni regionali supereranno del 31,0 per cento il livello massimo precedente la crisi, toccato nel 2007. </w:t>
      </w:r>
    </w:p>
    <w:p w14:paraId="6258EEAC" w14:textId="77777777" w:rsidR="00B71DC6" w:rsidRDefault="00B71DC6" w:rsidP="001F4DC8">
      <w:pPr>
        <w:pStyle w:val="Titolo4"/>
      </w:pPr>
      <w:r>
        <w:lastRenderedPageBreak/>
        <w:t>La formazione del valore aggiunto: i settori</w:t>
      </w:r>
    </w:p>
    <w:p w14:paraId="08C92CA8" w14:textId="77777777" w:rsidR="00B71DC6" w:rsidRDefault="00B71DC6" w:rsidP="00C57A96">
      <w:r>
        <w:t>Nonostante il rallentamento, la ripresa è diffusa in tutti i settori. In dettaglio, nel 2019 la crescita del valore aggiunto dell’industria in senso stretto regionale non dovrebbe essere andata oltre lo 0,1 per cento, ma si riprenderà parzialmente nel 2020 (+1,0 per cento). Al termine dell’anno corrente, il valore aggiunto reale dell’industria risulterà superiore di solo il 6,1 per cento rispetto al precedente massimo del 2007. Nel 2019 il valore aggiunto delle costruzioni dovrebbe avere messo a segno un notevole incremento (+4,4 per cento), ma nel 2020 dovrebbe registrare una crescita sensibilmente più contenuta (+2,2 per cento). Ma al termine del corrente anno il valore aggiunto delle costruzioni risulterà inferiore del 31,7 per cento rispetto al livello del precedente massimo del 2007. Infine, il valore aggiunto del settore dei servizi dovrebbe essere aumentato dello 0,6 per cento nel 2019 e dovrebbe continuare a crescere a questo ritmo anche nel 2020 (+0,7 per cento). A fine anno dovrebbe risultare non di molto più elevato (+3,1 per cento) rispetto al precedente massimo toccato nel 2008.</w:t>
      </w:r>
    </w:p>
    <w:p w14:paraId="28C2D949" w14:textId="77777777" w:rsidR="00B71DC6" w:rsidRDefault="00B71DC6" w:rsidP="00733D42">
      <w:pPr>
        <w:pStyle w:val="Titolo4"/>
      </w:pPr>
      <w:r>
        <w:t>Il mercato del lavoro</w:t>
      </w:r>
    </w:p>
    <w:p w14:paraId="2C173DC1" w14:textId="77777777" w:rsidR="00B71DC6" w:rsidRDefault="00B71DC6" w:rsidP="00F67747">
      <w:r>
        <w:t xml:space="preserve">Le forze di lavoro dovrebbero essere aumentate nel 2019 dell’1,0 per cento, la crescita sarà più contenuta nel 2020 (+0,5 per cento). </w:t>
      </w:r>
    </w:p>
    <w:p w14:paraId="12A8D4E1" w14:textId="77777777" w:rsidR="00B71DC6" w:rsidRDefault="00B71DC6" w:rsidP="00C57A96">
      <w:r>
        <w:t xml:space="preserve">Il tasso di attività, calcolato come quota sulla popolazione presente totale, dovrebbe essere arrivato al 48,6 nel 2019 e si porterà al 48,7 per cento nel 2020. </w:t>
      </w:r>
    </w:p>
    <w:p w14:paraId="71FB8551" w14:textId="77777777" w:rsidR="00B71DC6" w:rsidRDefault="00B71DC6" w:rsidP="00E40C89">
      <w:r>
        <w:t>Gli occupati lo scorso anno dovrebbero essere aumentati sensibilmente (+1,4 per cento), tanto da riflettersi sulla crescita nel 2020, che sarà più contenuta (+0,6 per cento).</w:t>
      </w:r>
    </w:p>
    <w:p w14:paraId="59365C80" w14:textId="77777777" w:rsidR="00B71DC6" w:rsidRDefault="00B71DC6" w:rsidP="00E40C89">
      <w:r>
        <w:t>Il tasso di occupazione è salito chiaramente nel 2019 (45,9 per cento) e raggiungerà comunque il 46,1 per cento nel 2020.</w:t>
      </w:r>
    </w:p>
    <w:p w14:paraId="15877FE2" w14:textId="77777777" w:rsidR="00B71DC6" w:rsidRDefault="00B71DC6" w:rsidP="00E40C89">
      <w:r>
        <w:t>Lo scorso anno il tasso di disoccupazione - pari al 2,8 per cento nel 2007 e salito all’8,4 per cento nel 2013 - dovrebbe essere sceso al 5,5 per cento. La tendenza positiva del mercato del lavoro lo ridurrà al 5,4 per cento nel 2020.</w:t>
      </w:r>
    </w:p>
    <w:sectPr w:rsidR="00B71DC6" w:rsidSect="00EC7F1C">
      <w:footerReference w:type="even" r:id="rId13"/>
      <w:footerReference w:type="default" r:id="rId14"/>
      <w:footnotePr>
        <w:numRestart w:val="eachSect"/>
      </w:footnotePr>
      <w:pgSz w:w="11907" w:h="16840" w:code="9"/>
      <w:pgMar w:top="1276" w:right="992" w:bottom="1276" w:left="992" w:header="567" w:footer="567"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F788C2" w14:textId="77777777" w:rsidR="00703FF8" w:rsidRDefault="00703FF8">
      <w:r>
        <w:separator/>
      </w:r>
    </w:p>
    <w:p w14:paraId="1746402A" w14:textId="77777777" w:rsidR="00703FF8" w:rsidRDefault="00703FF8"/>
  </w:endnote>
  <w:endnote w:type="continuationSeparator" w:id="0">
    <w:p w14:paraId="25BE48E3" w14:textId="77777777" w:rsidR="00703FF8" w:rsidRDefault="00703FF8">
      <w:r>
        <w:continuationSeparator/>
      </w:r>
    </w:p>
    <w:p w14:paraId="0FFEE2A4" w14:textId="77777777" w:rsidR="00703FF8" w:rsidRDefault="00703F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E4F430" w14:textId="77777777" w:rsidR="00EC7F1C" w:rsidRDefault="000C5215" w:rsidP="00785036">
    <w:pPr>
      <w:pStyle w:val="Pidipagina"/>
      <w:framePr w:wrap="around" w:vAnchor="text" w:hAnchor="margin" w:xAlign="outside" w:y="1"/>
      <w:ind w:firstLine="0"/>
      <w:jc w:val="lef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09653C">
      <w:rPr>
        <w:rStyle w:val="Numeropagina"/>
        <w:noProof/>
      </w:rPr>
      <w:t>2</w:t>
    </w:r>
    <w:r>
      <w:rPr>
        <w:rStyle w:val="Numeropagina"/>
      </w:rPr>
      <w:fldChar w:fldCharType="end"/>
    </w:r>
  </w:p>
  <w:p w14:paraId="5378CAC6" w14:textId="77777777" w:rsidR="00EC7F1C" w:rsidRDefault="00EC7F1C" w:rsidP="00EC7F1C">
    <w:pPr>
      <w:pStyle w:val="Pidipagin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E243C" w14:textId="77777777" w:rsidR="00EC7F1C" w:rsidRDefault="000C5215" w:rsidP="00EC7F1C">
    <w:pPr>
      <w:pStyle w:val="Intestazione"/>
      <w:framePr w:wrap="around" w:vAnchor="text" w:hAnchor="margin" w:xAlign="right" w:y="1"/>
      <w:ind w:firstLine="0"/>
      <w:jc w:val="righ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B71DC6">
      <w:rPr>
        <w:rStyle w:val="Numeropagina"/>
        <w:noProof/>
      </w:rPr>
      <w:t>3</w:t>
    </w:r>
    <w:r>
      <w:rPr>
        <w:rStyle w:val="Numeropagina"/>
      </w:rPr>
      <w:fldChar w:fldCharType="end"/>
    </w:r>
  </w:p>
  <w:p w14:paraId="22F0EE30" w14:textId="77777777" w:rsidR="00EC7F1C" w:rsidRDefault="00EC7F1C" w:rsidP="00EC7F1C">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E856C7" w14:textId="77777777" w:rsidR="00703FF8" w:rsidRDefault="00703FF8">
      <w:r>
        <w:separator/>
      </w:r>
    </w:p>
    <w:p w14:paraId="3555E783" w14:textId="77777777" w:rsidR="00703FF8" w:rsidRDefault="00703FF8"/>
  </w:footnote>
  <w:footnote w:type="continuationSeparator" w:id="0">
    <w:p w14:paraId="69E20165" w14:textId="77777777" w:rsidR="00703FF8" w:rsidRDefault="00703FF8">
      <w:r>
        <w:continuationSeparator/>
      </w:r>
    </w:p>
    <w:p w14:paraId="1E5C672B" w14:textId="77777777" w:rsidR="00703FF8" w:rsidRDefault="00703FF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574AF5"/>
    <w:multiLevelType w:val="hybridMultilevel"/>
    <w:tmpl w:val="CA500168"/>
    <w:lvl w:ilvl="0" w:tplc="0410000F">
      <w:start w:val="1"/>
      <w:numFmt w:val="decimal"/>
      <w:lvlText w:val="%1."/>
      <w:lvlJc w:val="left"/>
      <w:pPr>
        <w:ind w:left="1174" w:hanging="360"/>
      </w:pPr>
    </w:lvl>
    <w:lvl w:ilvl="1" w:tplc="04100019" w:tentative="1">
      <w:start w:val="1"/>
      <w:numFmt w:val="lowerLetter"/>
      <w:lvlText w:val="%2."/>
      <w:lvlJc w:val="left"/>
      <w:pPr>
        <w:ind w:left="1894" w:hanging="360"/>
      </w:pPr>
    </w:lvl>
    <w:lvl w:ilvl="2" w:tplc="0410001B" w:tentative="1">
      <w:start w:val="1"/>
      <w:numFmt w:val="lowerRoman"/>
      <w:lvlText w:val="%3."/>
      <w:lvlJc w:val="right"/>
      <w:pPr>
        <w:ind w:left="2614" w:hanging="180"/>
      </w:pPr>
    </w:lvl>
    <w:lvl w:ilvl="3" w:tplc="0410000F" w:tentative="1">
      <w:start w:val="1"/>
      <w:numFmt w:val="decimal"/>
      <w:lvlText w:val="%4."/>
      <w:lvlJc w:val="left"/>
      <w:pPr>
        <w:ind w:left="3334" w:hanging="360"/>
      </w:pPr>
    </w:lvl>
    <w:lvl w:ilvl="4" w:tplc="04100019" w:tentative="1">
      <w:start w:val="1"/>
      <w:numFmt w:val="lowerLetter"/>
      <w:lvlText w:val="%5."/>
      <w:lvlJc w:val="left"/>
      <w:pPr>
        <w:ind w:left="4054" w:hanging="360"/>
      </w:pPr>
    </w:lvl>
    <w:lvl w:ilvl="5" w:tplc="0410001B" w:tentative="1">
      <w:start w:val="1"/>
      <w:numFmt w:val="lowerRoman"/>
      <w:lvlText w:val="%6."/>
      <w:lvlJc w:val="right"/>
      <w:pPr>
        <w:ind w:left="4774" w:hanging="180"/>
      </w:pPr>
    </w:lvl>
    <w:lvl w:ilvl="6" w:tplc="0410000F" w:tentative="1">
      <w:start w:val="1"/>
      <w:numFmt w:val="decimal"/>
      <w:lvlText w:val="%7."/>
      <w:lvlJc w:val="left"/>
      <w:pPr>
        <w:ind w:left="5494" w:hanging="360"/>
      </w:pPr>
    </w:lvl>
    <w:lvl w:ilvl="7" w:tplc="04100019" w:tentative="1">
      <w:start w:val="1"/>
      <w:numFmt w:val="lowerLetter"/>
      <w:lvlText w:val="%8."/>
      <w:lvlJc w:val="left"/>
      <w:pPr>
        <w:ind w:left="6214" w:hanging="360"/>
      </w:pPr>
    </w:lvl>
    <w:lvl w:ilvl="8" w:tplc="0410001B" w:tentative="1">
      <w:start w:val="1"/>
      <w:numFmt w:val="lowerRoman"/>
      <w:lvlText w:val="%9."/>
      <w:lvlJc w:val="right"/>
      <w:pPr>
        <w:ind w:left="6934" w:hanging="180"/>
      </w:pPr>
    </w:lvl>
  </w:abstractNum>
  <w:abstractNum w:abstractNumId="1" w15:restartNumberingAfterBreak="0">
    <w:nsid w:val="65DC702E"/>
    <w:multiLevelType w:val="hybridMultilevel"/>
    <w:tmpl w:val="B09E391E"/>
    <w:lvl w:ilvl="0" w:tplc="04100001">
      <w:start w:val="1"/>
      <w:numFmt w:val="bullet"/>
      <w:lvlText w:val=""/>
      <w:lvlJc w:val="left"/>
      <w:pPr>
        <w:ind w:left="947" w:hanging="360"/>
      </w:pPr>
      <w:rPr>
        <w:rFonts w:ascii="Symbol" w:hAnsi="Symbol" w:hint="default"/>
      </w:rPr>
    </w:lvl>
    <w:lvl w:ilvl="1" w:tplc="04100003" w:tentative="1">
      <w:start w:val="1"/>
      <w:numFmt w:val="bullet"/>
      <w:lvlText w:val="o"/>
      <w:lvlJc w:val="left"/>
      <w:pPr>
        <w:ind w:left="1667" w:hanging="360"/>
      </w:pPr>
      <w:rPr>
        <w:rFonts w:ascii="Courier New" w:hAnsi="Courier New" w:cs="Courier New" w:hint="default"/>
      </w:rPr>
    </w:lvl>
    <w:lvl w:ilvl="2" w:tplc="04100005" w:tentative="1">
      <w:start w:val="1"/>
      <w:numFmt w:val="bullet"/>
      <w:lvlText w:val=""/>
      <w:lvlJc w:val="left"/>
      <w:pPr>
        <w:ind w:left="2387" w:hanging="360"/>
      </w:pPr>
      <w:rPr>
        <w:rFonts w:ascii="Wingdings" w:hAnsi="Wingdings" w:hint="default"/>
      </w:rPr>
    </w:lvl>
    <w:lvl w:ilvl="3" w:tplc="04100001" w:tentative="1">
      <w:start w:val="1"/>
      <w:numFmt w:val="bullet"/>
      <w:lvlText w:val=""/>
      <w:lvlJc w:val="left"/>
      <w:pPr>
        <w:ind w:left="3107" w:hanging="360"/>
      </w:pPr>
      <w:rPr>
        <w:rFonts w:ascii="Symbol" w:hAnsi="Symbol" w:hint="default"/>
      </w:rPr>
    </w:lvl>
    <w:lvl w:ilvl="4" w:tplc="04100003" w:tentative="1">
      <w:start w:val="1"/>
      <w:numFmt w:val="bullet"/>
      <w:lvlText w:val="o"/>
      <w:lvlJc w:val="left"/>
      <w:pPr>
        <w:ind w:left="3827" w:hanging="360"/>
      </w:pPr>
      <w:rPr>
        <w:rFonts w:ascii="Courier New" w:hAnsi="Courier New" w:cs="Courier New" w:hint="default"/>
      </w:rPr>
    </w:lvl>
    <w:lvl w:ilvl="5" w:tplc="04100005" w:tentative="1">
      <w:start w:val="1"/>
      <w:numFmt w:val="bullet"/>
      <w:lvlText w:val=""/>
      <w:lvlJc w:val="left"/>
      <w:pPr>
        <w:ind w:left="4547" w:hanging="360"/>
      </w:pPr>
      <w:rPr>
        <w:rFonts w:ascii="Wingdings" w:hAnsi="Wingdings" w:hint="default"/>
      </w:rPr>
    </w:lvl>
    <w:lvl w:ilvl="6" w:tplc="04100001" w:tentative="1">
      <w:start w:val="1"/>
      <w:numFmt w:val="bullet"/>
      <w:lvlText w:val=""/>
      <w:lvlJc w:val="left"/>
      <w:pPr>
        <w:ind w:left="5267" w:hanging="360"/>
      </w:pPr>
      <w:rPr>
        <w:rFonts w:ascii="Symbol" w:hAnsi="Symbol" w:hint="default"/>
      </w:rPr>
    </w:lvl>
    <w:lvl w:ilvl="7" w:tplc="04100003" w:tentative="1">
      <w:start w:val="1"/>
      <w:numFmt w:val="bullet"/>
      <w:lvlText w:val="o"/>
      <w:lvlJc w:val="left"/>
      <w:pPr>
        <w:ind w:left="5987" w:hanging="360"/>
      </w:pPr>
      <w:rPr>
        <w:rFonts w:ascii="Courier New" w:hAnsi="Courier New" w:cs="Courier New" w:hint="default"/>
      </w:rPr>
    </w:lvl>
    <w:lvl w:ilvl="8" w:tplc="04100005" w:tentative="1">
      <w:start w:val="1"/>
      <w:numFmt w:val="bullet"/>
      <w:lvlText w:val=""/>
      <w:lvlJc w:val="left"/>
      <w:pPr>
        <w:ind w:left="6707"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intFractionalCharacterWidth/>
  <w:mirrorMargin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12A"/>
    <w:rsid w:val="00006931"/>
    <w:rsid w:val="00006BFF"/>
    <w:rsid w:val="00006FF0"/>
    <w:rsid w:val="000355D6"/>
    <w:rsid w:val="00060534"/>
    <w:rsid w:val="00072096"/>
    <w:rsid w:val="000954C7"/>
    <w:rsid w:val="0009653C"/>
    <w:rsid w:val="000A136A"/>
    <w:rsid w:val="000A47C0"/>
    <w:rsid w:val="000A526B"/>
    <w:rsid w:val="000A7ACE"/>
    <w:rsid w:val="000B711D"/>
    <w:rsid w:val="000C35DD"/>
    <w:rsid w:val="000C3780"/>
    <w:rsid w:val="000C5215"/>
    <w:rsid w:val="000C731A"/>
    <w:rsid w:val="000D3408"/>
    <w:rsid w:val="000D4337"/>
    <w:rsid w:val="000D77D9"/>
    <w:rsid w:val="000E7C99"/>
    <w:rsid w:val="000F0C97"/>
    <w:rsid w:val="0011376D"/>
    <w:rsid w:val="00116309"/>
    <w:rsid w:val="001169DB"/>
    <w:rsid w:val="0012006D"/>
    <w:rsid w:val="00143FE6"/>
    <w:rsid w:val="00145433"/>
    <w:rsid w:val="001454AD"/>
    <w:rsid w:val="001455FD"/>
    <w:rsid w:val="00151819"/>
    <w:rsid w:val="0015664B"/>
    <w:rsid w:val="00167F7D"/>
    <w:rsid w:val="00196D46"/>
    <w:rsid w:val="0019786B"/>
    <w:rsid w:val="001A2E23"/>
    <w:rsid w:val="001B00BB"/>
    <w:rsid w:val="001C7B8A"/>
    <w:rsid w:val="001D3F9B"/>
    <w:rsid w:val="001E2EB1"/>
    <w:rsid w:val="001F0E1F"/>
    <w:rsid w:val="00200ADC"/>
    <w:rsid w:val="00205EB4"/>
    <w:rsid w:val="002112CA"/>
    <w:rsid w:val="00215734"/>
    <w:rsid w:val="0021718E"/>
    <w:rsid w:val="00226FD7"/>
    <w:rsid w:val="0023194D"/>
    <w:rsid w:val="002331F6"/>
    <w:rsid w:val="00233DDE"/>
    <w:rsid w:val="002624CD"/>
    <w:rsid w:val="00280045"/>
    <w:rsid w:val="00295CB4"/>
    <w:rsid w:val="00297826"/>
    <w:rsid w:val="002A4363"/>
    <w:rsid w:val="002A67C3"/>
    <w:rsid w:val="002B3250"/>
    <w:rsid w:val="002B4A67"/>
    <w:rsid w:val="002D0E0B"/>
    <w:rsid w:val="002E0C1E"/>
    <w:rsid w:val="002F3B2B"/>
    <w:rsid w:val="003079C8"/>
    <w:rsid w:val="00311B8C"/>
    <w:rsid w:val="00326BDD"/>
    <w:rsid w:val="00343BBA"/>
    <w:rsid w:val="00370DD3"/>
    <w:rsid w:val="00374C2B"/>
    <w:rsid w:val="0037602F"/>
    <w:rsid w:val="00392CCA"/>
    <w:rsid w:val="003A03B0"/>
    <w:rsid w:val="003A4CBD"/>
    <w:rsid w:val="003A7986"/>
    <w:rsid w:val="003C6E43"/>
    <w:rsid w:val="003D4594"/>
    <w:rsid w:val="003F66B1"/>
    <w:rsid w:val="00403C5A"/>
    <w:rsid w:val="004045CE"/>
    <w:rsid w:val="00421C45"/>
    <w:rsid w:val="004308CF"/>
    <w:rsid w:val="00471071"/>
    <w:rsid w:val="004727C6"/>
    <w:rsid w:val="00474F23"/>
    <w:rsid w:val="00475E64"/>
    <w:rsid w:val="0048031B"/>
    <w:rsid w:val="004821B2"/>
    <w:rsid w:val="00497B8C"/>
    <w:rsid w:val="004B0C54"/>
    <w:rsid w:val="004B284C"/>
    <w:rsid w:val="004B4540"/>
    <w:rsid w:val="004B73AB"/>
    <w:rsid w:val="004B7A63"/>
    <w:rsid w:val="004C08CA"/>
    <w:rsid w:val="004C2B43"/>
    <w:rsid w:val="004D12DD"/>
    <w:rsid w:val="004D2755"/>
    <w:rsid w:val="004D5DA3"/>
    <w:rsid w:val="0050153E"/>
    <w:rsid w:val="00507F77"/>
    <w:rsid w:val="00521119"/>
    <w:rsid w:val="00526DAE"/>
    <w:rsid w:val="00530A7E"/>
    <w:rsid w:val="0053677E"/>
    <w:rsid w:val="00537422"/>
    <w:rsid w:val="00541FB1"/>
    <w:rsid w:val="00576C2B"/>
    <w:rsid w:val="005A3111"/>
    <w:rsid w:val="005A35E9"/>
    <w:rsid w:val="005B1DC4"/>
    <w:rsid w:val="005D497A"/>
    <w:rsid w:val="005E16BE"/>
    <w:rsid w:val="005F729A"/>
    <w:rsid w:val="006017C5"/>
    <w:rsid w:val="0060388C"/>
    <w:rsid w:val="006127E5"/>
    <w:rsid w:val="0061438E"/>
    <w:rsid w:val="00615949"/>
    <w:rsid w:val="006232D9"/>
    <w:rsid w:val="00624FD5"/>
    <w:rsid w:val="00627304"/>
    <w:rsid w:val="0063075B"/>
    <w:rsid w:val="006405EA"/>
    <w:rsid w:val="00646138"/>
    <w:rsid w:val="006657DD"/>
    <w:rsid w:val="0067025A"/>
    <w:rsid w:val="006716DF"/>
    <w:rsid w:val="00675B59"/>
    <w:rsid w:val="00680B91"/>
    <w:rsid w:val="00687AC9"/>
    <w:rsid w:val="00693137"/>
    <w:rsid w:val="006A2313"/>
    <w:rsid w:val="006B24FA"/>
    <w:rsid w:val="006B25D9"/>
    <w:rsid w:val="006C2096"/>
    <w:rsid w:val="006C2562"/>
    <w:rsid w:val="006D0B80"/>
    <w:rsid w:val="006E5935"/>
    <w:rsid w:val="006F1520"/>
    <w:rsid w:val="006F328F"/>
    <w:rsid w:val="006F4958"/>
    <w:rsid w:val="00703FF8"/>
    <w:rsid w:val="00711AD4"/>
    <w:rsid w:val="00736E99"/>
    <w:rsid w:val="007413B2"/>
    <w:rsid w:val="007579C8"/>
    <w:rsid w:val="007709BA"/>
    <w:rsid w:val="007767D7"/>
    <w:rsid w:val="00776C28"/>
    <w:rsid w:val="00782A90"/>
    <w:rsid w:val="00785036"/>
    <w:rsid w:val="007864F5"/>
    <w:rsid w:val="007974D7"/>
    <w:rsid w:val="007B585C"/>
    <w:rsid w:val="007C32E7"/>
    <w:rsid w:val="007D4EF0"/>
    <w:rsid w:val="007E6D32"/>
    <w:rsid w:val="007F2453"/>
    <w:rsid w:val="007F4A37"/>
    <w:rsid w:val="008001F3"/>
    <w:rsid w:val="008050F6"/>
    <w:rsid w:val="0080528A"/>
    <w:rsid w:val="0081512A"/>
    <w:rsid w:val="00823044"/>
    <w:rsid w:val="0083021E"/>
    <w:rsid w:val="00832B4E"/>
    <w:rsid w:val="00847E0A"/>
    <w:rsid w:val="0085510F"/>
    <w:rsid w:val="008575CD"/>
    <w:rsid w:val="00863834"/>
    <w:rsid w:val="00865D33"/>
    <w:rsid w:val="00872B5F"/>
    <w:rsid w:val="008761FF"/>
    <w:rsid w:val="00885A3D"/>
    <w:rsid w:val="008917D4"/>
    <w:rsid w:val="0089214E"/>
    <w:rsid w:val="008A59C8"/>
    <w:rsid w:val="008D2187"/>
    <w:rsid w:val="008E1F7C"/>
    <w:rsid w:val="008F762B"/>
    <w:rsid w:val="00902254"/>
    <w:rsid w:val="00904F49"/>
    <w:rsid w:val="00906A3E"/>
    <w:rsid w:val="009124B3"/>
    <w:rsid w:val="009135F2"/>
    <w:rsid w:val="00914F9B"/>
    <w:rsid w:val="00924ED4"/>
    <w:rsid w:val="00927E9E"/>
    <w:rsid w:val="009317C6"/>
    <w:rsid w:val="00943682"/>
    <w:rsid w:val="009439FA"/>
    <w:rsid w:val="00946774"/>
    <w:rsid w:val="009520BC"/>
    <w:rsid w:val="009546A8"/>
    <w:rsid w:val="00956CB8"/>
    <w:rsid w:val="00962949"/>
    <w:rsid w:val="00964213"/>
    <w:rsid w:val="0096720D"/>
    <w:rsid w:val="00986FFE"/>
    <w:rsid w:val="00997F90"/>
    <w:rsid w:val="009A19E1"/>
    <w:rsid w:val="009B6044"/>
    <w:rsid w:val="009D0172"/>
    <w:rsid w:val="009F1A6A"/>
    <w:rsid w:val="009F3FAC"/>
    <w:rsid w:val="009F7EE6"/>
    <w:rsid w:val="00A04E5E"/>
    <w:rsid w:val="00A206B3"/>
    <w:rsid w:val="00A226D3"/>
    <w:rsid w:val="00A3149F"/>
    <w:rsid w:val="00A56554"/>
    <w:rsid w:val="00A7082C"/>
    <w:rsid w:val="00A72937"/>
    <w:rsid w:val="00A730F5"/>
    <w:rsid w:val="00A90F5A"/>
    <w:rsid w:val="00A92FA0"/>
    <w:rsid w:val="00A97F64"/>
    <w:rsid w:val="00AA3813"/>
    <w:rsid w:val="00AA704C"/>
    <w:rsid w:val="00AB3C50"/>
    <w:rsid w:val="00AC6CE4"/>
    <w:rsid w:val="00AD3962"/>
    <w:rsid w:val="00B0117D"/>
    <w:rsid w:val="00B141FF"/>
    <w:rsid w:val="00B27432"/>
    <w:rsid w:val="00B300CF"/>
    <w:rsid w:val="00B33405"/>
    <w:rsid w:val="00B3596A"/>
    <w:rsid w:val="00B37865"/>
    <w:rsid w:val="00B510DE"/>
    <w:rsid w:val="00B71DC6"/>
    <w:rsid w:val="00B74896"/>
    <w:rsid w:val="00B937FD"/>
    <w:rsid w:val="00BA4E1E"/>
    <w:rsid w:val="00BA6EC0"/>
    <w:rsid w:val="00BB4979"/>
    <w:rsid w:val="00BC1241"/>
    <w:rsid w:val="00BC5420"/>
    <w:rsid w:val="00BD16F9"/>
    <w:rsid w:val="00BD7C77"/>
    <w:rsid w:val="00BD7ED5"/>
    <w:rsid w:val="00BF4352"/>
    <w:rsid w:val="00BF7C78"/>
    <w:rsid w:val="00C10760"/>
    <w:rsid w:val="00C35C72"/>
    <w:rsid w:val="00C40E72"/>
    <w:rsid w:val="00C43F0D"/>
    <w:rsid w:val="00C44E27"/>
    <w:rsid w:val="00C91709"/>
    <w:rsid w:val="00CA7D73"/>
    <w:rsid w:val="00CB605B"/>
    <w:rsid w:val="00CC5909"/>
    <w:rsid w:val="00CD278F"/>
    <w:rsid w:val="00CE0250"/>
    <w:rsid w:val="00CE68C2"/>
    <w:rsid w:val="00CF2079"/>
    <w:rsid w:val="00D03990"/>
    <w:rsid w:val="00D11BF6"/>
    <w:rsid w:val="00D2026C"/>
    <w:rsid w:val="00D20CDE"/>
    <w:rsid w:val="00D32334"/>
    <w:rsid w:val="00D70926"/>
    <w:rsid w:val="00D765FD"/>
    <w:rsid w:val="00D8389E"/>
    <w:rsid w:val="00D91F47"/>
    <w:rsid w:val="00DB7F10"/>
    <w:rsid w:val="00DD14C1"/>
    <w:rsid w:val="00DD43EA"/>
    <w:rsid w:val="00DF3629"/>
    <w:rsid w:val="00DF42E6"/>
    <w:rsid w:val="00E01DC4"/>
    <w:rsid w:val="00E167FF"/>
    <w:rsid w:val="00E3114E"/>
    <w:rsid w:val="00E52DE6"/>
    <w:rsid w:val="00E534DF"/>
    <w:rsid w:val="00E55380"/>
    <w:rsid w:val="00E678F3"/>
    <w:rsid w:val="00E67F80"/>
    <w:rsid w:val="00E743E6"/>
    <w:rsid w:val="00E85754"/>
    <w:rsid w:val="00EA259C"/>
    <w:rsid w:val="00EA3B0A"/>
    <w:rsid w:val="00EA6D48"/>
    <w:rsid w:val="00EC7093"/>
    <w:rsid w:val="00EC7F1C"/>
    <w:rsid w:val="00ED09E7"/>
    <w:rsid w:val="00ED3E7E"/>
    <w:rsid w:val="00EE115B"/>
    <w:rsid w:val="00EE2F9D"/>
    <w:rsid w:val="00F216E5"/>
    <w:rsid w:val="00F333A5"/>
    <w:rsid w:val="00F34C07"/>
    <w:rsid w:val="00F516F4"/>
    <w:rsid w:val="00F56FF5"/>
    <w:rsid w:val="00F60684"/>
    <w:rsid w:val="00F61994"/>
    <w:rsid w:val="00F81090"/>
    <w:rsid w:val="00F81CE8"/>
    <w:rsid w:val="00F82353"/>
    <w:rsid w:val="00F858D8"/>
    <w:rsid w:val="00F91DDE"/>
    <w:rsid w:val="00F94364"/>
    <w:rsid w:val="00F97B57"/>
    <w:rsid w:val="00FA4C39"/>
    <w:rsid w:val="00FB0790"/>
    <w:rsid w:val="00FB5FA2"/>
    <w:rsid w:val="00FC1708"/>
    <w:rsid w:val="00FC2012"/>
    <w:rsid w:val="00FF03A4"/>
    <w:rsid w:val="00FF42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0FDE52"/>
  <w15:docId w15:val="{D96F6654-79D6-42C3-ABAA-2D85D2973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semiHidden/>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 w:type="table" w:styleId="Grigliatabella">
    <w:name w:val="Table Grid"/>
    <w:basedOn w:val="Tabellanormale"/>
    <w:uiPriority w:val="59"/>
    <w:rsid w:val="0090225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EtichetteBold">
    <w:name w:val="Tab Etichette Bold"/>
    <w:basedOn w:val="TabEtichette"/>
    <w:rsid w:val="00167F7D"/>
    <w:rPr>
      <w:b/>
      <w:bCs/>
    </w:rPr>
  </w:style>
  <w:style w:type="paragraph" w:customStyle="1" w:styleId="tabnum">
    <w:name w:val="tab num"/>
    <w:basedOn w:val="Normale"/>
    <w:qFormat/>
    <w:rsid w:val="00167F7D"/>
    <w:pPr>
      <w:keepLines/>
      <w:spacing w:line="240" w:lineRule="auto"/>
      <w:ind w:firstLine="0"/>
      <w:jc w:val="right"/>
    </w:pPr>
    <w:rPr>
      <w:sz w:val="16"/>
      <w:szCs w:val="24"/>
    </w:rPr>
  </w:style>
  <w:style w:type="paragraph" w:customStyle="1" w:styleId="tabetic">
    <w:name w:val="tab etic"/>
    <w:basedOn w:val="Normale"/>
    <w:qFormat/>
    <w:rsid w:val="00167F7D"/>
    <w:pPr>
      <w:keepLines/>
      <w:tabs>
        <w:tab w:val="left" w:pos="113"/>
        <w:tab w:val="left" w:pos="227"/>
      </w:tabs>
      <w:spacing w:line="240" w:lineRule="auto"/>
      <w:ind w:firstLine="0"/>
      <w:jc w:val="left"/>
    </w:pPr>
    <w:rPr>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z_sistema\m_modelli\rap_eco_reg.dot"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755392826551313E-2"/>
          <c:y val="2.6248998386734904E-2"/>
          <c:w val="0.89120562330623354"/>
          <c:h val="0.88538151731568193"/>
        </c:manualLayout>
      </c:layout>
      <c:barChart>
        <c:barDir val="col"/>
        <c:grouping val="clustered"/>
        <c:varyColors val="0"/>
        <c:ser>
          <c:idx val="2"/>
          <c:order val="2"/>
          <c:tx>
            <c:strRef>
              <c:f>Foglio1!$D$1</c:f>
              <c:strCache>
                <c:ptCount val="1"/>
                <c:pt idx="0">
                  <c:v>Emilia-Romagna</c:v>
                </c:pt>
              </c:strCache>
            </c:strRef>
          </c:tx>
          <c:spPr>
            <a:solidFill>
              <a:srgbClr val="D99694"/>
            </a:solidFill>
            <a:ln>
              <a:solidFill>
                <a:srgbClr val="C00000"/>
              </a:solidFill>
            </a:ln>
          </c:spPr>
          <c:invertIfNegative val="0"/>
          <c:dLbls>
            <c:dLbl>
              <c:idx val="12"/>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AD48-421F-B218-CDD3A9BE1FCB}"/>
                </c:ext>
              </c:extLst>
            </c:dLbl>
            <c:dLbl>
              <c:idx val="13"/>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AD48-421F-B218-CDD3A9BE1FCB}"/>
                </c:ext>
              </c:extLst>
            </c:dLbl>
            <c:numFmt formatCode="0.0;[Red]\-0.0" sourceLinked="0"/>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0"/>
              </c:ext>
            </c:extLst>
          </c:dLbls>
          <c:cat>
            <c:numRef>
              <c:f>Foglio1!$A$2:$A$16</c:f>
              <c:numCache>
                <c:formatCode>General</c:formatCode>
                <c:ptCount val="15"/>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numCache>
            </c:numRef>
          </c:cat>
          <c:val>
            <c:numRef>
              <c:f>Foglio1!$D$2:$D$16</c:f>
              <c:numCache>
                <c:formatCode>0.0</c:formatCode>
                <c:ptCount val="15"/>
                <c:pt idx="0">
                  <c:v>2.3175800834109861</c:v>
                </c:pt>
                <c:pt idx="1">
                  <c:v>-0.91623772720467178</c:v>
                </c:pt>
                <c:pt idx="2">
                  <c:v>-6.9147786794893751</c:v>
                </c:pt>
                <c:pt idx="3">
                  <c:v>2.1306386185962811</c:v>
                </c:pt>
                <c:pt idx="4">
                  <c:v>2.5733554103256395</c:v>
                </c:pt>
                <c:pt idx="5">
                  <c:v>-2.682209691998183</c:v>
                </c:pt>
                <c:pt idx="6">
                  <c:v>-0.77287069655636031</c:v>
                </c:pt>
                <c:pt idx="7">
                  <c:v>0.90306567413676042</c:v>
                </c:pt>
                <c:pt idx="8">
                  <c:v>0.69829718543703567</c:v>
                </c:pt>
                <c:pt idx="9">
                  <c:v>1.4099938108639964</c:v>
                </c:pt>
                <c:pt idx="10">
                  <c:v>1.8408617609438016</c:v>
                </c:pt>
                <c:pt idx="11">
                  <c:v>1.8199999999999994</c:v>
                </c:pt>
                <c:pt idx="12">
                  <c:v>0.50887349218540212</c:v>
                </c:pt>
                <c:pt idx="13">
                  <c:v>0.84165820089203702</c:v>
                </c:pt>
                <c:pt idx="14">
                  <c:v>1.0177689280598035</c:v>
                </c:pt>
              </c:numCache>
            </c:numRef>
          </c:val>
          <c:extLst>
            <c:ext xmlns:c16="http://schemas.microsoft.com/office/drawing/2014/chart" uri="{C3380CC4-5D6E-409C-BE32-E72D297353CC}">
              <c16:uniqueId val="{00000002-AD48-421F-B218-CDD3A9BE1FCB}"/>
            </c:ext>
          </c:extLst>
        </c:ser>
        <c:ser>
          <c:idx val="3"/>
          <c:order val="3"/>
          <c:tx>
            <c:strRef>
              <c:f>Foglio1!$E$1</c:f>
              <c:strCache>
                <c:ptCount val="1"/>
                <c:pt idx="0">
                  <c:v>Italia</c:v>
                </c:pt>
              </c:strCache>
            </c:strRef>
          </c:tx>
          <c:spPr>
            <a:solidFill>
              <a:schemeClr val="accent5">
                <a:lumMod val="40000"/>
                <a:lumOff val="60000"/>
              </a:schemeClr>
            </a:solidFill>
            <a:ln>
              <a:solidFill>
                <a:schemeClr val="tx2">
                  <a:lumMod val="75000"/>
                </a:schemeClr>
              </a:solidFill>
            </a:ln>
          </c:spPr>
          <c:invertIfNegative val="0"/>
          <c:cat>
            <c:numRef>
              <c:f>Foglio1!$A$2:$A$16</c:f>
              <c:numCache>
                <c:formatCode>General</c:formatCode>
                <c:ptCount val="15"/>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numCache>
            </c:numRef>
          </c:cat>
          <c:val>
            <c:numRef>
              <c:f>Foglio1!$E$2:$E$16</c:f>
              <c:numCache>
                <c:formatCode>0.0</c:formatCode>
                <c:ptCount val="15"/>
                <c:pt idx="0">
                  <c:v>1.4738685466187729</c:v>
                </c:pt>
                <c:pt idx="1">
                  <c:v>-1.0504028348038208</c:v>
                </c:pt>
                <c:pt idx="2">
                  <c:v>-5.4820550401474488</c:v>
                </c:pt>
                <c:pt idx="3">
                  <c:v>1.6865234030892129</c:v>
                </c:pt>
                <c:pt idx="4">
                  <c:v>0.57662302210419458</c:v>
                </c:pt>
                <c:pt idx="5">
                  <c:v>-2.8190137792549308</c:v>
                </c:pt>
                <c:pt idx="6">
                  <c:v>-1.7281608024923067</c:v>
                </c:pt>
                <c:pt idx="7">
                  <c:v>0.11367323787825345</c:v>
                </c:pt>
                <c:pt idx="8">
                  <c:v>0.9239924875097616</c:v>
                </c:pt>
                <c:pt idx="9">
                  <c:v>1.1189006179952443</c:v>
                </c:pt>
                <c:pt idx="10">
                  <c:v>1.6841826095151724</c:v>
                </c:pt>
                <c:pt idx="11">
                  <c:v>0.85826021589350265</c:v>
                </c:pt>
                <c:pt idx="12">
                  <c:v>0.17549640853355974</c:v>
                </c:pt>
                <c:pt idx="13">
                  <c:v>0.51527189437861054</c:v>
                </c:pt>
                <c:pt idx="14">
                  <c:v>0.71049228360826611</c:v>
                </c:pt>
              </c:numCache>
            </c:numRef>
          </c:val>
          <c:extLst>
            <c:ext xmlns:c16="http://schemas.microsoft.com/office/drawing/2014/chart" uri="{C3380CC4-5D6E-409C-BE32-E72D297353CC}">
              <c16:uniqueId val="{00000003-AD48-421F-B218-CDD3A9BE1FCB}"/>
            </c:ext>
          </c:extLst>
        </c:ser>
        <c:dLbls>
          <c:showLegendKey val="0"/>
          <c:showVal val="0"/>
          <c:showCatName val="0"/>
          <c:showSerName val="0"/>
          <c:showPercent val="0"/>
          <c:showBubbleSize val="0"/>
        </c:dLbls>
        <c:gapWidth val="100"/>
        <c:axId val="309942272"/>
        <c:axId val="306585600"/>
      </c:barChart>
      <c:lineChart>
        <c:grouping val="standard"/>
        <c:varyColors val="0"/>
        <c:ser>
          <c:idx val="0"/>
          <c:order val="0"/>
          <c:tx>
            <c:strRef>
              <c:f>Foglio1!$B$1</c:f>
              <c:strCache>
                <c:ptCount val="1"/>
                <c:pt idx="0">
                  <c:v>ER</c:v>
                </c:pt>
              </c:strCache>
            </c:strRef>
          </c:tx>
          <c:spPr>
            <a:ln w="34925">
              <a:solidFill>
                <a:srgbClr val="C00000"/>
              </a:solidFill>
            </a:ln>
          </c:spPr>
          <c:marker>
            <c:symbol val="none"/>
          </c:marker>
          <c:dLbls>
            <c:dLbl>
              <c:idx val="1"/>
              <c:layout>
                <c:manualLayout>
                  <c:x val="-3.9809517649367604E-2"/>
                  <c:y val="-0.10091227278631147"/>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AD48-421F-B218-CDD3A9BE1FCB}"/>
                </c:ext>
              </c:extLst>
            </c:dLbl>
            <c:dLbl>
              <c:idx val="4"/>
              <c:delete val="1"/>
              <c:extLst>
                <c:ext xmlns:c15="http://schemas.microsoft.com/office/drawing/2012/chart" uri="{CE6537A1-D6FC-4f65-9D91-7224C49458BB}"/>
                <c:ext xmlns:c16="http://schemas.microsoft.com/office/drawing/2014/chart" uri="{C3380CC4-5D6E-409C-BE32-E72D297353CC}">
                  <c16:uniqueId val="{00000005-AD48-421F-B218-CDD3A9BE1FCB}"/>
                </c:ext>
              </c:extLst>
            </c:dLbl>
            <c:dLbl>
              <c:idx val="8"/>
              <c:delete val="1"/>
              <c:extLst>
                <c:ext xmlns:c15="http://schemas.microsoft.com/office/drawing/2012/chart" uri="{CE6537A1-D6FC-4f65-9D91-7224C49458BB}"/>
                <c:ext xmlns:c16="http://schemas.microsoft.com/office/drawing/2014/chart" uri="{C3380CC4-5D6E-409C-BE32-E72D297353CC}">
                  <c16:uniqueId val="{00000006-AD48-421F-B218-CDD3A9BE1FCB}"/>
                </c:ext>
              </c:extLst>
            </c:dLbl>
            <c:dLbl>
              <c:idx val="12"/>
              <c:delete val="1"/>
              <c:extLst>
                <c:ext xmlns:c15="http://schemas.microsoft.com/office/drawing/2012/chart" uri="{CE6537A1-D6FC-4f65-9D91-7224C49458BB}"/>
                <c:ext xmlns:c16="http://schemas.microsoft.com/office/drawing/2014/chart" uri="{C3380CC4-5D6E-409C-BE32-E72D297353CC}">
                  <c16:uniqueId val="{00000007-AD48-421F-B218-CDD3A9BE1FCB}"/>
                </c:ext>
              </c:extLst>
            </c:dLbl>
            <c:dLbl>
              <c:idx val="13"/>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AD48-421F-B218-CDD3A9BE1FCB}"/>
                </c:ext>
              </c:extLst>
            </c:dLbl>
            <c:dLbl>
              <c:idx val="14"/>
              <c:delete val="1"/>
              <c:extLst>
                <c:ext xmlns:c15="http://schemas.microsoft.com/office/drawing/2012/chart" uri="{CE6537A1-D6FC-4f65-9D91-7224C49458BB}"/>
                <c:ext xmlns:c16="http://schemas.microsoft.com/office/drawing/2014/chart" uri="{C3380CC4-5D6E-409C-BE32-E72D297353CC}">
                  <c16:uniqueId val="{00000009-AD48-421F-B218-CDD3A9BE1FCB}"/>
                </c:ext>
              </c:extLst>
            </c:dLbl>
            <c:dLbl>
              <c:idx val="16"/>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AD48-421F-B218-CDD3A9BE1FCB}"/>
                </c:ext>
              </c:extLst>
            </c:dLbl>
            <c:dLbl>
              <c:idx val="18"/>
              <c:layout>
                <c:manualLayout>
                  <c:x val="-3.9821985094851006E-2"/>
                  <c:y val="4.016559785696911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AD48-421F-B218-CDD3A9BE1FCB}"/>
                </c:ext>
              </c:extLst>
            </c:dLbl>
            <c:dLbl>
              <c:idx val="20"/>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AD48-421F-B218-CDD3A9BE1FCB}"/>
                </c:ext>
              </c:extLst>
            </c:dLbl>
            <c:numFmt formatCode="0.0" sourceLinked="0"/>
            <c:spPr>
              <a:noFill/>
              <a:ln>
                <a:noFill/>
              </a:ln>
              <a:effectLst/>
            </c:spPr>
            <c:txPr>
              <a:bodyPr/>
              <a:lstStyle/>
              <a:p>
                <a:pPr>
                  <a:defRPr>
                    <a:solidFill>
                      <a:srgbClr val="C00000"/>
                    </a:solidFill>
                  </a:defRPr>
                </a:pPr>
                <a:endParaRPr lang="it-IT"/>
              </a:p>
            </c:txPr>
            <c:dLblPos val="t"/>
            <c:showLegendKey val="0"/>
            <c:showVal val="0"/>
            <c:showCatName val="0"/>
            <c:showSerName val="0"/>
            <c:showPercent val="0"/>
            <c:showBubbleSize val="0"/>
            <c:extLst>
              <c:ext xmlns:c15="http://schemas.microsoft.com/office/drawing/2012/chart" uri="{CE6537A1-D6FC-4f65-9D91-7224C49458BB}">
                <c15:showLeaderLines val="0"/>
              </c:ext>
            </c:extLst>
          </c:dLbls>
          <c:cat>
            <c:numRef>
              <c:f>Foglio1!$A$2:$A$16</c:f>
              <c:numCache>
                <c:formatCode>General</c:formatCode>
                <c:ptCount val="15"/>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numCache>
            </c:numRef>
          </c:cat>
          <c:val>
            <c:numRef>
              <c:f>Foglio1!$B$2:$B$16</c:f>
              <c:numCache>
                <c:formatCode>0.0</c:formatCode>
                <c:ptCount val="15"/>
                <c:pt idx="0">
                  <c:v>110.33598820632356</c:v>
                </c:pt>
                <c:pt idx="1">
                  <c:v>109.32504825569312</c:v>
                </c:pt>
                <c:pt idx="2">
                  <c:v>101.76546312756697</c:v>
                </c:pt>
                <c:pt idx="3">
                  <c:v>103.93371738535627</c:v>
                </c:pt>
                <c:pt idx="4">
                  <c:v>106.6083013248449</c:v>
                </c:pt>
                <c:pt idx="5">
                  <c:v>103.74884313423529</c:v>
                </c:pt>
                <c:pt idx="6">
                  <c:v>102.94699872763456</c:v>
                </c:pt>
                <c:pt idx="7">
                  <c:v>103.87667773569783</c:v>
                </c:pt>
                <c:pt idx="8">
                  <c:v>104.6020456526517</c:v>
                </c:pt>
                <c:pt idx="9">
                  <c:v>106.07692802239123</c:v>
                </c:pt>
                <c:pt idx="10">
                  <c:v>108.02965762753931</c:v>
                </c:pt>
                <c:pt idx="11">
                  <c:v>109.99579739636053</c:v>
                </c:pt>
                <c:pt idx="12">
                  <c:v>110.55553685182856</c:v>
                </c:pt>
                <c:pt idx="13">
                  <c:v>111.48603659428221</c:v>
                </c:pt>
                <c:pt idx="14">
                  <c:v>112.62070683386418</c:v>
                </c:pt>
              </c:numCache>
            </c:numRef>
          </c:val>
          <c:smooth val="0"/>
          <c:extLst>
            <c:ext xmlns:c16="http://schemas.microsoft.com/office/drawing/2014/chart" uri="{C3380CC4-5D6E-409C-BE32-E72D297353CC}">
              <c16:uniqueId val="{0000000D-AD48-421F-B218-CDD3A9BE1FCB}"/>
            </c:ext>
          </c:extLst>
        </c:ser>
        <c:ser>
          <c:idx val="1"/>
          <c:order val="1"/>
          <c:tx>
            <c:strRef>
              <c:f>Foglio1!$C$1</c:f>
              <c:strCache>
                <c:ptCount val="1"/>
                <c:pt idx="0">
                  <c:v>Ita</c:v>
                </c:pt>
              </c:strCache>
            </c:strRef>
          </c:tx>
          <c:spPr>
            <a:ln w="34925">
              <a:solidFill>
                <a:srgbClr val="376092"/>
              </a:solidFill>
            </a:ln>
          </c:spPr>
          <c:marker>
            <c:symbol val="none"/>
          </c:marker>
          <c:dLbls>
            <c:dLbl>
              <c:idx val="1"/>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AD48-421F-B218-CDD3A9BE1FCB}"/>
                </c:ext>
              </c:extLst>
            </c:dLbl>
            <c:dLbl>
              <c:idx val="4"/>
              <c:delete val="1"/>
              <c:extLst>
                <c:ext xmlns:c15="http://schemas.microsoft.com/office/drawing/2012/chart" uri="{CE6537A1-D6FC-4f65-9D91-7224C49458BB}"/>
                <c:ext xmlns:c16="http://schemas.microsoft.com/office/drawing/2014/chart" uri="{C3380CC4-5D6E-409C-BE32-E72D297353CC}">
                  <c16:uniqueId val="{0000000F-AD48-421F-B218-CDD3A9BE1FCB}"/>
                </c:ext>
              </c:extLst>
            </c:dLbl>
            <c:dLbl>
              <c:idx val="8"/>
              <c:delete val="1"/>
              <c:extLst>
                <c:ext xmlns:c15="http://schemas.microsoft.com/office/drawing/2012/chart" uri="{CE6537A1-D6FC-4f65-9D91-7224C49458BB}"/>
                <c:ext xmlns:c16="http://schemas.microsoft.com/office/drawing/2014/chart" uri="{C3380CC4-5D6E-409C-BE32-E72D297353CC}">
                  <c16:uniqueId val="{00000010-AD48-421F-B218-CDD3A9BE1FCB}"/>
                </c:ext>
              </c:extLst>
            </c:dLbl>
            <c:dLbl>
              <c:idx val="12"/>
              <c:delete val="1"/>
              <c:extLst>
                <c:ext xmlns:c15="http://schemas.microsoft.com/office/drawing/2012/chart" uri="{CE6537A1-D6FC-4f65-9D91-7224C49458BB}"/>
                <c:ext xmlns:c16="http://schemas.microsoft.com/office/drawing/2014/chart" uri="{C3380CC4-5D6E-409C-BE32-E72D297353CC}">
                  <c16:uniqueId val="{00000011-AD48-421F-B218-CDD3A9BE1FCB}"/>
                </c:ext>
              </c:extLst>
            </c:dLbl>
            <c:dLbl>
              <c:idx val="13"/>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AD48-421F-B218-CDD3A9BE1FCB}"/>
                </c:ext>
              </c:extLst>
            </c:dLbl>
            <c:dLbl>
              <c:idx val="14"/>
              <c:delete val="1"/>
              <c:extLst>
                <c:ext xmlns:c15="http://schemas.microsoft.com/office/drawing/2012/chart" uri="{CE6537A1-D6FC-4f65-9D91-7224C49458BB}"/>
                <c:ext xmlns:c16="http://schemas.microsoft.com/office/drawing/2014/chart" uri="{C3380CC4-5D6E-409C-BE32-E72D297353CC}">
                  <c16:uniqueId val="{00000013-AD48-421F-B218-CDD3A9BE1FCB}"/>
                </c:ext>
              </c:extLst>
            </c:dLbl>
            <c:numFmt formatCode="#,##0.0" sourceLinked="0"/>
            <c:spPr>
              <a:noFill/>
              <a:ln>
                <a:noFill/>
              </a:ln>
              <a:effectLst/>
            </c:spPr>
            <c:txPr>
              <a:bodyPr/>
              <a:lstStyle/>
              <a:p>
                <a:pPr>
                  <a:defRPr>
                    <a:solidFill>
                      <a:srgbClr val="0070C0"/>
                    </a:solidFill>
                  </a:defRPr>
                </a:pPr>
                <a:endParaRPr lang="it-IT"/>
              </a:p>
            </c:txPr>
            <c:dLblPos val="b"/>
            <c:showLegendKey val="0"/>
            <c:showVal val="0"/>
            <c:showCatName val="0"/>
            <c:showSerName val="0"/>
            <c:showPercent val="0"/>
            <c:showBubbleSize val="0"/>
            <c:extLst>
              <c:ext xmlns:c15="http://schemas.microsoft.com/office/drawing/2012/chart" uri="{CE6537A1-D6FC-4f65-9D91-7224C49458BB}">
                <c15:showLeaderLines val="0"/>
              </c:ext>
            </c:extLst>
          </c:dLbls>
          <c:cat>
            <c:numRef>
              <c:f>Foglio1!$A$2:$A$16</c:f>
              <c:numCache>
                <c:formatCode>General</c:formatCode>
                <c:ptCount val="15"/>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numCache>
            </c:numRef>
          </c:cat>
          <c:val>
            <c:numRef>
              <c:f>Foglio1!$C$2:$C$16</c:f>
              <c:numCache>
                <c:formatCode>0.0</c:formatCode>
                <c:ptCount val="15"/>
                <c:pt idx="0">
                  <c:v>108.45952334574694</c:v>
                </c:pt>
                <c:pt idx="1">
                  <c:v>107.3202614379085</c:v>
                </c:pt>
                <c:pt idx="2">
                  <c:v>101.43690563665223</c:v>
                </c:pt>
                <c:pt idx="3">
                  <c:v>103.14766278958389</c:v>
                </c:pt>
                <c:pt idx="4">
                  <c:v>103.74243595999103</c:v>
                </c:pt>
                <c:pt idx="5">
                  <c:v>100.81792239534416</c:v>
                </c:pt>
                <c:pt idx="6">
                  <c:v>99.0756265786207</c:v>
                </c:pt>
                <c:pt idx="7">
                  <c:v>99.188249051300787</c:v>
                </c:pt>
                <c:pt idx="8">
                  <c:v>100.10474102102728</c:v>
                </c:pt>
                <c:pt idx="9">
                  <c:v>101.22481358695407</c:v>
                </c:pt>
                <c:pt idx="10">
                  <c:v>102.92962429389972</c:v>
                </c:pt>
                <c:pt idx="11">
                  <c:v>103.8130283095829</c:v>
                </c:pt>
                <c:pt idx="12">
                  <c:v>103.99521644585614</c:v>
                </c:pt>
                <c:pt idx="13">
                  <c:v>104.53107456769986</c:v>
                </c:pt>
                <c:pt idx="14">
                  <c:v>105.27375978647616</c:v>
                </c:pt>
              </c:numCache>
            </c:numRef>
          </c:val>
          <c:smooth val="0"/>
          <c:extLst>
            <c:ext xmlns:c16="http://schemas.microsoft.com/office/drawing/2014/chart" uri="{C3380CC4-5D6E-409C-BE32-E72D297353CC}">
              <c16:uniqueId val="{00000014-AD48-421F-B218-CDD3A9BE1FCB}"/>
            </c:ext>
          </c:extLst>
        </c:ser>
        <c:dLbls>
          <c:showLegendKey val="0"/>
          <c:showVal val="0"/>
          <c:showCatName val="0"/>
          <c:showSerName val="0"/>
          <c:showPercent val="0"/>
          <c:showBubbleSize val="0"/>
        </c:dLbls>
        <c:marker val="1"/>
        <c:smooth val="0"/>
        <c:axId val="309940224"/>
        <c:axId val="300768576"/>
      </c:lineChart>
      <c:catAx>
        <c:axId val="309940224"/>
        <c:scaling>
          <c:orientation val="minMax"/>
        </c:scaling>
        <c:delete val="0"/>
        <c:axPos val="b"/>
        <c:numFmt formatCode="General" sourceLinked="1"/>
        <c:majorTickMark val="out"/>
        <c:minorTickMark val="none"/>
        <c:tickLblPos val="nextTo"/>
        <c:crossAx val="300768576"/>
        <c:crosses val="autoZero"/>
        <c:auto val="1"/>
        <c:lblAlgn val="ctr"/>
        <c:lblOffset val="100"/>
        <c:noMultiLvlLbl val="0"/>
      </c:catAx>
      <c:valAx>
        <c:axId val="300768576"/>
        <c:scaling>
          <c:orientation val="minMax"/>
          <c:min val="98"/>
        </c:scaling>
        <c:delete val="0"/>
        <c:axPos val="l"/>
        <c:majorGridlines>
          <c:spPr>
            <a:ln w="9525">
              <a:prstDash val="dash"/>
            </a:ln>
          </c:spPr>
        </c:majorGridlines>
        <c:numFmt formatCode="0" sourceLinked="0"/>
        <c:majorTickMark val="out"/>
        <c:minorTickMark val="none"/>
        <c:tickLblPos val="nextTo"/>
        <c:crossAx val="309940224"/>
        <c:crosses val="autoZero"/>
        <c:crossBetween val="between"/>
        <c:majorUnit val="2"/>
      </c:valAx>
      <c:valAx>
        <c:axId val="306585600"/>
        <c:scaling>
          <c:orientation val="minMax"/>
          <c:max val="4"/>
          <c:min val="-8"/>
        </c:scaling>
        <c:delete val="0"/>
        <c:axPos val="r"/>
        <c:numFmt formatCode="0.0" sourceLinked="1"/>
        <c:majorTickMark val="out"/>
        <c:minorTickMark val="none"/>
        <c:tickLblPos val="nextTo"/>
        <c:crossAx val="309942272"/>
        <c:crosses val="max"/>
        <c:crossBetween val="between"/>
        <c:majorUnit val="4"/>
      </c:valAx>
      <c:catAx>
        <c:axId val="309942272"/>
        <c:scaling>
          <c:orientation val="minMax"/>
        </c:scaling>
        <c:delete val="0"/>
        <c:axPos val="b"/>
        <c:numFmt formatCode="General" sourceLinked="1"/>
        <c:majorTickMark val="none"/>
        <c:minorTickMark val="none"/>
        <c:tickLblPos val="none"/>
        <c:crossAx val="306585600"/>
        <c:crossesAt val="0"/>
        <c:auto val="1"/>
        <c:lblAlgn val="ctr"/>
        <c:lblOffset val="100"/>
        <c:noMultiLvlLbl val="0"/>
      </c:catAx>
    </c:plotArea>
    <c:legend>
      <c:legendPos val="r"/>
      <c:legendEntry>
        <c:idx val="2"/>
        <c:delete val="1"/>
      </c:legendEntry>
      <c:legendEntry>
        <c:idx val="3"/>
        <c:delete val="1"/>
      </c:legendEntry>
      <c:layout>
        <c:manualLayout>
          <c:xMode val="edge"/>
          <c:yMode val="edge"/>
          <c:x val="5.9601743116641216E-2"/>
          <c:y val="0.708521672240088"/>
          <c:w val="0.15735225864044541"/>
          <c:h val="0.16145458905033386"/>
        </c:manualLayout>
      </c:layout>
      <c:overlay val="0"/>
    </c:legend>
    <c:plotVisOnly val="1"/>
    <c:dispBlanksAs val="gap"/>
    <c:showDLblsOverMax val="0"/>
  </c:chart>
  <c:spPr>
    <a:ln>
      <a:noFill/>
    </a:ln>
  </c:spPr>
  <c:txPr>
    <a:bodyPr/>
    <a:lstStyle/>
    <a:p>
      <a:pPr>
        <a:defRPr sz="800">
          <a:latin typeface="Arial" pitchFamily="34" charset="0"/>
          <a:cs typeface="Arial" pitchFamily="34" charset="0"/>
        </a:defRPr>
      </a:pPr>
      <a:endParaRPr lang="it-IT"/>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3.4084376794264626E-2"/>
          <c:y val="3.1659313725490655E-2"/>
          <c:w val="0.90555737647992451"/>
          <c:h val="0.87452686460325435"/>
        </c:manualLayout>
      </c:layout>
      <c:barChart>
        <c:barDir val="col"/>
        <c:grouping val="clustered"/>
        <c:varyColors val="0"/>
        <c:ser>
          <c:idx val="3"/>
          <c:order val="3"/>
          <c:tx>
            <c:strRef>
              <c:f>Foglio1!$E$1</c:f>
              <c:strCache>
                <c:ptCount val="1"/>
                <c:pt idx="0">
                  <c:v>Industria</c:v>
                </c:pt>
              </c:strCache>
            </c:strRef>
          </c:tx>
          <c:spPr>
            <a:solidFill>
              <a:srgbClr val="C00000"/>
            </a:solidFill>
            <a:ln>
              <a:solidFill>
                <a:schemeClr val="tx1"/>
              </a:solidFill>
            </a:ln>
          </c:spPr>
          <c:invertIfNegative val="0"/>
          <c:cat>
            <c:numRef>
              <c:f>Foglio1!$A$2:$A$16</c:f>
              <c:numCache>
                <c:formatCode>General</c:formatCode>
                <c:ptCount val="15"/>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numCache>
            </c:numRef>
          </c:cat>
          <c:val>
            <c:numRef>
              <c:f>Foglio1!$E$2:$E$16</c:f>
              <c:numCache>
                <c:formatCode>0.0</c:formatCode>
                <c:ptCount val="15"/>
                <c:pt idx="0">
                  <c:v>4.1891068673833631</c:v>
                </c:pt>
                <c:pt idx="1">
                  <c:v>-2.1328027506523295</c:v>
                </c:pt>
                <c:pt idx="2">
                  <c:v>-19.456903290621529</c:v>
                </c:pt>
                <c:pt idx="3">
                  <c:v>13.21462838585874</c:v>
                </c:pt>
                <c:pt idx="4">
                  <c:v>5.1393628845884276</c:v>
                </c:pt>
                <c:pt idx="5">
                  <c:v>-3.1355795582782564</c:v>
                </c:pt>
                <c:pt idx="6">
                  <c:v>0.70957169650687213</c:v>
                </c:pt>
                <c:pt idx="7">
                  <c:v>1.7876494872226756</c:v>
                </c:pt>
                <c:pt idx="8">
                  <c:v>2.4378364201770752</c:v>
                </c:pt>
                <c:pt idx="9">
                  <c:v>2.2960023408068464</c:v>
                </c:pt>
                <c:pt idx="10">
                  <c:v>3.4750093109869651</c:v>
                </c:pt>
                <c:pt idx="11">
                  <c:v>3.8913844102589801</c:v>
                </c:pt>
                <c:pt idx="12">
                  <c:v>9.2958575953239198E-2</c:v>
                </c:pt>
                <c:pt idx="13">
                  <c:v>1.0246041069126521</c:v>
                </c:pt>
                <c:pt idx="14">
                  <c:v>1.4104000713764941</c:v>
                </c:pt>
              </c:numCache>
            </c:numRef>
          </c:val>
          <c:extLst>
            <c:ext xmlns:c16="http://schemas.microsoft.com/office/drawing/2014/chart" uri="{C3380CC4-5D6E-409C-BE32-E72D297353CC}">
              <c16:uniqueId val="{00000000-8765-447E-8340-CB810EB18454}"/>
            </c:ext>
          </c:extLst>
        </c:ser>
        <c:ser>
          <c:idx val="4"/>
          <c:order val="4"/>
          <c:tx>
            <c:strRef>
              <c:f>Foglio1!$F$1</c:f>
              <c:strCache>
                <c:ptCount val="1"/>
                <c:pt idx="0">
                  <c:v>Costruzioni</c:v>
                </c:pt>
              </c:strCache>
            </c:strRef>
          </c:tx>
          <c:spPr>
            <a:solidFill>
              <a:schemeClr val="bg1">
                <a:lumMod val="75000"/>
              </a:schemeClr>
            </a:solidFill>
            <a:ln>
              <a:solidFill>
                <a:schemeClr val="tx1"/>
              </a:solidFill>
            </a:ln>
          </c:spPr>
          <c:invertIfNegative val="0"/>
          <c:cat>
            <c:numRef>
              <c:f>Foglio1!$A$2:$A$16</c:f>
              <c:numCache>
                <c:formatCode>General</c:formatCode>
                <c:ptCount val="15"/>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numCache>
            </c:numRef>
          </c:cat>
          <c:val>
            <c:numRef>
              <c:f>Foglio1!$F$2:$F$16</c:f>
              <c:numCache>
                <c:formatCode>0.0</c:formatCode>
                <c:ptCount val="15"/>
                <c:pt idx="0">
                  <c:v>0.60414504146206749</c:v>
                </c:pt>
                <c:pt idx="1">
                  <c:v>-5.5715925294751774</c:v>
                </c:pt>
                <c:pt idx="2">
                  <c:v>-7.4681104440597608</c:v>
                </c:pt>
                <c:pt idx="3">
                  <c:v>-7.9846092609791697</c:v>
                </c:pt>
                <c:pt idx="4">
                  <c:v>-7.5888222401661043</c:v>
                </c:pt>
                <c:pt idx="5">
                  <c:v>-7.1416311691554046</c:v>
                </c:pt>
                <c:pt idx="6">
                  <c:v>-2.7859927409597973</c:v>
                </c:pt>
                <c:pt idx="7">
                  <c:v>-8.4004563210841035</c:v>
                </c:pt>
                <c:pt idx="8">
                  <c:v>-1.6567913348681018</c:v>
                </c:pt>
                <c:pt idx="9">
                  <c:v>2.7899301558062639</c:v>
                </c:pt>
                <c:pt idx="10">
                  <c:v>1.0957625536681004</c:v>
                </c:pt>
                <c:pt idx="11">
                  <c:v>2.2147884081324953</c:v>
                </c:pt>
                <c:pt idx="12">
                  <c:v>4.1096597662408918</c:v>
                </c:pt>
                <c:pt idx="13">
                  <c:v>2.2359815236573599</c:v>
                </c:pt>
                <c:pt idx="14">
                  <c:v>2.0177508441626246</c:v>
                </c:pt>
              </c:numCache>
            </c:numRef>
          </c:val>
          <c:extLst>
            <c:ext xmlns:c16="http://schemas.microsoft.com/office/drawing/2014/chart" uri="{C3380CC4-5D6E-409C-BE32-E72D297353CC}">
              <c16:uniqueId val="{00000001-8765-447E-8340-CB810EB18454}"/>
            </c:ext>
          </c:extLst>
        </c:ser>
        <c:ser>
          <c:idx val="5"/>
          <c:order val="5"/>
          <c:tx>
            <c:strRef>
              <c:f>Foglio1!$G$1</c:f>
              <c:strCache>
                <c:ptCount val="1"/>
                <c:pt idx="0">
                  <c:v>Servizi</c:v>
                </c:pt>
              </c:strCache>
            </c:strRef>
          </c:tx>
          <c:spPr>
            <a:solidFill>
              <a:srgbClr val="99CCFF"/>
            </a:solidFill>
            <a:ln>
              <a:solidFill>
                <a:schemeClr val="tx1"/>
              </a:solidFill>
            </a:ln>
          </c:spPr>
          <c:invertIfNegative val="0"/>
          <c:cat>
            <c:numRef>
              <c:f>Foglio1!$A$2:$A$16</c:f>
              <c:numCache>
                <c:formatCode>General</c:formatCode>
                <c:ptCount val="15"/>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numCache>
            </c:numRef>
          </c:cat>
          <c:val>
            <c:numRef>
              <c:f>Foglio1!$G$2:$G$16</c:f>
              <c:numCache>
                <c:formatCode>0.0</c:formatCode>
                <c:ptCount val="15"/>
                <c:pt idx="0">
                  <c:v>1.9719382985903477</c:v>
                </c:pt>
                <c:pt idx="1">
                  <c:v>0.17734135558900022</c:v>
                </c:pt>
                <c:pt idx="2">
                  <c:v>-2.5230434902715482</c:v>
                </c:pt>
                <c:pt idx="3">
                  <c:v>-0.43867314068714025</c:v>
                </c:pt>
                <c:pt idx="4">
                  <c:v>2.2789350026151789</c:v>
                </c:pt>
                <c:pt idx="5">
                  <c:v>-1.5405184769449853</c:v>
                </c:pt>
                <c:pt idx="6">
                  <c:v>-0.68002454401020485</c:v>
                </c:pt>
                <c:pt idx="7">
                  <c:v>1.31220555120104</c:v>
                </c:pt>
                <c:pt idx="8">
                  <c:v>0.15941403054147152</c:v>
                </c:pt>
                <c:pt idx="9">
                  <c:v>0.8233799712763501</c:v>
                </c:pt>
                <c:pt idx="10">
                  <c:v>1.431639558778719</c:v>
                </c:pt>
                <c:pt idx="11">
                  <c:v>1.0724959122906608</c:v>
                </c:pt>
                <c:pt idx="12">
                  <c:v>0.56774031050903506</c:v>
                </c:pt>
                <c:pt idx="13">
                  <c:v>0.65718652629351837</c:v>
                </c:pt>
                <c:pt idx="14">
                  <c:v>0.84689312921537585</c:v>
                </c:pt>
              </c:numCache>
            </c:numRef>
          </c:val>
          <c:extLst>
            <c:ext xmlns:c16="http://schemas.microsoft.com/office/drawing/2014/chart" uri="{C3380CC4-5D6E-409C-BE32-E72D297353CC}">
              <c16:uniqueId val="{00000002-8765-447E-8340-CB810EB18454}"/>
            </c:ext>
          </c:extLst>
        </c:ser>
        <c:dLbls>
          <c:showLegendKey val="0"/>
          <c:showVal val="0"/>
          <c:showCatName val="0"/>
          <c:showSerName val="0"/>
          <c:showPercent val="0"/>
          <c:showBubbleSize val="0"/>
        </c:dLbls>
        <c:gapWidth val="100"/>
        <c:axId val="305693184"/>
        <c:axId val="306591936"/>
      </c:barChart>
      <c:lineChart>
        <c:grouping val="standard"/>
        <c:varyColors val="0"/>
        <c:ser>
          <c:idx val="0"/>
          <c:order val="0"/>
          <c:tx>
            <c:strRef>
              <c:f>Foglio1!$B$1</c:f>
              <c:strCache>
                <c:ptCount val="1"/>
                <c:pt idx="0">
                  <c:v>Industria-i</c:v>
                </c:pt>
              </c:strCache>
            </c:strRef>
          </c:tx>
          <c:spPr>
            <a:ln w="34925">
              <a:solidFill>
                <a:srgbClr val="C00000"/>
              </a:solidFill>
            </a:ln>
          </c:spPr>
          <c:marker>
            <c:symbol val="none"/>
          </c:marker>
          <c:dLbls>
            <c:dLbl>
              <c:idx val="1"/>
              <c:layout>
                <c:manualLayout>
                  <c:x val="-3.7659107098742303E-2"/>
                  <c:y val="-0.13346902921050294"/>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8765-447E-8340-CB810EB18454}"/>
                </c:ext>
              </c:extLst>
            </c:dLbl>
            <c:dLbl>
              <c:idx val="2"/>
              <c:delete val="1"/>
              <c:extLst>
                <c:ext xmlns:c15="http://schemas.microsoft.com/office/drawing/2012/chart" uri="{CE6537A1-D6FC-4f65-9D91-7224C49458BB}"/>
                <c:ext xmlns:c16="http://schemas.microsoft.com/office/drawing/2014/chart" uri="{C3380CC4-5D6E-409C-BE32-E72D297353CC}">
                  <c16:uniqueId val="{00000004-8765-447E-8340-CB810EB18454}"/>
                </c:ext>
              </c:extLst>
            </c:dLbl>
            <c:dLbl>
              <c:idx val="13"/>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8765-447E-8340-CB810EB18454}"/>
                </c:ext>
              </c:extLst>
            </c:dLbl>
            <c:spPr>
              <a:noFill/>
              <a:ln>
                <a:noFill/>
              </a:ln>
              <a:effectLst/>
            </c:spPr>
            <c:txPr>
              <a:bodyPr/>
              <a:lstStyle/>
              <a:p>
                <a:pPr>
                  <a:defRPr>
                    <a:solidFill>
                      <a:srgbClr val="C00000"/>
                    </a:solidFill>
                  </a:defRPr>
                </a:pPr>
                <a:endParaRPr lang="it-IT"/>
              </a:p>
            </c:txPr>
            <c:dLblPos val="t"/>
            <c:showLegendKey val="0"/>
            <c:showVal val="0"/>
            <c:showCatName val="0"/>
            <c:showSerName val="0"/>
            <c:showPercent val="0"/>
            <c:showBubbleSize val="0"/>
            <c:extLst>
              <c:ext xmlns:c15="http://schemas.microsoft.com/office/drawing/2012/chart" uri="{CE6537A1-D6FC-4f65-9D91-7224C49458BB}">
                <c15:showLeaderLines val="0"/>
              </c:ext>
            </c:extLst>
          </c:dLbls>
          <c:cat>
            <c:numRef>
              <c:f>Foglio1!$A$2:$A$16</c:f>
              <c:numCache>
                <c:formatCode>General</c:formatCode>
                <c:ptCount val="15"/>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numCache>
            </c:numRef>
          </c:cat>
          <c:val>
            <c:numRef>
              <c:f>Foglio1!$B$2:$B$16</c:f>
              <c:numCache>
                <c:formatCode>0.0</c:formatCode>
                <c:ptCount val="15"/>
                <c:pt idx="0">
                  <c:v>114.38891292050712</c:v>
                </c:pt>
                <c:pt idx="1">
                  <c:v>111.94922303929724</c:v>
                </c:pt>
                <c:pt idx="2">
                  <c:v>90.167370977938972</c:v>
                </c:pt>
                <c:pt idx="3">
                  <c:v>102.08265397797224</c:v>
                </c:pt>
                <c:pt idx="4">
                  <c:v>107.32905200811899</c:v>
                </c:pt>
                <c:pt idx="5">
                  <c:v>103.96366419325858</c:v>
                </c:pt>
                <c:pt idx="6">
                  <c:v>104.70136092902538</c:v>
                </c:pt>
                <c:pt idx="7">
                  <c:v>106.57305427078828</c:v>
                </c:pt>
                <c:pt idx="8">
                  <c:v>109.17113100189664</c:v>
                </c:pt>
                <c:pt idx="9">
                  <c:v>111.67770272518551</c:v>
                </c:pt>
                <c:pt idx="10">
                  <c:v>115.55851329318206</c:v>
                </c:pt>
                <c:pt idx="11">
                  <c:v>120.05533926419999</c:v>
                </c:pt>
                <c:pt idx="12">
                  <c:v>120.16694099793582</c:v>
                </c:pt>
                <c:pt idx="13">
                  <c:v>121.39817641055198</c:v>
                </c:pt>
                <c:pt idx="14">
                  <c:v>123.11037637729618</c:v>
                </c:pt>
              </c:numCache>
            </c:numRef>
          </c:val>
          <c:smooth val="0"/>
          <c:extLst>
            <c:ext xmlns:c16="http://schemas.microsoft.com/office/drawing/2014/chart" uri="{C3380CC4-5D6E-409C-BE32-E72D297353CC}">
              <c16:uniqueId val="{00000006-8765-447E-8340-CB810EB18454}"/>
            </c:ext>
          </c:extLst>
        </c:ser>
        <c:ser>
          <c:idx val="1"/>
          <c:order val="1"/>
          <c:tx>
            <c:strRef>
              <c:f>Foglio1!$C$1</c:f>
              <c:strCache>
                <c:ptCount val="1"/>
                <c:pt idx="0">
                  <c:v>Costruzioni-i</c:v>
                </c:pt>
              </c:strCache>
            </c:strRef>
          </c:tx>
          <c:spPr>
            <a:ln w="34925">
              <a:solidFill>
                <a:schemeClr val="bg1">
                  <a:lumMod val="50000"/>
                </a:schemeClr>
              </a:solidFill>
            </a:ln>
          </c:spPr>
          <c:marker>
            <c:symbol val="none"/>
          </c:marker>
          <c:dLbls>
            <c:dLbl>
              <c:idx val="1"/>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8765-447E-8340-CB810EB18454}"/>
                </c:ext>
              </c:extLst>
            </c:dLbl>
            <c:dLbl>
              <c:idx val="13"/>
              <c:numFmt formatCode="0.0" sourceLinked="0"/>
              <c:spPr/>
              <c:txPr>
                <a:bodyPr/>
                <a:lstStyle/>
                <a:p>
                  <a:pPr>
                    <a:defRPr>
                      <a:solidFill>
                        <a:schemeClr val="tx1">
                          <a:lumMod val="50000"/>
                          <a:lumOff val="50000"/>
                        </a:schemeClr>
                      </a:solidFill>
                    </a:defRPr>
                  </a:pPr>
                  <a:endParaRPr lang="it-IT"/>
                </a:p>
              </c:txPr>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8765-447E-8340-CB810EB18454}"/>
                </c:ext>
              </c:extLst>
            </c:dLbl>
            <c:dLbl>
              <c:idx val="18"/>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8765-447E-8340-CB810EB18454}"/>
                </c:ext>
              </c:extLst>
            </c:dLbl>
            <c:spPr>
              <a:noFill/>
              <a:ln>
                <a:noFill/>
              </a:ln>
              <a:effectLst/>
            </c:spPr>
            <c:txPr>
              <a:bodyPr/>
              <a:lstStyle/>
              <a:p>
                <a:pPr>
                  <a:defRPr>
                    <a:solidFill>
                      <a:schemeClr val="tx1">
                        <a:lumMod val="50000"/>
                        <a:lumOff val="50000"/>
                      </a:schemeClr>
                    </a:solidFill>
                  </a:defRPr>
                </a:pPr>
                <a:endParaRPr lang="it-IT"/>
              </a:p>
            </c:txPr>
            <c:dLblPos val="t"/>
            <c:showLegendKey val="0"/>
            <c:showVal val="0"/>
            <c:showCatName val="0"/>
            <c:showSerName val="0"/>
            <c:showPercent val="0"/>
            <c:showBubbleSize val="0"/>
            <c:extLst>
              <c:ext xmlns:c15="http://schemas.microsoft.com/office/drawing/2012/chart" uri="{CE6537A1-D6FC-4f65-9D91-7224C49458BB}">
                <c15:showLeaderLines val="0"/>
              </c:ext>
            </c:extLst>
          </c:dLbls>
          <c:cat>
            <c:numRef>
              <c:f>Foglio1!$A$2:$A$16</c:f>
              <c:numCache>
                <c:formatCode>General</c:formatCode>
                <c:ptCount val="15"/>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numCache>
            </c:numRef>
          </c:cat>
          <c:val>
            <c:numRef>
              <c:f>Foglio1!$C$2:$C$16</c:f>
              <c:numCache>
                <c:formatCode>0.0</c:formatCode>
                <c:ptCount val="15"/>
                <c:pt idx="0">
                  <c:v>137.51494571715529</c:v>
                </c:pt>
                <c:pt idx="1">
                  <c:v>129.8531732746664</c:v>
                </c:pt>
                <c:pt idx="2">
                  <c:v>120.15559487939802</c:v>
                </c:pt>
                <c:pt idx="3">
                  <c:v>110.561640123073</c:v>
                </c:pt>
                <c:pt idx="4">
                  <c:v>102.17131378832082</c:v>
                </c:pt>
                <c:pt idx="5">
                  <c:v>94.874615396878539</c:v>
                </c:pt>
                <c:pt idx="6">
                  <c:v>92.231415498907964</c:v>
                </c:pt>
                <c:pt idx="7">
                  <c:v>84.483555725604603</c:v>
                </c:pt>
                <c:pt idx="8">
                  <c:v>83.083839494954333</c:v>
                </c:pt>
                <c:pt idx="9">
                  <c:v>85.40182058762575</c:v>
                </c:pt>
                <c:pt idx="10">
                  <c:v>86.337621757775764</c:v>
                </c:pt>
                <c:pt idx="11">
                  <c:v>88.249817396324261</c:v>
                </c:pt>
                <c:pt idx="12">
                  <c:v>91.876584635642047</c:v>
                </c:pt>
                <c:pt idx="13">
                  <c:v>93.930928092662427</c:v>
                </c:pt>
                <c:pt idx="14">
                  <c:v>95.826220187181903</c:v>
                </c:pt>
              </c:numCache>
            </c:numRef>
          </c:val>
          <c:smooth val="0"/>
          <c:extLst>
            <c:ext xmlns:c16="http://schemas.microsoft.com/office/drawing/2014/chart" uri="{C3380CC4-5D6E-409C-BE32-E72D297353CC}">
              <c16:uniqueId val="{0000000A-8765-447E-8340-CB810EB18454}"/>
            </c:ext>
          </c:extLst>
        </c:ser>
        <c:ser>
          <c:idx val="2"/>
          <c:order val="2"/>
          <c:tx>
            <c:strRef>
              <c:f>Foglio1!$D$1</c:f>
              <c:strCache>
                <c:ptCount val="1"/>
                <c:pt idx="0">
                  <c:v>Servizi-i</c:v>
                </c:pt>
              </c:strCache>
            </c:strRef>
          </c:tx>
          <c:spPr>
            <a:ln w="34925">
              <a:solidFill>
                <a:srgbClr val="99CCFF"/>
              </a:solidFill>
            </a:ln>
          </c:spPr>
          <c:marker>
            <c:symbol val="none"/>
          </c:marker>
          <c:dLbls>
            <c:dLbl>
              <c:idx val="2"/>
              <c:layout>
                <c:manualLayout>
                  <c:x val="-3.9809517649367604E-2"/>
                  <c:y val="7.9208195757538374E-2"/>
                </c:manualLayout>
              </c:layout>
              <c:spPr/>
              <c:txPr>
                <a:bodyPr/>
                <a:lstStyle/>
                <a:p>
                  <a:pPr>
                    <a:defRPr>
                      <a:solidFill>
                        <a:srgbClr val="0070C0"/>
                      </a:solidFill>
                    </a:defRPr>
                  </a:pPr>
                  <a:endParaRPr lang="it-IT"/>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8765-447E-8340-CB810EB18454}"/>
                </c:ext>
              </c:extLst>
            </c:dLbl>
            <c:dLbl>
              <c:idx val="13"/>
              <c:numFmt formatCode="0.0;[Red]\-0.0" sourceLinked="0"/>
              <c:spPr/>
              <c:txPr>
                <a:bodyPr/>
                <a:lstStyle/>
                <a:p>
                  <a:pPr>
                    <a:defRPr>
                      <a:solidFill>
                        <a:srgbClr val="0070C0"/>
                      </a:solidFill>
                    </a:defRPr>
                  </a:pPr>
                  <a:endParaRPr lang="it-IT"/>
                </a:p>
              </c:txPr>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8765-447E-8340-CB810EB18454}"/>
                </c:ext>
              </c:extLst>
            </c:dLbl>
            <c:spPr>
              <a:noFill/>
              <a:ln>
                <a:noFill/>
              </a:ln>
              <a:effectLst/>
            </c:spPr>
            <c:dLblPos val="b"/>
            <c:showLegendKey val="0"/>
            <c:showVal val="0"/>
            <c:showCatName val="0"/>
            <c:showSerName val="0"/>
            <c:showPercent val="0"/>
            <c:showBubbleSize val="0"/>
            <c:extLst>
              <c:ext xmlns:c15="http://schemas.microsoft.com/office/drawing/2012/chart" uri="{CE6537A1-D6FC-4f65-9D91-7224C49458BB}">
                <c15:showLeaderLines val="0"/>
              </c:ext>
            </c:extLst>
          </c:dLbls>
          <c:cat>
            <c:numRef>
              <c:f>Foglio1!$A$2:$A$16</c:f>
              <c:numCache>
                <c:formatCode>General</c:formatCode>
                <c:ptCount val="15"/>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numCache>
            </c:numRef>
          </c:cat>
          <c:val>
            <c:numRef>
              <c:f>Foglio1!$D$2:$D$16</c:f>
              <c:numCache>
                <c:formatCode>0.0</c:formatCode>
                <c:ptCount val="15"/>
                <c:pt idx="0">
                  <c:v>107.91345063876754</c:v>
                </c:pt>
                <c:pt idx="1">
                  <c:v>108.10482581499322</c:v>
                </c:pt>
                <c:pt idx="2">
                  <c:v>105.37729404459863</c:v>
                </c:pt>
                <c:pt idx="3">
                  <c:v>104.91503215924207</c:v>
                </c:pt>
                <c:pt idx="4">
                  <c:v>107.305977550124</c:v>
                </c:pt>
                <c:pt idx="5">
                  <c:v>105.6529091390979</c:v>
                </c:pt>
                <c:pt idx="6">
                  <c:v>104.93444342549122</c:v>
                </c:pt>
                <c:pt idx="7">
                  <c:v>106.31139901724244</c:v>
                </c:pt>
                <c:pt idx="8">
                  <c:v>106.48087430334085</c:v>
                </c:pt>
                <c:pt idx="9">
                  <c:v>107.35761649559451</c:v>
                </c:pt>
                <c:pt idx="10">
                  <c:v>108.89459060270738</c:v>
                </c:pt>
                <c:pt idx="11">
                  <c:v>110.06248063562707</c:v>
                </c:pt>
                <c:pt idx="12">
                  <c:v>110.68734970494172</c:v>
                </c:pt>
                <c:pt idx="13">
                  <c:v>111.41477205351397</c:v>
                </c:pt>
                <c:pt idx="14">
                  <c:v>112.35833610296616</c:v>
                </c:pt>
              </c:numCache>
            </c:numRef>
          </c:val>
          <c:smooth val="0"/>
          <c:extLst>
            <c:ext xmlns:c16="http://schemas.microsoft.com/office/drawing/2014/chart" uri="{C3380CC4-5D6E-409C-BE32-E72D297353CC}">
              <c16:uniqueId val="{0000000D-8765-447E-8340-CB810EB18454}"/>
            </c:ext>
          </c:extLst>
        </c:ser>
        <c:dLbls>
          <c:showLegendKey val="0"/>
          <c:showVal val="0"/>
          <c:showCatName val="0"/>
          <c:showSerName val="0"/>
          <c:showPercent val="0"/>
          <c:showBubbleSize val="0"/>
        </c:dLbls>
        <c:marker val="1"/>
        <c:smooth val="0"/>
        <c:axId val="302332928"/>
        <c:axId val="306591360"/>
      </c:lineChart>
      <c:catAx>
        <c:axId val="302332928"/>
        <c:scaling>
          <c:orientation val="minMax"/>
        </c:scaling>
        <c:delete val="0"/>
        <c:axPos val="b"/>
        <c:majorGridlines/>
        <c:numFmt formatCode="0" sourceLinked="0"/>
        <c:majorTickMark val="out"/>
        <c:minorTickMark val="none"/>
        <c:tickLblPos val="low"/>
        <c:spPr>
          <a:ln w="3175">
            <a:solidFill>
              <a:schemeClr val="tx1"/>
            </a:solidFill>
          </a:ln>
        </c:spPr>
        <c:crossAx val="306591360"/>
        <c:crossesAt val="100"/>
        <c:auto val="1"/>
        <c:lblAlgn val="ctr"/>
        <c:lblOffset val="100"/>
        <c:noMultiLvlLbl val="0"/>
      </c:catAx>
      <c:valAx>
        <c:axId val="306591360"/>
        <c:scaling>
          <c:orientation val="minMax"/>
          <c:max val="140"/>
          <c:min val="80"/>
        </c:scaling>
        <c:delete val="0"/>
        <c:axPos val="l"/>
        <c:numFmt formatCode="0" sourceLinked="0"/>
        <c:majorTickMark val="out"/>
        <c:minorTickMark val="none"/>
        <c:tickLblPos val="nextTo"/>
        <c:crossAx val="302332928"/>
        <c:crossesAt val="1"/>
        <c:crossBetween val="between"/>
        <c:majorUnit val="10"/>
        <c:minorUnit val="5"/>
      </c:valAx>
      <c:valAx>
        <c:axId val="306591936"/>
        <c:scaling>
          <c:orientation val="minMax"/>
          <c:min val="-20"/>
        </c:scaling>
        <c:delete val="0"/>
        <c:axPos val="r"/>
        <c:numFmt formatCode="0_ ;[Red]\-0\ " sourceLinked="0"/>
        <c:majorTickMark val="out"/>
        <c:minorTickMark val="none"/>
        <c:tickLblPos val="nextTo"/>
        <c:crossAx val="305693184"/>
        <c:crosses val="max"/>
        <c:crossBetween val="between"/>
      </c:valAx>
      <c:catAx>
        <c:axId val="305693184"/>
        <c:scaling>
          <c:orientation val="minMax"/>
        </c:scaling>
        <c:delete val="0"/>
        <c:axPos val="b"/>
        <c:numFmt formatCode="General" sourceLinked="1"/>
        <c:majorTickMark val="none"/>
        <c:minorTickMark val="none"/>
        <c:tickLblPos val="none"/>
        <c:crossAx val="306591936"/>
        <c:crossesAt val="0"/>
        <c:auto val="1"/>
        <c:lblAlgn val="ctr"/>
        <c:lblOffset val="100"/>
        <c:noMultiLvlLbl val="0"/>
      </c:catAx>
    </c:plotArea>
    <c:legend>
      <c:legendPos val="r"/>
      <c:legendEntry>
        <c:idx val="3"/>
        <c:delete val="1"/>
      </c:legendEntry>
      <c:legendEntry>
        <c:idx val="4"/>
        <c:delete val="1"/>
      </c:legendEntry>
      <c:legendEntry>
        <c:idx val="5"/>
        <c:delete val="1"/>
      </c:legendEntry>
      <c:layout>
        <c:manualLayout>
          <c:xMode val="edge"/>
          <c:yMode val="edge"/>
          <c:x val="0.56471499691830929"/>
          <c:y val="7.2480261541255767E-2"/>
          <c:w val="0.29473244692428935"/>
          <c:h val="7.3469588350302872E-2"/>
        </c:manualLayout>
      </c:layout>
      <c:overlay val="0"/>
      <c:spPr>
        <a:solidFill>
          <a:schemeClr val="bg1"/>
        </a:solidFill>
      </c:spPr>
    </c:legend>
    <c:plotVisOnly val="1"/>
    <c:dispBlanksAs val="gap"/>
    <c:showDLblsOverMax val="0"/>
  </c:chart>
  <c:spPr>
    <a:ln>
      <a:noFill/>
    </a:ln>
  </c:spPr>
  <c:txPr>
    <a:bodyPr/>
    <a:lstStyle/>
    <a:p>
      <a:pPr>
        <a:defRPr sz="800">
          <a:latin typeface="Arial" pitchFamily="34" charset="0"/>
          <a:cs typeface="Arial" pitchFamily="34" charset="0"/>
        </a:defRPr>
      </a:pPr>
      <a:endParaRPr lang="it-IT"/>
    </a:p>
  </c:txPr>
  <c:externalData r:id="rId1">
    <c:autoUpdate val="0"/>
  </c:externalData>
</c:chartSpace>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820942-E26B-4EFD-B16B-B82697068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rap_eco_reg.dot</Template>
  <TotalTime>4</TotalTime>
  <Pages>8</Pages>
  <Words>4076</Words>
  <Characters>23235</Characters>
  <Application>Microsoft Office Word</Application>
  <DocSecurity>0</DocSecurity>
  <Lines>193</Lines>
  <Paragraphs>54</Paragraphs>
  <ScaleCrop>false</ScaleCrop>
  <HeadingPairs>
    <vt:vector size="2" baseType="variant">
      <vt:variant>
        <vt:lpstr>Titolo</vt:lpstr>
      </vt:variant>
      <vt:variant>
        <vt:i4>1</vt:i4>
      </vt:variant>
    </vt:vector>
  </HeadingPairs>
  <TitlesOfParts>
    <vt:vector size="1" baseType="lpstr">
      <vt:lpstr/>
    </vt:vector>
  </TitlesOfParts>
  <Company>Unioncamere Emilia Romagna</Company>
  <LinksUpToDate>false</LinksUpToDate>
  <CharactersWithSpaces>27257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Mauro Guaitoli</dc:creator>
  <cp:lastModifiedBy>Mauro Guaitoli</cp:lastModifiedBy>
  <cp:revision>7</cp:revision>
  <cp:lastPrinted>2020-03-16T16:17:00Z</cp:lastPrinted>
  <dcterms:created xsi:type="dcterms:W3CDTF">2020-03-16T16:10:00Z</dcterms:created>
  <dcterms:modified xsi:type="dcterms:W3CDTF">2020-03-16T16:19:00Z</dcterms:modified>
</cp:coreProperties>
</file>