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2C983" w14:textId="0C188916" w:rsidR="00541FB1" w:rsidRDefault="00072096" w:rsidP="00072096">
      <w:pPr>
        <w:pStyle w:val="Titolo1"/>
      </w:pPr>
      <w:r>
        <w:t>Scenario economico</w:t>
      </w:r>
    </w:p>
    <w:p w14:paraId="5B096FCB" w14:textId="53FAB706" w:rsidR="00BA6EC0" w:rsidRDefault="000545FF" w:rsidP="00BA6EC0">
      <w:pPr>
        <w:pStyle w:val="Titolo2"/>
      </w:pPr>
      <w:r>
        <w:t>L</w:t>
      </w:r>
      <w:r w:rsidR="00C43F0D">
        <w:t>’economia mondiale</w:t>
      </w:r>
    </w:p>
    <w:tbl>
      <w:tblPr>
        <w:tblpPr w:topFromText="284" w:horzAnchor="margin"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B54C7D" w:rsidRPr="00BC2A0C" w14:paraId="7740C139" w14:textId="77777777" w:rsidTr="00BB2D64">
        <w:trPr>
          <w:cantSplit/>
        </w:trPr>
        <w:tc>
          <w:tcPr>
            <w:tcW w:w="9358" w:type="dxa"/>
            <w:gridSpan w:val="9"/>
            <w:tcBorders>
              <w:bottom w:val="single" w:sz="4" w:space="0" w:color="800000"/>
            </w:tcBorders>
          </w:tcPr>
          <w:p w14:paraId="1313BCDA" w14:textId="77777777" w:rsidR="00B54C7D" w:rsidRPr="00BC2A0C" w:rsidRDefault="00B54C7D" w:rsidP="00BB2D64">
            <w:pPr>
              <w:pStyle w:val="TabTitolo"/>
            </w:pPr>
            <w:r w:rsidRPr="007C3BBD">
              <w:t>La previsione del Fondo Monetario Internazionale (a)(b)</w:t>
            </w:r>
          </w:p>
        </w:tc>
      </w:tr>
      <w:tr w:rsidR="00B54C7D" w:rsidRPr="00BC2A0C" w14:paraId="22073309" w14:textId="77777777" w:rsidTr="00BB2D64">
        <w:trPr>
          <w:cantSplit/>
        </w:trPr>
        <w:tc>
          <w:tcPr>
            <w:tcW w:w="3402" w:type="dxa"/>
            <w:tcBorders>
              <w:top w:val="single" w:sz="4" w:space="0" w:color="800000"/>
              <w:bottom w:val="single" w:sz="4" w:space="0" w:color="800000"/>
            </w:tcBorders>
          </w:tcPr>
          <w:p w14:paraId="0A41933C" w14:textId="77777777" w:rsidR="00B54C7D" w:rsidRPr="00BC2A0C" w:rsidRDefault="00B54C7D" w:rsidP="00BB2D64">
            <w:pPr>
              <w:pStyle w:val="TabIntestazioni"/>
            </w:pPr>
          </w:p>
        </w:tc>
        <w:tc>
          <w:tcPr>
            <w:tcW w:w="510" w:type="dxa"/>
            <w:tcBorders>
              <w:top w:val="single" w:sz="4" w:space="0" w:color="800000"/>
              <w:bottom w:val="single" w:sz="4" w:space="0" w:color="800000"/>
            </w:tcBorders>
          </w:tcPr>
          <w:p w14:paraId="10BA0B17" w14:textId="77777777" w:rsidR="00B54C7D" w:rsidRPr="003234B1" w:rsidRDefault="00B54C7D" w:rsidP="00BB2D64">
            <w:pPr>
              <w:pStyle w:val="TabIntestazioni"/>
            </w:pPr>
            <w:r w:rsidRPr="003234B1">
              <w:t>201</w:t>
            </w:r>
            <w:r>
              <w:t>9</w:t>
            </w:r>
          </w:p>
        </w:tc>
        <w:tc>
          <w:tcPr>
            <w:tcW w:w="510" w:type="dxa"/>
            <w:tcBorders>
              <w:top w:val="single" w:sz="4" w:space="0" w:color="800000"/>
              <w:bottom w:val="single" w:sz="4" w:space="0" w:color="800000"/>
            </w:tcBorders>
          </w:tcPr>
          <w:p w14:paraId="4C481DDD" w14:textId="77777777" w:rsidR="00B54C7D" w:rsidRPr="003234B1" w:rsidRDefault="00B54C7D" w:rsidP="00BB2D64">
            <w:pPr>
              <w:pStyle w:val="TabIntestazioni"/>
            </w:pPr>
            <w:r w:rsidRPr="003234B1">
              <w:t>20</w:t>
            </w:r>
            <w:r>
              <w:t>20</w:t>
            </w:r>
          </w:p>
        </w:tc>
        <w:tc>
          <w:tcPr>
            <w:tcW w:w="510" w:type="dxa"/>
            <w:tcBorders>
              <w:top w:val="single" w:sz="4" w:space="0" w:color="800000"/>
              <w:bottom w:val="single" w:sz="4" w:space="0" w:color="800000"/>
            </w:tcBorders>
          </w:tcPr>
          <w:p w14:paraId="05AE7D15" w14:textId="77777777" w:rsidR="00B54C7D" w:rsidRPr="003234B1" w:rsidRDefault="00B54C7D" w:rsidP="00BB2D64">
            <w:pPr>
              <w:pStyle w:val="TabIntestazioni"/>
            </w:pPr>
            <w:r w:rsidRPr="003234B1">
              <w:t>20</w:t>
            </w:r>
            <w:r>
              <w:t>21</w:t>
            </w:r>
          </w:p>
        </w:tc>
        <w:tc>
          <w:tcPr>
            <w:tcW w:w="340" w:type="dxa"/>
            <w:tcBorders>
              <w:top w:val="single" w:sz="4" w:space="0" w:color="800000"/>
              <w:bottom w:val="single" w:sz="4" w:space="0" w:color="800000"/>
            </w:tcBorders>
          </w:tcPr>
          <w:p w14:paraId="12014149" w14:textId="77777777" w:rsidR="00B54C7D" w:rsidRPr="00BC2A0C" w:rsidRDefault="00B54C7D" w:rsidP="00BB2D64">
            <w:pPr>
              <w:pStyle w:val="TabIntestazioni"/>
            </w:pPr>
          </w:p>
        </w:tc>
        <w:tc>
          <w:tcPr>
            <w:tcW w:w="2552" w:type="dxa"/>
            <w:tcBorders>
              <w:top w:val="single" w:sz="4" w:space="0" w:color="800000"/>
              <w:bottom w:val="single" w:sz="4" w:space="0" w:color="800000"/>
            </w:tcBorders>
          </w:tcPr>
          <w:p w14:paraId="553238E7" w14:textId="77777777" w:rsidR="00B54C7D" w:rsidRPr="00BC2A0C" w:rsidRDefault="00B54C7D" w:rsidP="00BB2D64">
            <w:pPr>
              <w:pStyle w:val="TabIntestazioni"/>
            </w:pPr>
          </w:p>
        </w:tc>
        <w:tc>
          <w:tcPr>
            <w:tcW w:w="510" w:type="dxa"/>
            <w:tcBorders>
              <w:top w:val="single" w:sz="4" w:space="0" w:color="800000"/>
              <w:bottom w:val="single" w:sz="4" w:space="0" w:color="800000"/>
            </w:tcBorders>
          </w:tcPr>
          <w:p w14:paraId="02BDD648" w14:textId="77777777" w:rsidR="00B54C7D" w:rsidRPr="003234B1" w:rsidRDefault="00B54C7D" w:rsidP="00BB2D64">
            <w:pPr>
              <w:pStyle w:val="TabIntestazioni"/>
            </w:pPr>
            <w:r w:rsidRPr="003234B1">
              <w:t>201</w:t>
            </w:r>
            <w:r>
              <w:t>9</w:t>
            </w:r>
          </w:p>
        </w:tc>
        <w:tc>
          <w:tcPr>
            <w:tcW w:w="510" w:type="dxa"/>
            <w:tcBorders>
              <w:top w:val="single" w:sz="4" w:space="0" w:color="800000"/>
              <w:bottom w:val="single" w:sz="4" w:space="0" w:color="800000"/>
            </w:tcBorders>
          </w:tcPr>
          <w:p w14:paraId="47D22BE6" w14:textId="77777777" w:rsidR="00B54C7D" w:rsidRPr="003234B1" w:rsidRDefault="00B54C7D" w:rsidP="00BB2D64">
            <w:pPr>
              <w:pStyle w:val="TabIntestazioni"/>
            </w:pPr>
            <w:r w:rsidRPr="003234B1">
              <w:t>20</w:t>
            </w:r>
            <w:r>
              <w:t>20</w:t>
            </w:r>
          </w:p>
        </w:tc>
        <w:tc>
          <w:tcPr>
            <w:tcW w:w="514" w:type="dxa"/>
            <w:tcBorders>
              <w:top w:val="single" w:sz="4" w:space="0" w:color="800000"/>
              <w:bottom w:val="single" w:sz="4" w:space="0" w:color="800000"/>
            </w:tcBorders>
          </w:tcPr>
          <w:p w14:paraId="64EAE2AF" w14:textId="77777777" w:rsidR="00B54C7D" w:rsidRPr="003234B1" w:rsidRDefault="00B54C7D" w:rsidP="00BB2D64">
            <w:pPr>
              <w:pStyle w:val="TabIntestazioni"/>
            </w:pPr>
            <w:r w:rsidRPr="003234B1">
              <w:t>20</w:t>
            </w:r>
            <w:r>
              <w:t>21</w:t>
            </w:r>
          </w:p>
        </w:tc>
      </w:tr>
      <w:tr w:rsidR="00B54C7D" w:rsidRPr="00BC2A0C" w14:paraId="1CB57CE7" w14:textId="77777777" w:rsidTr="00BB2D64">
        <w:trPr>
          <w:cantSplit/>
          <w:trHeight w:val="255"/>
        </w:trPr>
        <w:tc>
          <w:tcPr>
            <w:tcW w:w="9358" w:type="dxa"/>
            <w:gridSpan w:val="9"/>
            <w:shd w:val="clear" w:color="auto" w:fill="F2F2F2" w:themeFill="background1" w:themeFillShade="F2"/>
          </w:tcPr>
          <w:p w14:paraId="093DA37C" w14:textId="77777777" w:rsidR="00B54C7D" w:rsidRPr="00997C5D" w:rsidRDefault="00B54C7D" w:rsidP="00BB2D64">
            <w:pPr>
              <w:pStyle w:val="TabIntestaSup"/>
            </w:pPr>
            <w:r>
              <w:t>Prodotto</w:t>
            </w:r>
          </w:p>
        </w:tc>
      </w:tr>
      <w:tr w:rsidR="00B54C7D" w:rsidRPr="00BC2A0C" w14:paraId="2D6BD0CD" w14:textId="77777777" w:rsidTr="00BB2D64">
        <w:trPr>
          <w:cantSplit/>
          <w:trHeight w:val="255"/>
        </w:trPr>
        <w:tc>
          <w:tcPr>
            <w:tcW w:w="3402" w:type="dxa"/>
          </w:tcPr>
          <w:p w14:paraId="79856DE0" w14:textId="77777777" w:rsidR="00B54C7D" w:rsidRPr="00565219" w:rsidRDefault="00B54C7D" w:rsidP="00BB2D64">
            <w:pPr>
              <w:pStyle w:val="TabEtichette"/>
            </w:pPr>
            <w:r w:rsidRPr="00565219">
              <w:t>Prodotto mondiale</w:t>
            </w:r>
          </w:p>
        </w:tc>
        <w:tc>
          <w:tcPr>
            <w:tcW w:w="510" w:type="dxa"/>
          </w:tcPr>
          <w:p w14:paraId="0ED520EA" w14:textId="77777777" w:rsidR="00B54C7D" w:rsidRPr="00BA61A9" w:rsidRDefault="00B54C7D" w:rsidP="00BB2D64">
            <w:pPr>
              <w:pStyle w:val="TabNumeri"/>
            </w:pPr>
            <w:r w:rsidRPr="00280330">
              <w:t>2,8</w:t>
            </w:r>
          </w:p>
        </w:tc>
        <w:tc>
          <w:tcPr>
            <w:tcW w:w="510" w:type="dxa"/>
          </w:tcPr>
          <w:p w14:paraId="215C7246" w14:textId="77777777" w:rsidR="00B54C7D" w:rsidRPr="00BA61A9" w:rsidRDefault="00B54C7D" w:rsidP="00BB2D64">
            <w:pPr>
              <w:pStyle w:val="TabNumeri"/>
            </w:pPr>
            <w:r w:rsidRPr="00280330">
              <w:t>-4,4</w:t>
            </w:r>
          </w:p>
        </w:tc>
        <w:tc>
          <w:tcPr>
            <w:tcW w:w="510" w:type="dxa"/>
          </w:tcPr>
          <w:p w14:paraId="7298A2EC" w14:textId="77777777" w:rsidR="00B54C7D" w:rsidRPr="00BA61A9" w:rsidRDefault="00B54C7D" w:rsidP="00BB2D64">
            <w:pPr>
              <w:pStyle w:val="TabNumeri"/>
            </w:pPr>
            <w:r w:rsidRPr="00280330">
              <w:t>5,2</w:t>
            </w:r>
          </w:p>
        </w:tc>
        <w:tc>
          <w:tcPr>
            <w:tcW w:w="340" w:type="dxa"/>
          </w:tcPr>
          <w:p w14:paraId="64AF1A1D" w14:textId="77777777" w:rsidR="00B54C7D" w:rsidRPr="00565219" w:rsidRDefault="00B54C7D" w:rsidP="00BB2D64">
            <w:pPr>
              <w:pStyle w:val="TabEtichette"/>
            </w:pPr>
          </w:p>
        </w:tc>
        <w:tc>
          <w:tcPr>
            <w:tcW w:w="2552" w:type="dxa"/>
          </w:tcPr>
          <w:p w14:paraId="2C89B768" w14:textId="77777777" w:rsidR="00B54C7D" w:rsidRPr="00565219" w:rsidRDefault="00B54C7D" w:rsidP="00BB2D64">
            <w:pPr>
              <w:pStyle w:val="TabEtichette"/>
            </w:pPr>
            <w:r w:rsidRPr="00565219">
              <w:t>Stati Uniti</w:t>
            </w:r>
          </w:p>
        </w:tc>
        <w:tc>
          <w:tcPr>
            <w:tcW w:w="510" w:type="dxa"/>
          </w:tcPr>
          <w:p w14:paraId="3A4DE7B3" w14:textId="77777777" w:rsidR="00B54C7D" w:rsidRPr="003F1AC0" w:rsidRDefault="00B54C7D" w:rsidP="00BB2D64">
            <w:pPr>
              <w:pStyle w:val="TabNumeri"/>
            </w:pPr>
            <w:r w:rsidRPr="00E76E7B">
              <w:t>2,2</w:t>
            </w:r>
          </w:p>
        </w:tc>
        <w:tc>
          <w:tcPr>
            <w:tcW w:w="510" w:type="dxa"/>
          </w:tcPr>
          <w:p w14:paraId="59BE8C7A" w14:textId="77777777" w:rsidR="00B54C7D" w:rsidRPr="003F1AC0" w:rsidRDefault="00B54C7D" w:rsidP="00BB2D64">
            <w:pPr>
              <w:pStyle w:val="TabNumeri"/>
            </w:pPr>
            <w:r w:rsidRPr="00E76E7B">
              <w:t>-4,3</w:t>
            </w:r>
          </w:p>
        </w:tc>
        <w:tc>
          <w:tcPr>
            <w:tcW w:w="514" w:type="dxa"/>
          </w:tcPr>
          <w:p w14:paraId="7E2004F9" w14:textId="77777777" w:rsidR="00B54C7D" w:rsidRPr="003F1AC0" w:rsidRDefault="00B54C7D" w:rsidP="00BB2D64">
            <w:pPr>
              <w:pStyle w:val="TabNumeri"/>
            </w:pPr>
            <w:r w:rsidRPr="00E76E7B">
              <w:t>3,1</w:t>
            </w:r>
          </w:p>
        </w:tc>
      </w:tr>
      <w:tr w:rsidR="00B54C7D" w:rsidRPr="00BC2A0C" w14:paraId="669AA4EA" w14:textId="77777777" w:rsidTr="00BB2D64">
        <w:trPr>
          <w:cantSplit/>
          <w:trHeight w:val="255"/>
        </w:trPr>
        <w:tc>
          <w:tcPr>
            <w:tcW w:w="3402" w:type="dxa"/>
            <w:shd w:val="clear" w:color="auto" w:fill="F2F2F2" w:themeFill="background1" w:themeFillShade="F2"/>
          </w:tcPr>
          <w:p w14:paraId="1C360431" w14:textId="77777777" w:rsidR="00B54C7D" w:rsidRPr="00565219" w:rsidRDefault="00B54C7D" w:rsidP="00BB2D64">
            <w:pPr>
              <w:pStyle w:val="TabEtichette"/>
            </w:pPr>
            <w:r w:rsidRPr="00565219">
              <w:t>Economie avanzate</w:t>
            </w:r>
          </w:p>
        </w:tc>
        <w:tc>
          <w:tcPr>
            <w:tcW w:w="510" w:type="dxa"/>
            <w:shd w:val="clear" w:color="auto" w:fill="F2F2F2" w:themeFill="background1" w:themeFillShade="F2"/>
          </w:tcPr>
          <w:p w14:paraId="5F4B9CB9" w14:textId="77777777" w:rsidR="00B54C7D" w:rsidRPr="00BA61A9" w:rsidRDefault="00B54C7D" w:rsidP="00BB2D64">
            <w:pPr>
              <w:pStyle w:val="TabNumeri"/>
            </w:pPr>
            <w:r w:rsidRPr="00280330">
              <w:t>1,7</w:t>
            </w:r>
          </w:p>
        </w:tc>
        <w:tc>
          <w:tcPr>
            <w:tcW w:w="510" w:type="dxa"/>
            <w:shd w:val="clear" w:color="auto" w:fill="F2F2F2" w:themeFill="background1" w:themeFillShade="F2"/>
          </w:tcPr>
          <w:p w14:paraId="72C845A3" w14:textId="77777777" w:rsidR="00B54C7D" w:rsidRPr="00BA61A9" w:rsidRDefault="00B54C7D" w:rsidP="00BB2D64">
            <w:pPr>
              <w:pStyle w:val="TabNumeri"/>
            </w:pPr>
            <w:r w:rsidRPr="00280330">
              <w:t>-5,8</w:t>
            </w:r>
          </w:p>
        </w:tc>
        <w:tc>
          <w:tcPr>
            <w:tcW w:w="510" w:type="dxa"/>
            <w:shd w:val="clear" w:color="auto" w:fill="F2F2F2" w:themeFill="background1" w:themeFillShade="F2"/>
          </w:tcPr>
          <w:p w14:paraId="082475A7" w14:textId="77777777" w:rsidR="00B54C7D" w:rsidRPr="00BA61A9" w:rsidRDefault="00B54C7D" w:rsidP="00BB2D64">
            <w:pPr>
              <w:pStyle w:val="TabNumeri"/>
            </w:pPr>
            <w:r w:rsidRPr="00280330">
              <w:t>3,9</w:t>
            </w:r>
          </w:p>
        </w:tc>
        <w:tc>
          <w:tcPr>
            <w:tcW w:w="340" w:type="dxa"/>
            <w:shd w:val="clear" w:color="auto" w:fill="F2F2F2" w:themeFill="background1" w:themeFillShade="F2"/>
          </w:tcPr>
          <w:p w14:paraId="79C24FD2" w14:textId="77777777" w:rsidR="00B54C7D" w:rsidRPr="00565219" w:rsidRDefault="00B54C7D" w:rsidP="00BB2D64">
            <w:pPr>
              <w:pStyle w:val="TabEtichette"/>
            </w:pPr>
          </w:p>
        </w:tc>
        <w:tc>
          <w:tcPr>
            <w:tcW w:w="2552" w:type="dxa"/>
            <w:shd w:val="clear" w:color="auto" w:fill="F2F2F2" w:themeFill="background1" w:themeFillShade="F2"/>
          </w:tcPr>
          <w:p w14:paraId="2E7D286C" w14:textId="77777777" w:rsidR="00B54C7D" w:rsidRPr="00565219" w:rsidRDefault="00B54C7D" w:rsidP="00BB2D64">
            <w:pPr>
              <w:pStyle w:val="TabEtichette"/>
            </w:pPr>
            <w:r w:rsidRPr="00565219">
              <w:t>Cina</w:t>
            </w:r>
          </w:p>
        </w:tc>
        <w:tc>
          <w:tcPr>
            <w:tcW w:w="510" w:type="dxa"/>
            <w:shd w:val="clear" w:color="auto" w:fill="F2F2F2" w:themeFill="background1" w:themeFillShade="F2"/>
          </w:tcPr>
          <w:p w14:paraId="128477E7" w14:textId="77777777" w:rsidR="00B54C7D" w:rsidRPr="003F1AC0" w:rsidRDefault="00B54C7D" w:rsidP="00BB2D64">
            <w:pPr>
              <w:pStyle w:val="TabNumeri"/>
            </w:pPr>
            <w:r w:rsidRPr="00E76E7B">
              <w:t>6,1</w:t>
            </w:r>
          </w:p>
        </w:tc>
        <w:tc>
          <w:tcPr>
            <w:tcW w:w="510" w:type="dxa"/>
            <w:shd w:val="clear" w:color="auto" w:fill="F2F2F2" w:themeFill="background1" w:themeFillShade="F2"/>
          </w:tcPr>
          <w:p w14:paraId="7EF88306" w14:textId="77777777" w:rsidR="00B54C7D" w:rsidRPr="003F1AC0" w:rsidRDefault="00B54C7D" w:rsidP="00BB2D64">
            <w:pPr>
              <w:pStyle w:val="TabNumeri"/>
            </w:pPr>
            <w:r w:rsidRPr="00E76E7B">
              <w:t>1,9</w:t>
            </w:r>
          </w:p>
        </w:tc>
        <w:tc>
          <w:tcPr>
            <w:tcW w:w="514" w:type="dxa"/>
            <w:shd w:val="clear" w:color="auto" w:fill="F2F2F2" w:themeFill="background1" w:themeFillShade="F2"/>
          </w:tcPr>
          <w:p w14:paraId="1EC78088" w14:textId="77777777" w:rsidR="00B54C7D" w:rsidRPr="003F1AC0" w:rsidRDefault="00B54C7D" w:rsidP="00BB2D64">
            <w:pPr>
              <w:pStyle w:val="TabNumeri"/>
            </w:pPr>
            <w:r w:rsidRPr="00E76E7B">
              <w:t>8,2</w:t>
            </w:r>
          </w:p>
        </w:tc>
      </w:tr>
      <w:tr w:rsidR="00B54C7D" w:rsidRPr="00BC2A0C" w14:paraId="69C5990C" w14:textId="77777777" w:rsidTr="00BB2D64">
        <w:trPr>
          <w:cantSplit/>
          <w:trHeight w:val="255"/>
        </w:trPr>
        <w:tc>
          <w:tcPr>
            <w:tcW w:w="3402" w:type="dxa"/>
          </w:tcPr>
          <w:p w14:paraId="55B59819" w14:textId="77777777" w:rsidR="00B54C7D" w:rsidRPr="00565219" w:rsidRDefault="00B54C7D" w:rsidP="00BB2D64">
            <w:pPr>
              <w:pStyle w:val="TabEtichette"/>
            </w:pPr>
            <w:r w:rsidRPr="00565219">
              <w:t>Economie emergenti e in sviluppo</w:t>
            </w:r>
          </w:p>
        </w:tc>
        <w:tc>
          <w:tcPr>
            <w:tcW w:w="510" w:type="dxa"/>
          </w:tcPr>
          <w:p w14:paraId="3298D0EC" w14:textId="77777777" w:rsidR="00B54C7D" w:rsidRPr="00BA61A9" w:rsidRDefault="00B54C7D" w:rsidP="00BB2D64">
            <w:pPr>
              <w:pStyle w:val="TabNumeri"/>
            </w:pPr>
            <w:r w:rsidRPr="00280330">
              <w:t>3,7</w:t>
            </w:r>
          </w:p>
        </w:tc>
        <w:tc>
          <w:tcPr>
            <w:tcW w:w="510" w:type="dxa"/>
          </w:tcPr>
          <w:p w14:paraId="2B93BF68" w14:textId="77777777" w:rsidR="00B54C7D" w:rsidRPr="00BA61A9" w:rsidRDefault="00B54C7D" w:rsidP="00BB2D64">
            <w:pPr>
              <w:pStyle w:val="TabNumeri"/>
            </w:pPr>
            <w:r w:rsidRPr="00280330">
              <w:t>-3,3</w:t>
            </w:r>
          </w:p>
        </w:tc>
        <w:tc>
          <w:tcPr>
            <w:tcW w:w="510" w:type="dxa"/>
          </w:tcPr>
          <w:p w14:paraId="5E22D22B" w14:textId="77777777" w:rsidR="00B54C7D" w:rsidRPr="00BA61A9" w:rsidRDefault="00B54C7D" w:rsidP="00BB2D64">
            <w:pPr>
              <w:pStyle w:val="TabNumeri"/>
            </w:pPr>
            <w:r w:rsidRPr="00280330">
              <w:t>6,0</w:t>
            </w:r>
          </w:p>
        </w:tc>
        <w:tc>
          <w:tcPr>
            <w:tcW w:w="340" w:type="dxa"/>
          </w:tcPr>
          <w:p w14:paraId="78E5B035" w14:textId="77777777" w:rsidR="00B54C7D" w:rsidRPr="00565219" w:rsidRDefault="00B54C7D" w:rsidP="00BB2D64">
            <w:pPr>
              <w:pStyle w:val="TabEtichette"/>
            </w:pPr>
          </w:p>
        </w:tc>
        <w:tc>
          <w:tcPr>
            <w:tcW w:w="2552" w:type="dxa"/>
          </w:tcPr>
          <w:p w14:paraId="1EA5D35F" w14:textId="77777777" w:rsidR="00B54C7D" w:rsidRPr="00565219" w:rsidRDefault="00B54C7D" w:rsidP="00BB2D64">
            <w:pPr>
              <w:pStyle w:val="TabEtichette"/>
            </w:pPr>
            <w:r w:rsidRPr="00565219">
              <w:t>Giappone</w:t>
            </w:r>
          </w:p>
        </w:tc>
        <w:tc>
          <w:tcPr>
            <w:tcW w:w="510" w:type="dxa"/>
          </w:tcPr>
          <w:p w14:paraId="5AAAAF90" w14:textId="77777777" w:rsidR="00B54C7D" w:rsidRPr="003F1AC0" w:rsidRDefault="00B54C7D" w:rsidP="00BB2D64">
            <w:pPr>
              <w:pStyle w:val="TabNumeri"/>
            </w:pPr>
            <w:r w:rsidRPr="00E76E7B">
              <w:t>0,7</w:t>
            </w:r>
          </w:p>
        </w:tc>
        <w:tc>
          <w:tcPr>
            <w:tcW w:w="510" w:type="dxa"/>
          </w:tcPr>
          <w:p w14:paraId="611E0F29" w14:textId="77777777" w:rsidR="00B54C7D" w:rsidRPr="003F1AC0" w:rsidRDefault="00B54C7D" w:rsidP="00BB2D64">
            <w:pPr>
              <w:pStyle w:val="TabNumeri"/>
            </w:pPr>
            <w:r w:rsidRPr="00E76E7B">
              <w:t>-5,3</w:t>
            </w:r>
          </w:p>
        </w:tc>
        <w:tc>
          <w:tcPr>
            <w:tcW w:w="514" w:type="dxa"/>
          </w:tcPr>
          <w:p w14:paraId="59388EA8" w14:textId="77777777" w:rsidR="00B54C7D" w:rsidRPr="003F1AC0" w:rsidRDefault="00B54C7D" w:rsidP="00BB2D64">
            <w:pPr>
              <w:pStyle w:val="TabNumeri"/>
            </w:pPr>
            <w:r w:rsidRPr="00E76E7B">
              <w:t>2,3</w:t>
            </w:r>
          </w:p>
        </w:tc>
      </w:tr>
      <w:tr w:rsidR="00B54C7D" w:rsidRPr="00BC2A0C" w14:paraId="10C593FE" w14:textId="77777777" w:rsidTr="00BB2D64">
        <w:trPr>
          <w:cantSplit/>
          <w:trHeight w:val="255"/>
        </w:trPr>
        <w:tc>
          <w:tcPr>
            <w:tcW w:w="3402" w:type="dxa"/>
            <w:shd w:val="clear" w:color="auto" w:fill="F2F2F2" w:themeFill="background1" w:themeFillShade="F2"/>
          </w:tcPr>
          <w:p w14:paraId="5C8D4F47" w14:textId="77777777" w:rsidR="00B54C7D" w:rsidRPr="00565219" w:rsidRDefault="00B54C7D" w:rsidP="00BB2D64">
            <w:pPr>
              <w:pStyle w:val="TabEtichette"/>
            </w:pPr>
            <w:r w:rsidRPr="00565219">
              <w:t xml:space="preserve">  Europa emergente e in sviluppo</w:t>
            </w:r>
          </w:p>
        </w:tc>
        <w:tc>
          <w:tcPr>
            <w:tcW w:w="510" w:type="dxa"/>
            <w:shd w:val="clear" w:color="auto" w:fill="F2F2F2" w:themeFill="background1" w:themeFillShade="F2"/>
          </w:tcPr>
          <w:p w14:paraId="3427428A" w14:textId="77777777" w:rsidR="00B54C7D" w:rsidRPr="00BA61A9" w:rsidRDefault="00B54C7D" w:rsidP="00BB2D64">
            <w:pPr>
              <w:pStyle w:val="TabNumeri"/>
            </w:pPr>
            <w:r w:rsidRPr="00280330">
              <w:t>2,1</w:t>
            </w:r>
          </w:p>
        </w:tc>
        <w:tc>
          <w:tcPr>
            <w:tcW w:w="510" w:type="dxa"/>
            <w:shd w:val="clear" w:color="auto" w:fill="F2F2F2" w:themeFill="background1" w:themeFillShade="F2"/>
          </w:tcPr>
          <w:p w14:paraId="6130899D" w14:textId="77777777" w:rsidR="00B54C7D" w:rsidRPr="00BA61A9" w:rsidRDefault="00B54C7D" w:rsidP="00BB2D64">
            <w:pPr>
              <w:pStyle w:val="TabNumeri"/>
            </w:pPr>
            <w:r w:rsidRPr="00280330">
              <w:t>-4,6</w:t>
            </w:r>
          </w:p>
        </w:tc>
        <w:tc>
          <w:tcPr>
            <w:tcW w:w="510" w:type="dxa"/>
            <w:shd w:val="clear" w:color="auto" w:fill="F2F2F2" w:themeFill="background1" w:themeFillShade="F2"/>
          </w:tcPr>
          <w:p w14:paraId="1E1C31F1" w14:textId="77777777" w:rsidR="00B54C7D" w:rsidRPr="00BA61A9" w:rsidRDefault="00B54C7D" w:rsidP="00BB2D64">
            <w:pPr>
              <w:pStyle w:val="TabNumeri"/>
            </w:pPr>
            <w:r w:rsidRPr="00280330">
              <w:t>3,9</w:t>
            </w:r>
          </w:p>
        </w:tc>
        <w:tc>
          <w:tcPr>
            <w:tcW w:w="340" w:type="dxa"/>
            <w:shd w:val="clear" w:color="auto" w:fill="F2F2F2" w:themeFill="background1" w:themeFillShade="F2"/>
          </w:tcPr>
          <w:p w14:paraId="3AB49F3A" w14:textId="77777777" w:rsidR="00B54C7D" w:rsidRPr="00565219" w:rsidRDefault="00B54C7D" w:rsidP="00BB2D64">
            <w:pPr>
              <w:pStyle w:val="TabEtichette"/>
            </w:pPr>
          </w:p>
        </w:tc>
        <w:tc>
          <w:tcPr>
            <w:tcW w:w="2552" w:type="dxa"/>
            <w:shd w:val="clear" w:color="auto" w:fill="F2F2F2" w:themeFill="background1" w:themeFillShade="F2"/>
          </w:tcPr>
          <w:p w14:paraId="3E4D4225" w14:textId="77777777" w:rsidR="00B54C7D" w:rsidRPr="00565219" w:rsidRDefault="00B54C7D" w:rsidP="00BB2D64">
            <w:pPr>
              <w:pStyle w:val="TabEtichette"/>
            </w:pPr>
            <w:r w:rsidRPr="00565219">
              <w:t>Area dell'euro</w:t>
            </w:r>
          </w:p>
        </w:tc>
        <w:tc>
          <w:tcPr>
            <w:tcW w:w="510" w:type="dxa"/>
            <w:shd w:val="clear" w:color="auto" w:fill="F2F2F2" w:themeFill="background1" w:themeFillShade="F2"/>
          </w:tcPr>
          <w:p w14:paraId="34EF699F" w14:textId="77777777" w:rsidR="00B54C7D" w:rsidRPr="003F1AC0" w:rsidRDefault="00B54C7D" w:rsidP="00BB2D64">
            <w:pPr>
              <w:pStyle w:val="TabNumeri"/>
            </w:pPr>
            <w:r w:rsidRPr="00E76E7B">
              <w:t>1,3</w:t>
            </w:r>
          </w:p>
        </w:tc>
        <w:tc>
          <w:tcPr>
            <w:tcW w:w="510" w:type="dxa"/>
            <w:shd w:val="clear" w:color="auto" w:fill="F2F2F2" w:themeFill="background1" w:themeFillShade="F2"/>
          </w:tcPr>
          <w:p w14:paraId="5FB3CCFB" w14:textId="77777777" w:rsidR="00B54C7D" w:rsidRPr="003F1AC0" w:rsidRDefault="00B54C7D" w:rsidP="00BB2D64">
            <w:pPr>
              <w:pStyle w:val="TabNumeri"/>
            </w:pPr>
            <w:r w:rsidRPr="00E76E7B">
              <w:t>-8,3</w:t>
            </w:r>
          </w:p>
        </w:tc>
        <w:tc>
          <w:tcPr>
            <w:tcW w:w="514" w:type="dxa"/>
            <w:shd w:val="clear" w:color="auto" w:fill="F2F2F2" w:themeFill="background1" w:themeFillShade="F2"/>
          </w:tcPr>
          <w:p w14:paraId="0FCB9952" w14:textId="77777777" w:rsidR="00B54C7D" w:rsidRPr="003F1AC0" w:rsidRDefault="00B54C7D" w:rsidP="00BB2D64">
            <w:pPr>
              <w:pStyle w:val="TabNumeri"/>
            </w:pPr>
            <w:r w:rsidRPr="00E76E7B">
              <w:t>5,2</w:t>
            </w:r>
          </w:p>
        </w:tc>
      </w:tr>
      <w:tr w:rsidR="00B54C7D" w:rsidRPr="00BC2A0C" w14:paraId="418593AF" w14:textId="77777777" w:rsidTr="00BB2D64">
        <w:trPr>
          <w:cantSplit/>
          <w:trHeight w:val="255"/>
        </w:trPr>
        <w:tc>
          <w:tcPr>
            <w:tcW w:w="3402" w:type="dxa"/>
          </w:tcPr>
          <w:p w14:paraId="06CB2967" w14:textId="77777777" w:rsidR="00B54C7D" w:rsidRPr="00C21B51" w:rsidRDefault="00B54C7D" w:rsidP="00BB2D64">
            <w:pPr>
              <w:pStyle w:val="TabEtichette"/>
            </w:pPr>
            <w:r w:rsidRPr="00C21B51">
              <w:t xml:space="preserve">  Paesi Asiatici in sviluppo </w:t>
            </w:r>
            <w:proofErr w:type="gramStart"/>
            <w:r w:rsidRPr="00C21B51">
              <w:t>e</w:t>
            </w:r>
            <w:proofErr w:type="gramEnd"/>
            <w:r w:rsidRPr="00C21B51">
              <w:t xml:space="preserve"> emergenti</w:t>
            </w:r>
          </w:p>
        </w:tc>
        <w:tc>
          <w:tcPr>
            <w:tcW w:w="510" w:type="dxa"/>
          </w:tcPr>
          <w:p w14:paraId="3B001BC0" w14:textId="77777777" w:rsidR="00B54C7D" w:rsidRPr="00BA61A9" w:rsidRDefault="00B54C7D" w:rsidP="00BB2D64">
            <w:pPr>
              <w:pStyle w:val="TabNumeri"/>
            </w:pPr>
            <w:r w:rsidRPr="00280330">
              <w:t>5,5</w:t>
            </w:r>
          </w:p>
        </w:tc>
        <w:tc>
          <w:tcPr>
            <w:tcW w:w="510" w:type="dxa"/>
          </w:tcPr>
          <w:p w14:paraId="0E356B98" w14:textId="77777777" w:rsidR="00B54C7D" w:rsidRPr="00BA61A9" w:rsidRDefault="00B54C7D" w:rsidP="00BB2D64">
            <w:pPr>
              <w:pStyle w:val="TabNumeri"/>
            </w:pPr>
            <w:r w:rsidRPr="00280330">
              <w:t>-1,7</w:t>
            </w:r>
          </w:p>
        </w:tc>
        <w:tc>
          <w:tcPr>
            <w:tcW w:w="510" w:type="dxa"/>
          </w:tcPr>
          <w:p w14:paraId="326D6DB4" w14:textId="77777777" w:rsidR="00B54C7D" w:rsidRPr="00BA61A9" w:rsidRDefault="00B54C7D" w:rsidP="00BB2D64">
            <w:pPr>
              <w:pStyle w:val="TabNumeri"/>
            </w:pPr>
            <w:r w:rsidRPr="00280330">
              <w:t>8,0</w:t>
            </w:r>
          </w:p>
        </w:tc>
        <w:tc>
          <w:tcPr>
            <w:tcW w:w="340" w:type="dxa"/>
          </w:tcPr>
          <w:p w14:paraId="2B1650CF" w14:textId="77777777" w:rsidR="00B54C7D" w:rsidRPr="00565219" w:rsidRDefault="00B54C7D" w:rsidP="00BB2D64">
            <w:pPr>
              <w:pStyle w:val="TabEtichette"/>
            </w:pPr>
          </w:p>
        </w:tc>
        <w:tc>
          <w:tcPr>
            <w:tcW w:w="2552" w:type="dxa"/>
          </w:tcPr>
          <w:p w14:paraId="1226D471" w14:textId="77777777" w:rsidR="00B54C7D" w:rsidRPr="00565219" w:rsidRDefault="00B54C7D" w:rsidP="00BB2D64">
            <w:pPr>
              <w:pStyle w:val="TabEtichette"/>
            </w:pPr>
            <w:r w:rsidRPr="00565219">
              <w:t xml:space="preserve">  Germania</w:t>
            </w:r>
          </w:p>
        </w:tc>
        <w:tc>
          <w:tcPr>
            <w:tcW w:w="510" w:type="dxa"/>
          </w:tcPr>
          <w:p w14:paraId="76B0B236" w14:textId="77777777" w:rsidR="00B54C7D" w:rsidRPr="003F1AC0" w:rsidRDefault="00B54C7D" w:rsidP="00BB2D64">
            <w:pPr>
              <w:pStyle w:val="TabNumeri"/>
            </w:pPr>
            <w:r w:rsidRPr="00E76E7B">
              <w:t>0,6</w:t>
            </w:r>
          </w:p>
        </w:tc>
        <w:tc>
          <w:tcPr>
            <w:tcW w:w="510" w:type="dxa"/>
          </w:tcPr>
          <w:p w14:paraId="73B1C68A" w14:textId="77777777" w:rsidR="00B54C7D" w:rsidRPr="003F1AC0" w:rsidRDefault="00B54C7D" w:rsidP="00BB2D64">
            <w:pPr>
              <w:pStyle w:val="TabNumeri"/>
            </w:pPr>
            <w:r w:rsidRPr="00E76E7B">
              <w:t>-6,0</w:t>
            </w:r>
          </w:p>
        </w:tc>
        <w:tc>
          <w:tcPr>
            <w:tcW w:w="514" w:type="dxa"/>
          </w:tcPr>
          <w:p w14:paraId="061A7EF8" w14:textId="77777777" w:rsidR="00B54C7D" w:rsidRPr="003F1AC0" w:rsidRDefault="00B54C7D" w:rsidP="00BB2D64">
            <w:pPr>
              <w:pStyle w:val="TabNumeri"/>
            </w:pPr>
            <w:r w:rsidRPr="00E76E7B">
              <w:t>4,2</w:t>
            </w:r>
          </w:p>
        </w:tc>
      </w:tr>
      <w:tr w:rsidR="00B54C7D" w:rsidRPr="00BC2A0C" w14:paraId="6F837EB1" w14:textId="77777777" w:rsidTr="00BB2D64">
        <w:trPr>
          <w:cantSplit/>
          <w:trHeight w:val="255"/>
        </w:trPr>
        <w:tc>
          <w:tcPr>
            <w:tcW w:w="3402" w:type="dxa"/>
            <w:shd w:val="clear" w:color="auto" w:fill="F2F2F2" w:themeFill="background1" w:themeFillShade="F2"/>
          </w:tcPr>
          <w:p w14:paraId="3C7F8521" w14:textId="77777777" w:rsidR="00B54C7D" w:rsidRPr="00C21B51" w:rsidRDefault="00B54C7D" w:rsidP="00BB2D64">
            <w:pPr>
              <w:pStyle w:val="TabEtichette"/>
            </w:pPr>
            <w:r>
              <w:t xml:space="preserve">  Medio Oriente, Nord Africa e Asia centrale</w:t>
            </w:r>
          </w:p>
        </w:tc>
        <w:tc>
          <w:tcPr>
            <w:tcW w:w="510" w:type="dxa"/>
            <w:shd w:val="clear" w:color="auto" w:fill="F2F2F2" w:themeFill="background1" w:themeFillShade="F2"/>
          </w:tcPr>
          <w:p w14:paraId="032313B1" w14:textId="77777777" w:rsidR="00B54C7D" w:rsidRPr="00BA61A9" w:rsidRDefault="00B54C7D" w:rsidP="00BB2D64">
            <w:pPr>
              <w:pStyle w:val="TabNumeri"/>
            </w:pPr>
            <w:r w:rsidRPr="00280330">
              <w:t>1,4</w:t>
            </w:r>
          </w:p>
        </w:tc>
        <w:tc>
          <w:tcPr>
            <w:tcW w:w="510" w:type="dxa"/>
            <w:shd w:val="clear" w:color="auto" w:fill="F2F2F2" w:themeFill="background1" w:themeFillShade="F2"/>
          </w:tcPr>
          <w:p w14:paraId="73B71276" w14:textId="77777777" w:rsidR="00B54C7D" w:rsidRPr="00BA61A9" w:rsidRDefault="00B54C7D" w:rsidP="00BB2D64">
            <w:pPr>
              <w:pStyle w:val="TabNumeri"/>
            </w:pPr>
            <w:r w:rsidRPr="00280330">
              <w:t>-4,1</w:t>
            </w:r>
          </w:p>
        </w:tc>
        <w:tc>
          <w:tcPr>
            <w:tcW w:w="510" w:type="dxa"/>
            <w:shd w:val="clear" w:color="auto" w:fill="F2F2F2" w:themeFill="background1" w:themeFillShade="F2"/>
          </w:tcPr>
          <w:p w14:paraId="514C3CAB" w14:textId="77777777" w:rsidR="00B54C7D" w:rsidRPr="00BA61A9" w:rsidRDefault="00B54C7D" w:rsidP="00BB2D64">
            <w:pPr>
              <w:pStyle w:val="TabNumeri"/>
            </w:pPr>
            <w:r w:rsidRPr="00280330">
              <w:t>3,0</w:t>
            </w:r>
          </w:p>
        </w:tc>
        <w:tc>
          <w:tcPr>
            <w:tcW w:w="340" w:type="dxa"/>
            <w:shd w:val="clear" w:color="auto" w:fill="F2F2F2" w:themeFill="background1" w:themeFillShade="F2"/>
          </w:tcPr>
          <w:p w14:paraId="74C04A01" w14:textId="77777777" w:rsidR="00B54C7D" w:rsidRPr="00565219" w:rsidRDefault="00B54C7D" w:rsidP="00BB2D64">
            <w:pPr>
              <w:pStyle w:val="TabEtichette"/>
            </w:pPr>
          </w:p>
        </w:tc>
        <w:tc>
          <w:tcPr>
            <w:tcW w:w="2552" w:type="dxa"/>
            <w:shd w:val="clear" w:color="auto" w:fill="F2F2F2" w:themeFill="background1" w:themeFillShade="F2"/>
          </w:tcPr>
          <w:p w14:paraId="0FE3F90F" w14:textId="77777777" w:rsidR="00B54C7D" w:rsidRPr="00565219" w:rsidRDefault="00B54C7D" w:rsidP="00BB2D64">
            <w:pPr>
              <w:pStyle w:val="TabEtichette"/>
            </w:pPr>
            <w:r w:rsidRPr="00565219">
              <w:t xml:space="preserve">  Francia</w:t>
            </w:r>
          </w:p>
        </w:tc>
        <w:tc>
          <w:tcPr>
            <w:tcW w:w="510" w:type="dxa"/>
            <w:shd w:val="clear" w:color="auto" w:fill="F2F2F2" w:themeFill="background1" w:themeFillShade="F2"/>
          </w:tcPr>
          <w:p w14:paraId="37D66F1E" w14:textId="77777777" w:rsidR="00B54C7D" w:rsidRPr="003F1AC0" w:rsidRDefault="00B54C7D" w:rsidP="00BB2D64">
            <w:pPr>
              <w:pStyle w:val="TabNumeri"/>
            </w:pPr>
            <w:r w:rsidRPr="00E76E7B">
              <w:t>1,5</w:t>
            </w:r>
          </w:p>
        </w:tc>
        <w:tc>
          <w:tcPr>
            <w:tcW w:w="510" w:type="dxa"/>
            <w:shd w:val="clear" w:color="auto" w:fill="F2F2F2" w:themeFill="background1" w:themeFillShade="F2"/>
          </w:tcPr>
          <w:p w14:paraId="3871B45B" w14:textId="77777777" w:rsidR="00B54C7D" w:rsidRPr="003F1AC0" w:rsidRDefault="00B54C7D" w:rsidP="00BB2D64">
            <w:pPr>
              <w:pStyle w:val="TabNumeri"/>
            </w:pPr>
            <w:r w:rsidRPr="00E76E7B">
              <w:t>-9,8</w:t>
            </w:r>
          </w:p>
        </w:tc>
        <w:tc>
          <w:tcPr>
            <w:tcW w:w="514" w:type="dxa"/>
            <w:shd w:val="clear" w:color="auto" w:fill="F2F2F2" w:themeFill="background1" w:themeFillShade="F2"/>
          </w:tcPr>
          <w:p w14:paraId="7D20D475" w14:textId="77777777" w:rsidR="00B54C7D" w:rsidRPr="003F1AC0" w:rsidRDefault="00B54C7D" w:rsidP="00BB2D64">
            <w:pPr>
              <w:pStyle w:val="TabNumeri"/>
            </w:pPr>
            <w:r w:rsidRPr="00E76E7B">
              <w:t>6,0</w:t>
            </w:r>
          </w:p>
        </w:tc>
      </w:tr>
      <w:tr w:rsidR="00B54C7D" w:rsidRPr="00BC2A0C" w14:paraId="55F0823C" w14:textId="77777777" w:rsidTr="00BB2D64">
        <w:trPr>
          <w:cantSplit/>
          <w:trHeight w:val="255"/>
        </w:trPr>
        <w:tc>
          <w:tcPr>
            <w:tcW w:w="3402" w:type="dxa"/>
          </w:tcPr>
          <w:p w14:paraId="22A0459D" w14:textId="77777777" w:rsidR="00B54C7D" w:rsidRPr="00C21B51" w:rsidRDefault="00B54C7D" w:rsidP="00BB2D64">
            <w:pPr>
              <w:pStyle w:val="TabEtichette"/>
            </w:pPr>
            <w:r w:rsidRPr="00C21B51">
              <w:t xml:space="preserve">  Africa Sub-Sahariana</w:t>
            </w:r>
          </w:p>
        </w:tc>
        <w:tc>
          <w:tcPr>
            <w:tcW w:w="510" w:type="dxa"/>
          </w:tcPr>
          <w:p w14:paraId="799B4E81" w14:textId="77777777" w:rsidR="00B54C7D" w:rsidRPr="00BA61A9" w:rsidRDefault="00B54C7D" w:rsidP="00BB2D64">
            <w:pPr>
              <w:pStyle w:val="TabNumeri"/>
            </w:pPr>
            <w:r w:rsidRPr="00280330">
              <w:t>3,2</w:t>
            </w:r>
          </w:p>
        </w:tc>
        <w:tc>
          <w:tcPr>
            <w:tcW w:w="510" w:type="dxa"/>
          </w:tcPr>
          <w:p w14:paraId="561FAD16" w14:textId="77777777" w:rsidR="00B54C7D" w:rsidRPr="00BA61A9" w:rsidRDefault="00B54C7D" w:rsidP="00BB2D64">
            <w:pPr>
              <w:pStyle w:val="TabNumeri"/>
            </w:pPr>
            <w:r w:rsidRPr="00280330">
              <w:t>-3,0</w:t>
            </w:r>
          </w:p>
        </w:tc>
        <w:tc>
          <w:tcPr>
            <w:tcW w:w="510" w:type="dxa"/>
          </w:tcPr>
          <w:p w14:paraId="18401982" w14:textId="77777777" w:rsidR="00B54C7D" w:rsidRPr="00BA61A9" w:rsidRDefault="00B54C7D" w:rsidP="00BB2D64">
            <w:pPr>
              <w:pStyle w:val="TabNumeri"/>
            </w:pPr>
            <w:r w:rsidRPr="00280330">
              <w:t>3,1</w:t>
            </w:r>
          </w:p>
        </w:tc>
        <w:tc>
          <w:tcPr>
            <w:tcW w:w="340" w:type="dxa"/>
          </w:tcPr>
          <w:p w14:paraId="6E1F5502" w14:textId="77777777" w:rsidR="00B54C7D" w:rsidRPr="00565219" w:rsidRDefault="00B54C7D" w:rsidP="00BB2D64">
            <w:pPr>
              <w:pStyle w:val="TabEtichette"/>
            </w:pPr>
          </w:p>
        </w:tc>
        <w:tc>
          <w:tcPr>
            <w:tcW w:w="2552" w:type="dxa"/>
          </w:tcPr>
          <w:p w14:paraId="430D2430" w14:textId="77777777" w:rsidR="00B54C7D" w:rsidRPr="00565219" w:rsidRDefault="00B54C7D" w:rsidP="00BB2D64">
            <w:pPr>
              <w:pStyle w:val="TabEtichette"/>
            </w:pPr>
            <w:r w:rsidRPr="00565219">
              <w:t>Russia</w:t>
            </w:r>
          </w:p>
        </w:tc>
        <w:tc>
          <w:tcPr>
            <w:tcW w:w="510" w:type="dxa"/>
          </w:tcPr>
          <w:p w14:paraId="6A322605" w14:textId="77777777" w:rsidR="00B54C7D" w:rsidRPr="003F1AC0" w:rsidRDefault="00B54C7D" w:rsidP="00BB2D64">
            <w:pPr>
              <w:pStyle w:val="TabNumeri"/>
            </w:pPr>
            <w:r w:rsidRPr="00E76E7B">
              <w:t>1,3</w:t>
            </w:r>
          </w:p>
        </w:tc>
        <w:tc>
          <w:tcPr>
            <w:tcW w:w="510" w:type="dxa"/>
          </w:tcPr>
          <w:p w14:paraId="20E96CD4" w14:textId="77777777" w:rsidR="00B54C7D" w:rsidRPr="003F1AC0" w:rsidRDefault="00B54C7D" w:rsidP="00BB2D64">
            <w:pPr>
              <w:pStyle w:val="TabNumeri"/>
            </w:pPr>
            <w:r w:rsidRPr="00E76E7B">
              <w:t>-4,1</w:t>
            </w:r>
          </w:p>
        </w:tc>
        <w:tc>
          <w:tcPr>
            <w:tcW w:w="514" w:type="dxa"/>
          </w:tcPr>
          <w:p w14:paraId="3600C0C8" w14:textId="77777777" w:rsidR="00B54C7D" w:rsidRPr="003F1AC0" w:rsidRDefault="00B54C7D" w:rsidP="00BB2D64">
            <w:pPr>
              <w:pStyle w:val="TabNumeri"/>
            </w:pPr>
            <w:r w:rsidRPr="00E76E7B">
              <w:t>2,8</w:t>
            </w:r>
          </w:p>
        </w:tc>
      </w:tr>
      <w:tr w:rsidR="00B54C7D" w:rsidRPr="00BC2A0C" w14:paraId="0B52CB43" w14:textId="77777777" w:rsidTr="00BB2D64">
        <w:trPr>
          <w:cantSplit/>
          <w:trHeight w:val="255"/>
        </w:trPr>
        <w:tc>
          <w:tcPr>
            <w:tcW w:w="3402" w:type="dxa"/>
            <w:shd w:val="clear" w:color="auto" w:fill="F2F2F2" w:themeFill="background1" w:themeFillShade="F2"/>
          </w:tcPr>
          <w:p w14:paraId="06C11FE0" w14:textId="77777777" w:rsidR="00B54C7D" w:rsidRPr="00C21B51" w:rsidRDefault="00B54C7D" w:rsidP="00BB2D64">
            <w:pPr>
              <w:pStyle w:val="TabEtichette"/>
            </w:pPr>
            <w:r w:rsidRPr="00C21B51">
              <w:t xml:space="preserve">  America Latina e Caraibi</w:t>
            </w:r>
          </w:p>
        </w:tc>
        <w:tc>
          <w:tcPr>
            <w:tcW w:w="510" w:type="dxa"/>
            <w:shd w:val="clear" w:color="auto" w:fill="F2F2F2" w:themeFill="background1" w:themeFillShade="F2"/>
          </w:tcPr>
          <w:p w14:paraId="39F09351" w14:textId="77777777" w:rsidR="00B54C7D" w:rsidRPr="00BA61A9" w:rsidRDefault="00B54C7D" w:rsidP="00BB2D64">
            <w:pPr>
              <w:pStyle w:val="TabNumeri"/>
            </w:pPr>
            <w:r w:rsidRPr="00280330">
              <w:t>0,0</w:t>
            </w:r>
          </w:p>
        </w:tc>
        <w:tc>
          <w:tcPr>
            <w:tcW w:w="510" w:type="dxa"/>
            <w:shd w:val="clear" w:color="auto" w:fill="F2F2F2" w:themeFill="background1" w:themeFillShade="F2"/>
          </w:tcPr>
          <w:p w14:paraId="5D505414" w14:textId="77777777" w:rsidR="00B54C7D" w:rsidRPr="00BA61A9" w:rsidRDefault="00B54C7D" w:rsidP="00BB2D64">
            <w:pPr>
              <w:pStyle w:val="TabNumeri"/>
            </w:pPr>
            <w:r w:rsidRPr="00280330">
              <w:t>-8,1</w:t>
            </w:r>
          </w:p>
        </w:tc>
        <w:tc>
          <w:tcPr>
            <w:tcW w:w="510" w:type="dxa"/>
            <w:shd w:val="clear" w:color="auto" w:fill="F2F2F2" w:themeFill="background1" w:themeFillShade="F2"/>
          </w:tcPr>
          <w:p w14:paraId="6DB6724F" w14:textId="77777777" w:rsidR="00B54C7D" w:rsidRDefault="00B54C7D" w:rsidP="00BB2D64">
            <w:pPr>
              <w:pStyle w:val="TabNumeri"/>
            </w:pPr>
            <w:r w:rsidRPr="00280330">
              <w:t>3,6</w:t>
            </w:r>
          </w:p>
        </w:tc>
        <w:tc>
          <w:tcPr>
            <w:tcW w:w="340" w:type="dxa"/>
            <w:shd w:val="clear" w:color="auto" w:fill="F2F2F2" w:themeFill="background1" w:themeFillShade="F2"/>
          </w:tcPr>
          <w:p w14:paraId="0B4C21E2" w14:textId="77777777" w:rsidR="00B54C7D" w:rsidRPr="00565219" w:rsidRDefault="00B54C7D" w:rsidP="00BB2D64">
            <w:pPr>
              <w:pStyle w:val="TabEtichette"/>
            </w:pPr>
          </w:p>
        </w:tc>
        <w:tc>
          <w:tcPr>
            <w:tcW w:w="2552" w:type="dxa"/>
            <w:shd w:val="clear" w:color="auto" w:fill="F2F2F2" w:themeFill="background1" w:themeFillShade="F2"/>
          </w:tcPr>
          <w:p w14:paraId="02BCA536" w14:textId="77777777" w:rsidR="00B54C7D" w:rsidRPr="00565219" w:rsidRDefault="00B54C7D" w:rsidP="00BB2D64">
            <w:pPr>
              <w:pStyle w:val="TabEtichette"/>
            </w:pPr>
            <w:r w:rsidRPr="00565219">
              <w:t>India</w:t>
            </w:r>
          </w:p>
        </w:tc>
        <w:tc>
          <w:tcPr>
            <w:tcW w:w="510" w:type="dxa"/>
            <w:shd w:val="clear" w:color="auto" w:fill="F2F2F2" w:themeFill="background1" w:themeFillShade="F2"/>
          </w:tcPr>
          <w:p w14:paraId="1A1AAE62" w14:textId="77777777" w:rsidR="00B54C7D" w:rsidRPr="003F1AC0" w:rsidRDefault="00B54C7D" w:rsidP="00BB2D64">
            <w:pPr>
              <w:pStyle w:val="TabNumeri"/>
            </w:pPr>
            <w:r w:rsidRPr="00E76E7B">
              <w:t>4,2</w:t>
            </w:r>
          </w:p>
        </w:tc>
        <w:tc>
          <w:tcPr>
            <w:tcW w:w="510" w:type="dxa"/>
            <w:shd w:val="clear" w:color="auto" w:fill="F2F2F2" w:themeFill="background1" w:themeFillShade="F2"/>
          </w:tcPr>
          <w:p w14:paraId="0CA0AE10" w14:textId="77777777" w:rsidR="00B54C7D" w:rsidRPr="003F1AC0" w:rsidRDefault="00B54C7D" w:rsidP="00BB2D64">
            <w:pPr>
              <w:pStyle w:val="TabNumeri"/>
            </w:pPr>
            <w:r w:rsidRPr="00E76E7B">
              <w:t>-10,3</w:t>
            </w:r>
          </w:p>
        </w:tc>
        <w:tc>
          <w:tcPr>
            <w:tcW w:w="514" w:type="dxa"/>
            <w:shd w:val="clear" w:color="auto" w:fill="F2F2F2" w:themeFill="background1" w:themeFillShade="F2"/>
          </w:tcPr>
          <w:p w14:paraId="0B4258BC" w14:textId="77777777" w:rsidR="00B54C7D" w:rsidRPr="003F1AC0" w:rsidRDefault="00B54C7D" w:rsidP="00BB2D64">
            <w:pPr>
              <w:pStyle w:val="TabNumeri"/>
            </w:pPr>
            <w:r w:rsidRPr="00E76E7B">
              <w:t>8,8</w:t>
            </w:r>
          </w:p>
        </w:tc>
      </w:tr>
      <w:tr w:rsidR="00B54C7D" w:rsidRPr="00BC2A0C" w14:paraId="5364FC63" w14:textId="77777777" w:rsidTr="00BB2D64">
        <w:trPr>
          <w:cantSplit/>
          <w:trHeight w:val="255"/>
        </w:trPr>
        <w:tc>
          <w:tcPr>
            <w:tcW w:w="3402" w:type="dxa"/>
          </w:tcPr>
          <w:p w14:paraId="024C8E34" w14:textId="77777777" w:rsidR="00B54C7D" w:rsidRPr="00565219" w:rsidRDefault="00B54C7D" w:rsidP="00BB2D64">
            <w:pPr>
              <w:pStyle w:val="TabEtichette"/>
            </w:pPr>
          </w:p>
        </w:tc>
        <w:tc>
          <w:tcPr>
            <w:tcW w:w="510" w:type="dxa"/>
          </w:tcPr>
          <w:p w14:paraId="4DF81198" w14:textId="77777777" w:rsidR="00B54C7D" w:rsidRPr="00565219" w:rsidRDefault="00B54C7D" w:rsidP="00BB2D64">
            <w:pPr>
              <w:pStyle w:val="TabNumeri"/>
            </w:pPr>
          </w:p>
        </w:tc>
        <w:tc>
          <w:tcPr>
            <w:tcW w:w="510" w:type="dxa"/>
          </w:tcPr>
          <w:p w14:paraId="40C7D09C" w14:textId="77777777" w:rsidR="00B54C7D" w:rsidRPr="00565219" w:rsidRDefault="00B54C7D" w:rsidP="00BB2D64">
            <w:pPr>
              <w:pStyle w:val="TabNumeri"/>
            </w:pPr>
          </w:p>
        </w:tc>
        <w:tc>
          <w:tcPr>
            <w:tcW w:w="510" w:type="dxa"/>
          </w:tcPr>
          <w:p w14:paraId="4C9AB9BA" w14:textId="77777777" w:rsidR="00B54C7D" w:rsidRPr="00565219" w:rsidRDefault="00B54C7D" w:rsidP="00BB2D64">
            <w:pPr>
              <w:pStyle w:val="TabNumeri"/>
            </w:pPr>
          </w:p>
        </w:tc>
        <w:tc>
          <w:tcPr>
            <w:tcW w:w="340" w:type="dxa"/>
          </w:tcPr>
          <w:p w14:paraId="66D3F23B" w14:textId="77777777" w:rsidR="00B54C7D" w:rsidRPr="00565219" w:rsidRDefault="00B54C7D" w:rsidP="00BB2D64">
            <w:pPr>
              <w:pStyle w:val="TabEtichette"/>
            </w:pPr>
          </w:p>
        </w:tc>
        <w:tc>
          <w:tcPr>
            <w:tcW w:w="2552" w:type="dxa"/>
          </w:tcPr>
          <w:p w14:paraId="6C009D38" w14:textId="77777777" w:rsidR="00B54C7D" w:rsidRPr="00565219" w:rsidRDefault="00B54C7D" w:rsidP="00BB2D64">
            <w:pPr>
              <w:pStyle w:val="TabEtichette"/>
            </w:pPr>
            <w:r w:rsidRPr="00565219">
              <w:t>Brasile</w:t>
            </w:r>
          </w:p>
        </w:tc>
        <w:tc>
          <w:tcPr>
            <w:tcW w:w="510" w:type="dxa"/>
          </w:tcPr>
          <w:p w14:paraId="6E9C5ABD" w14:textId="77777777" w:rsidR="00B54C7D" w:rsidRPr="003F1AC0" w:rsidRDefault="00B54C7D" w:rsidP="00BB2D64">
            <w:pPr>
              <w:pStyle w:val="TabNumeri"/>
            </w:pPr>
            <w:r w:rsidRPr="00E76E7B">
              <w:t>1,1</w:t>
            </w:r>
          </w:p>
        </w:tc>
        <w:tc>
          <w:tcPr>
            <w:tcW w:w="510" w:type="dxa"/>
          </w:tcPr>
          <w:p w14:paraId="7F51E5FD" w14:textId="77777777" w:rsidR="00B54C7D" w:rsidRPr="003F1AC0" w:rsidRDefault="00B54C7D" w:rsidP="00BB2D64">
            <w:pPr>
              <w:pStyle w:val="TabNumeri"/>
            </w:pPr>
            <w:r w:rsidRPr="00E76E7B">
              <w:t>-5,8</w:t>
            </w:r>
          </w:p>
        </w:tc>
        <w:tc>
          <w:tcPr>
            <w:tcW w:w="514" w:type="dxa"/>
          </w:tcPr>
          <w:p w14:paraId="03F11951" w14:textId="77777777" w:rsidR="00B54C7D" w:rsidRPr="003F1AC0" w:rsidRDefault="00B54C7D" w:rsidP="00BB2D64">
            <w:pPr>
              <w:pStyle w:val="TabNumeri"/>
            </w:pPr>
            <w:r w:rsidRPr="00E76E7B">
              <w:t>2,8</w:t>
            </w:r>
          </w:p>
        </w:tc>
      </w:tr>
      <w:tr w:rsidR="00B54C7D" w:rsidRPr="00BC2A0C" w14:paraId="3F3CCF16" w14:textId="77777777" w:rsidTr="00BB2D64">
        <w:trPr>
          <w:cantSplit/>
          <w:trHeight w:val="255"/>
        </w:trPr>
        <w:tc>
          <w:tcPr>
            <w:tcW w:w="3402" w:type="dxa"/>
            <w:shd w:val="clear" w:color="auto" w:fill="F2F2F2" w:themeFill="background1" w:themeFillShade="F2"/>
          </w:tcPr>
          <w:p w14:paraId="64333223" w14:textId="77777777" w:rsidR="00B54C7D" w:rsidRPr="00565219" w:rsidRDefault="00B54C7D" w:rsidP="00BB2D64">
            <w:pPr>
              <w:pStyle w:val="TabEtichette"/>
            </w:pPr>
          </w:p>
        </w:tc>
        <w:tc>
          <w:tcPr>
            <w:tcW w:w="510" w:type="dxa"/>
            <w:shd w:val="clear" w:color="auto" w:fill="F2F2F2" w:themeFill="background1" w:themeFillShade="F2"/>
          </w:tcPr>
          <w:p w14:paraId="1B175032" w14:textId="77777777" w:rsidR="00B54C7D" w:rsidRPr="00565219" w:rsidRDefault="00B54C7D" w:rsidP="00BB2D64">
            <w:pPr>
              <w:pStyle w:val="TabNumeri"/>
            </w:pPr>
          </w:p>
        </w:tc>
        <w:tc>
          <w:tcPr>
            <w:tcW w:w="510" w:type="dxa"/>
            <w:shd w:val="clear" w:color="auto" w:fill="F2F2F2" w:themeFill="background1" w:themeFillShade="F2"/>
          </w:tcPr>
          <w:p w14:paraId="686C3BB8" w14:textId="77777777" w:rsidR="00B54C7D" w:rsidRPr="00565219" w:rsidRDefault="00B54C7D" w:rsidP="00BB2D64">
            <w:pPr>
              <w:pStyle w:val="TabNumeri"/>
            </w:pPr>
          </w:p>
        </w:tc>
        <w:tc>
          <w:tcPr>
            <w:tcW w:w="510" w:type="dxa"/>
            <w:shd w:val="clear" w:color="auto" w:fill="F2F2F2" w:themeFill="background1" w:themeFillShade="F2"/>
          </w:tcPr>
          <w:p w14:paraId="1B3BEC78" w14:textId="77777777" w:rsidR="00B54C7D" w:rsidRPr="00565219" w:rsidRDefault="00B54C7D" w:rsidP="00BB2D64">
            <w:pPr>
              <w:pStyle w:val="TabNumeri"/>
            </w:pPr>
          </w:p>
        </w:tc>
        <w:tc>
          <w:tcPr>
            <w:tcW w:w="340" w:type="dxa"/>
            <w:shd w:val="clear" w:color="auto" w:fill="F2F2F2" w:themeFill="background1" w:themeFillShade="F2"/>
          </w:tcPr>
          <w:p w14:paraId="64EB7D46" w14:textId="77777777" w:rsidR="00B54C7D" w:rsidRPr="00565219" w:rsidRDefault="00B54C7D" w:rsidP="00BB2D64">
            <w:pPr>
              <w:pStyle w:val="TabEtichette"/>
            </w:pPr>
          </w:p>
        </w:tc>
        <w:tc>
          <w:tcPr>
            <w:tcW w:w="2552" w:type="dxa"/>
            <w:shd w:val="clear" w:color="auto" w:fill="F2F2F2" w:themeFill="background1" w:themeFillShade="F2"/>
          </w:tcPr>
          <w:p w14:paraId="3931E3C9" w14:textId="77777777" w:rsidR="00B54C7D" w:rsidRPr="00565219" w:rsidRDefault="00B54C7D" w:rsidP="00BB2D64">
            <w:pPr>
              <w:pStyle w:val="TabEtichette"/>
            </w:pPr>
            <w:r w:rsidRPr="00565219">
              <w:t>Messico</w:t>
            </w:r>
          </w:p>
        </w:tc>
        <w:tc>
          <w:tcPr>
            <w:tcW w:w="510" w:type="dxa"/>
            <w:shd w:val="clear" w:color="auto" w:fill="F2F2F2" w:themeFill="background1" w:themeFillShade="F2"/>
          </w:tcPr>
          <w:p w14:paraId="49FC6B70" w14:textId="77777777" w:rsidR="00B54C7D" w:rsidRPr="003F1AC0" w:rsidRDefault="00B54C7D" w:rsidP="00BB2D64">
            <w:pPr>
              <w:pStyle w:val="TabNumeri"/>
            </w:pPr>
            <w:r w:rsidRPr="00E76E7B">
              <w:t>-0,3</w:t>
            </w:r>
          </w:p>
        </w:tc>
        <w:tc>
          <w:tcPr>
            <w:tcW w:w="510" w:type="dxa"/>
            <w:shd w:val="clear" w:color="auto" w:fill="F2F2F2" w:themeFill="background1" w:themeFillShade="F2"/>
          </w:tcPr>
          <w:p w14:paraId="73B28439" w14:textId="77777777" w:rsidR="00B54C7D" w:rsidRPr="003F1AC0" w:rsidRDefault="00B54C7D" w:rsidP="00BB2D64">
            <w:pPr>
              <w:pStyle w:val="TabNumeri"/>
            </w:pPr>
            <w:r w:rsidRPr="00E76E7B">
              <w:t>-9,0</w:t>
            </w:r>
          </w:p>
        </w:tc>
        <w:tc>
          <w:tcPr>
            <w:tcW w:w="514" w:type="dxa"/>
            <w:shd w:val="clear" w:color="auto" w:fill="F2F2F2" w:themeFill="background1" w:themeFillShade="F2"/>
          </w:tcPr>
          <w:p w14:paraId="22876510" w14:textId="77777777" w:rsidR="00B54C7D" w:rsidRDefault="00B54C7D" w:rsidP="00BB2D64">
            <w:pPr>
              <w:pStyle w:val="TabNumeri"/>
            </w:pPr>
            <w:r w:rsidRPr="00E76E7B">
              <w:t>3,5</w:t>
            </w:r>
          </w:p>
        </w:tc>
      </w:tr>
      <w:tr w:rsidR="00B54C7D" w:rsidRPr="00BC2A0C" w14:paraId="4EB87BFA" w14:textId="77777777" w:rsidTr="00BB2D64">
        <w:trPr>
          <w:cantSplit/>
          <w:trHeight w:val="255"/>
        </w:trPr>
        <w:tc>
          <w:tcPr>
            <w:tcW w:w="9358" w:type="dxa"/>
            <w:gridSpan w:val="9"/>
          </w:tcPr>
          <w:p w14:paraId="1AE14248" w14:textId="77777777" w:rsidR="00B54C7D" w:rsidRPr="00565219" w:rsidRDefault="00B54C7D" w:rsidP="00BB2D64">
            <w:pPr>
              <w:pStyle w:val="TabIntestaSup"/>
            </w:pPr>
            <w:r w:rsidRPr="00565219">
              <w:t>Commercio mondiale</w:t>
            </w:r>
          </w:p>
        </w:tc>
      </w:tr>
      <w:tr w:rsidR="00B54C7D" w:rsidRPr="00BC2A0C" w14:paraId="40194F49" w14:textId="77777777" w:rsidTr="00BB2D64">
        <w:trPr>
          <w:cantSplit/>
          <w:trHeight w:val="255"/>
        </w:trPr>
        <w:tc>
          <w:tcPr>
            <w:tcW w:w="3402" w:type="dxa"/>
            <w:shd w:val="clear" w:color="auto" w:fill="F2F2F2" w:themeFill="background1" w:themeFillShade="F2"/>
          </w:tcPr>
          <w:p w14:paraId="16790C06" w14:textId="77777777" w:rsidR="00B54C7D" w:rsidRPr="00565219" w:rsidRDefault="00B54C7D" w:rsidP="00BB2D64">
            <w:pPr>
              <w:pStyle w:val="TabEtichette"/>
            </w:pPr>
            <w:r w:rsidRPr="00565219">
              <w:t>Commercio mondiale(c)</w:t>
            </w:r>
          </w:p>
        </w:tc>
        <w:tc>
          <w:tcPr>
            <w:tcW w:w="510" w:type="dxa"/>
            <w:shd w:val="clear" w:color="auto" w:fill="F2F2F2" w:themeFill="background1" w:themeFillShade="F2"/>
          </w:tcPr>
          <w:p w14:paraId="3CCF12BA" w14:textId="77777777" w:rsidR="00B54C7D" w:rsidRPr="00AD3B7F" w:rsidRDefault="00B54C7D" w:rsidP="00BB2D64">
            <w:pPr>
              <w:pStyle w:val="TabNumeri"/>
            </w:pPr>
            <w:r w:rsidRPr="009C4851">
              <w:t>1,0</w:t>
            </w:r>
          </w:p>
        </w:tc>
        <w:tc>
          <w:tcPr>
            <w:tcW w:w="510" w:type="dxa"/>
            <w:shd w:val="clear" w:color="auto" w:fill="F2F2F2" w:themeFill="background1" w:themeFillShade="F2"/>
          </w:tcPr>
          <w:p w14:paraId="6F0E4D86" w14:textId="77777777" w:rsidR="00B54C7D" w:rsidRPr="00AD3B7F" w:rsidRDefault="00B54C7D" w:rsidP="00BB2D64">
            <w:pPr>
              <w:pStyle w:val="TabNumeri"/>
            </w:pPr>
            <w:r w:rsidRPr="009C4851">
              <w:t>-10,4</w:t>
            </w:r>
          </w:p>
        </w:tc>
        <w:tc>
          <w:tcPr>
            <w:tcW w:w="510" w:type="dxa"/>
            <w:shd w:val="clear" w:color="auto" w:fill="F2F2F2" w:themeFill="background1" w:themeFillShade="F2"/>
          </w:tcPr>
          <w:p w14:paraId="12C0F35C" w14:textId="77777777" w:rsidR="00B54C7D" w:rsidRPr="00AD3B7F" w:rsidRDefault="00B54C7D" w:rsidP="00BB2D64">
            <w:pPr>
              <w:pStyle w:val="TabNumeri"/>
            </w:pPr>
            <w:r w:rsidRPr="009C4851">
              <w:t>8,3</w:t>
            </w:r>
          </w:p>
        </w:tc>
        <w:tc>
          <w:tcPr>
            <w:tcW w:w="340" w:type="dxa"/>
            <w:shd w:val="clear" w:color="auto" w:fill="F2F2F2" w:themeFill="background1" w:themeFillShade="F2"/>
          </w:tcPr>
          <w:p w14:paraId="0F44D6A2" w14:textId="77777777" w:rsidR="00B54C7D" w:rsidRPr="00565219" w:rsidRDefault="00B54C7D" w:rsidP="00BB2D64">
            <w:pPr>
              <w:pStyle w:val="TabEtichette"/>
            </w:pPr>
          </w:p>
        </w:tc>
        <w:tc>
          <w:tcPr>
            <w:tcW w:w="2552" w:type="dxa"/>
            <w:shd w:val="clear" w:color="auto" w:fill="F2F2F2" w:themeFill="background1" w:themeFillShade="F2"/>
          </w:tcPr>
          <w:p w14:paraId="5EEABFE5" w14:textId="77777777" w:rsidR="00B54C7D" w:rsidRPr="00565219" w:rsidRDefault="00B54C7D" w:rsidP="00BB2D64">
            <w:pPr>
              <w:pStyle w:val="TabEtichette"/>
            </w:pPr>
          </w:p>
        </w:tc>
        <w:tc>
          <w:tcPr>
            <w:tcW w:w="510" w:type="dxa"/>
            <w:shd w:val="clear" w:color="auto" w:fill="F2F2F2" w:themeFill="background1" w:themeFillShade="F2"/>
          </w:tcPr>
          <w:p w14:paraId="6ED0931F" w14:textId="77777777" w:rsidR="00B54C7D" w:rsidRPr="00565219" w:rsidRDefault="00B54C7D" w:rsidP="00BB2D64">
            <w:pPr>
              <w:pStyle w:val="TabNumeri"/>
            </w:pPr>
          </w:p>
        </w:tc>
        <w:tc>
          <w:tcPr>
            <w:tcW w:w="510" w:type="dxa"/>
            <w:shd w:val="clear" w:color="auto" w:fill="F2F2F2" w:themeFill="background1" w:themeFillShade="F2"/>
          </w:tcPr>
          <w:p w14:paraId="52A911C8" w14:textId="77777777" w:rsidR="00B54C7D" w:rsidRPr="00565219" w:rsidRDefault="00B54C7D" w:rsidP="00BB2D64">
            <w:pPr>
              <w:pStyle w:val="TabNumeri"/>
            </w:pPr>
          </w:p>
        </w:tc>
        <w:tc>
          <w:tcPr>
            <w:tcW w:w="514" w:type="dxa"/>
            <w:shd w:val="clear" w:color="auto" w:fill="F2F2F2" w:themeFill="background1" w:themeFillShade="F2"/>
          </w:tcPr>
          <w:p w14:paraId="3B1C19DF" w14:textId="77777777" w:rsidR="00B54C7D" w:rsidRPr="00565219" w:rsidRDefault="00B54C7D" w:rsidP="00BB2D64">
            <w:pPr>
              <w:pStyle w:val="TabNumeri"/>
            </w:pPr>
          </w:p>
        </w:tc>
      </w:tr>
      <w:tr w:rsidR="00B54C7D" w:rsidRPr="00BC2A0C" w14:paraId="4A92AD69" w14:textId="77777777" w:rsidTr="00BB2D64">
        <w:trPr>
          <w:cantSplit/>
          <w:trHeight w:val="255"/>
        </w:trPr>
        <w:tc>
          <w:tcPr>
            <w:tcW w:w="3402" w:type="dxa"/>
          </w:tcPr>
          <w:p w14:paraId="2603841B" w14:textId="77777777" w:rsidR="00B54C7D" w:rsidRPr="00565219" w:rsidRDefault="00B54C7D" w:rsidP="00BB2D64">
            <w:pPr>
              <w:pStyle w:val="TabEtichette"/>
            </w:pPr>
            <w:r w:rsidRPr="00565219">
              <w:t>Importazioni</w:t>
            </w:r>
          </w:p>
        </w:tc>
        <w:tc>
          <w:tcPr>
            <w:tcW w:w="510" w:type="dxa"/>
          </w:tcPr>
          <w:p w14:paraId="6FEFB874" w14:textId="77777777" w:rsidR="00B54C7D" w:rsidRPr="00AD3B7F" w:rsidRDefault="00B54C7D" w:rsidP="00BB2D64">
            <w:pPr>
              <w:pStyle w:val="TabNumeri"/>
            </w:pPr>
          </w:p>
        </w:tc>
        <w:tc>
          <w:tcPr>
            <w:tcW w:w="510" w:type="dxa"/>
          </w:tcPr>
          <w:p w14:paraId="5A842044" w14:textId="77777777" w:rsidR="00B54C7D" w:rsidRPr="00AD3B7F" w:rsidRDefault="00B54C7D" w:rsidP="00BB2D64">
            <w:pPr>
              <w:pStyle w:val="TabNumeri"/>
            </w:pPr>
          </w:p>
        </w:tc>
        <w:tc>
          <w:tcPr>
            <w:tcW w:w="510" w:type="dxa"/>
          </w:tcPr>
          <w:p w14:paraId="19D6C0B9" w14:textId="77777777" w:rsidR="00B54C7D" w:rsidRPr="00AD3B7F" w:rsidRDefault="00B54C7D" w:rsidP="00BB2D64">
            <w:pPr>
              <w:pStyle w:val="TabNumeri"/>
            </w:pPr>
          </w:p>
        </w:tc>
        <w:tc>
          <w:tcPr>
            <w:tcW w:w="340" w:type="dxa"/>
          </w:tcPr>
          <w:p w14:paraId="5EAC41E3" w14:textId="77777777" w:rsidR="00B54C7D" w:rsidRPr="00565219" w:rsidRDefault="00B54C7D" w:rsidP="00BB2D64">
            <w:pPr>
              <w:pStyle w:val="TabEtichette"/>
            </w:pPr>
          </w:p>
        </w:tc>
        <w:tc>
          <w:tcPr>
            <w:tcW w:w="2552" w:type="dxa"/>
          </w:tcPr>
          <w:p w14:paraId="116882A6" w14:textId="77777777" w:rsidR="00B54C7D" w:rsidRPr="00565219" w:rsidRDefault="00B54C7D" w:rsidP="00BB2D64">
            <w:pPr>
              <w:pStyle w:val="TabEtichette"/>
            </w:pPr>
            <w:r w:rsidRPr="00565219">
              <w:t>Esportazioni</w:t>
            </w:r>
          </w:p>
        </w:tc>
        <w:tc>
          <w:tcPr>
            <w:tcW w:w="510" w:type="dxa"/>
          </w:tcPr>
          <w:p w14:paraId="7168E455" w14:textId="77777777" w:rsidR="00B54C7D" w:rsidRPr="00565219" w:rsidRDefault="00B54C7D" w:rsidP="00BB2D64">
            <w:pPr>
              <w:pStyle w:val="TabNumeri"/>
            </w:pPr>
          </w:p>
        </w:tc>
        <w:tc>
          <w:tcPr>
            <w:tcW w:w="510" w:type="dxa"/>
          </w:tcPr>
          <w:p w14:paraId="600C7C66" w14:textId="77777777" w:rsidR="00B54C7D" w:rsidRPr="00565219" w:rsidRDefault="00B54C7D" w:rsidP="00BB2D64">
            <w:pPr>
              <w:pStyle w:val="TabNumeri"/>
            </w:pPr>
          </w:p>
        </w:tc>
        <w:tc>
          <w:tcPr>
            <w:tcW w:w="514" w:type="dxa"/>
          </w:tcPr>
          <w:p w14:paraId="5A0D4811" w14:textId="77777777" w:rsidR="00B54C7D" w:rsidRPr="00565219" w:rsidRDefault="00B54C7D" w:rsidP="00BB2D64">
            <w:pPr>
              <w:pStyle w:val="TabNumeri"/>
            </w:pPr>
          </w:p>
        </w:tc>
      </w:tr>
      <w:tr w:rsidR="00B54C7D" w:rsidRPr="00BC2A0C" w14:paraId="5AF23503" w14:textId="77777777" w:rsidTr="00BB2D64">
        <w:trPr>
          <w:cantSplit/>
          <w:trHeight w:val="255"/>
        </w:trPr>
        <w:tc>
          <w:tcPr>
            <w:tcW w:w="3402" w:type="dxa"/>
            <w:shd w:val="clear" w:color="auto" w:fill="F2F2F2" w:themeFill="background1" w:themeFillShade="F2"/>
          </w:tcPr>
          <w:p w14:paraId="78136AEF" w14:textId="77777777" w:rsidR="00B54C7D" w:rsidRPr="00565219" w:rsidRDefault="00B54C7D" w:rsidP="00BB2D64">
            <w:pPr>
              <w:pStyle w:val="TabEtichette"/>
            </w:pPr>
            <w:r w:rsidRPr="00565219">
              <w:t xml:space="preserve">  Economie avanzate</w:t>
            </w:r>
          </w:p>
        </w:tc>
        <w:tc>
          <w:tcPr>
            <w:tcW w:w="510" w:type="dxa"/>
            <w:shd w:val="clear" w:color="auto" w:fill="F2F2F2" w:themeFill="background1" w:themeFillShade="F2"/>
          </w:tcPr>
          <w:p w14:paraId="1BFA5234" w14:textId="77777777" w:rsidR="00B54C7D" w:rsidRPr="00AD3B7F" w:rsidRDefault="00B54C7D" w:rsidP="00BB2D64">
            <w:pPr>
              <w:pStyle w:val="TabNumeri"/>
            </w:pPr>
            <w:r w:rsidRPr="009C4851">
              <w:t>1,7</w:t>
            </w:r>
          </w:p>
        </w:tc>
        <w:tc>
          <w:tcPr>
            <w:tcW w:w="510" w:type="dxa"/>
            <w:shd w:val="clear" w:color="auto" w:fill="F2F2F2" w:themeFill="background1" w:themeFillShade="F2"/>
          </w:tcPr>
          <w:p w14:paraId="6D3066A3" w14:textId="77777777" w:rsidR="00B54C7D" w:rsidRPr="00AD3B7F" w:rsidRDefault="00B54C7D" w:rsidP="00BB2D64">
            <w:pPr>
              <w:pStyle w:val="TabNumeri"/>
            </w:pPr>
            <w:r w:rsidRPr="009C4851">
              <w:t>-11,5</w:t>
            </w:r>
          </w:p>
        </w:tc>
        <w:tc>
          <w:tcPr>
            <w:tcW w:w="510" w:type="dxa"/>
            <w:shd w:val="clear" w:color="auto" w:fill="F2F2F2" w:themeFill="background1" w:themeFillShade="F2"/>
          </w:tcPr>
          <w:p w14:paraId="74DE5B92" w14:textId="77777777" w:rsidR="00B54C7D" w:rsidRPr="00AD3B7F" w:rsidRDefault="00B54C7D" w:rsidP="00BB2D64">
            <w:pPr>
              <w:pStyle w:val="TabNumeri"/>
            </w:pPr>
            <w:r w:rsidRPr="009C4851">
              <w:t>7,3</w:t>
            </w:r>
          </w:p>
        </w:tc>
        <w:tc>
          <w:tcPr>
            <w:tcW w:w="340" w:type="dxa"/>
            <w:shd w:val="clear" w:color="auto" w:fill="F2F2F2" w:themeFill="background1" w:themeFillShade="F2"/>
          </w:tcPr>
          <w:p w14:paraId="116BE0A9" w14:textId="77777777" w:rsidR="00B54C7D" w:rsidRPr="00565219" w:rsidRDefault="00B54C7D" w:rsidP="00BB2D64">
            <w:pPr>
              <w:pStyle w:val="TabEtichette"/>
            </w:pPr>
          </w:p>
        </w:tc>
        <w:tc>
          <w:tcPr>
            <w:tcW w:w="2552" w:type="dxa"/>
            <w:shd w:val="clear" w:color="auto" w:fill="F2F2F2" w:themeFill="background1" w:themeFillShade="F2"/>
          </w:tcPr>
          <w:p w14:paraId="7296672B" w14:textId="77777777" w:rsidR="00B54C7D" w:rsidRPr="00565219" w:rsidRDefault="00B54C7D" w:rsidP="00BB2D64">
            <w:pPr>
              <w:pStyle w:val="TabEtichette"/>
            </w:pPr>
            <w:r w:rsidRPr="00565219">
              <w:t xml:space="preserve">  Economie avanzate</w:t>
            </w:r>
          </w:p>
        </w:tc>
        <w:tc>
          <w:tcPr>
            <w:tcW w:w="510" w:type="dxa"/>
            <w:shd w:val="clear" w:color="auto" w:fill="F2F2F2" w:themeFill="background1" w:themeFillShade="F2"/>
          </w:tcPr>
          <w:p w14:paraId="0F00CA2B" w14:textId="77777777" w:rsidR="00B54C7D" w:rsidRPr="00A449F6" w:rsidRDefault="00B54C7D" w:rsidP="00BB2D64">
            <w:pPr>
              <w:pStyle w:val="TabNumeri"/>
            </w:pPr>
            <w:r w:rsidRPr="00D77BE5">
              <w:t>1,3</w:t>
            </w:r>
          </w:p>
        </w:tc>
        <w:tc>
          <w:tcPr>
            <w:tcW w:w="510" w:type="dxa"/>
            <w:shd w:val="clear" w:color="auto" w:fill="F2F2F2" w:themeFill="background1" w:themeFillShade="F2"/>
          </w:tcPr>
          <w:p w14:paraId="2C589CAD" w14:textId="77777777" w:rsidR="00B54C7D" w:rsidRPr="00A449F6" w:rsidRDefault="00B54C7D" w:rsidP="00BB2D64">
            <w:pPr>
              <w:pStyle w:val="TabNumeri"/>
            </w:pPr>
            <w:r w:rsidRPr="00D77BE5">
              <w:t>-11,6</w:t>
            </w:r>
          </w:p>
        </w:tc>
        <w:tc>
          <w:tcPr>
            <w:tcW w:w="514" w:type="dxa"/>
            <w:shd w:val="clear" w:color="auto" w:fill="F2F2F2" w:themeFill="background1" w:themeFillShade="F2"/>
          </w:tcPr>
          <w:p w14:paraId="5E7F7682" w14:textId="77777777" w:rsidR="00B54C7D" w:rsidRPr="00A449F6" w:rsidRDefault="00B54C7D" w:rsidP="00BB2D64">
            <w:pPr>
              <w:pStyle w:val="TabNumeri"/>
            </w:pPr>
            <w:r w:rsidRPr="00D77BE5">
              <w:t>7,0</w:t>
            </w:r>
          </w:p>
        </w:tc>
      </w:tr>
      <w:tr w:rsidR="00B54C7D" w:rsidRPr="00BC2A0C" w14:paraId="6BA7A2C0" w14:textId="77777777" w:rsidTr="00BB2D64">
        <w:trPr>
          <w:cantSplit/>
          <w:trHeight w:val="255"/>
        </w:trPr>
        <w:tc>
          <w:tcPr>
            <w:tcW w:w="3402" w:type="dxa"/>
          </w:tcPr>
          <w:p w14:paraId="18E8A17D" w14:textId="77777777" w:rsidR="00B54C7D" w:rsidRPr="00565219" w:rsidRDefault="00B54C7D" w:rsidP="00BB2D64">
            <w:pPr>
              <w:pStyle w:val="TabEtichette"/>
            </w:pPr>
            <w:r w:rsidRPr="00565219">
              <w:t xml:space="preserve">  Economie emergenti e in sviluppo</w:t>
            </w:r>
          </w:p>
        </w:tc>
        <w:tc>
          <w:tcPr>
            <w:tcW w:w="510" w:type="dxa"/>
          </w:tcPr>
          <w:p w14:paraId="2F87F361" w14:textId="77777777" w:rsidR="00B54C7D" w:rsidRPr="00AD3B7F" w:rsidRDefault="00B54C7D" w:rsidP="00BB2D64">
            <w:pPr>
              <w:pStyle w:val="TabNumeri"/>
            </w:pPr>
            <w:r w:rsidRPr="009C4851">
              <w:t>-0,6</w:t>
            </w:r>
          </w:p>
        </w:tc>
        <w:tc>
          <w:tcPr>
            <w:tcW w:w="510" w:type="dxa"/>
          </w:tcPr>
          <w:p w14:paraId="0D90A835" w14:textId="77777777" w:rsidR="00B54C7D" w:rsidRPr="00AD3B7F" w:rsidRDefault="00B54C7D" w:rsidP="00BB2D64">
            <w:pPr>
              <w:pStyle w:val="TabNumeri"/>
            </w:pPr>
            <w:r w:rsidRPr="009C4851">
              <w:t>-9,4</w:t>
            </w:r>
          </w:p>
        </w:tc>
        <w:tc>
          <w:tcPr>
            <w:tcW w:w="510" w:type="dxa"/>
          </w:tcPr>
          <w:p w14:paraId="0191B62D" w14:textId="77777777" w:rsidR="00B54C7D" w:rsidRDefault="00B54C7D" w:rsidP="00BB2D64">
            <w:pPr>
              <w:pStyle w:val="TabNumeri"/>
            </w:pPr>
            <w:r w:rsidRPr="009C4851">
              <w:t>11,0</w:t>
            </w:r>
          </w:p>
        </w:tc>
        <w:tc>
          <w:tcPr>
            <w:tcW w:w="340" w:type="dxa"/>
          </w:tcPr>
          <w:p w14:paraId="4E06834F" w14:textId="77777777" w:rsidR="00B54C7D" w:rsidRPr="00565219" w:rsidRDefault="00B54C7D" w:rsidP="00BB2D64">
            <w:pPr>
              <w:pStyle w:val="TabEtichette"/>
            </w:pPr>
          </w:p>
        </w:tc>
        <w:tc>
          <w:tcPr>
            <w:tcW w:w="2552" w:type="dxa"/>
          </w:tcPr>
          <w:p w14:paraId="6AE858EC" w14:textId="77777777" w:rsidR="00B54C7D" w:rsidRPr="00565219" w:rsidRDefault="00B54C7D" w:rsidP="00BB2D64">
            <w:pPr>
              <w:pStyle w:val="TabEtichette"/>
            </w:pPr>
            <w:r w:rsidRPr="00565219">
              <w:t xml:space="preserve">  Economie emergenti e in sviluppo</w:t>
            </w:r>
          </w:p>
        </w:tc>
        <w:tc>
          <w:tcPr>
            <w:tcW w:w="510" w:type="dxa"/>
          </w:tcPr>
          <w:p w14:paraId="6EA83843" w14:textId="77777777" w:rsidR="00B54C7D" w:rsidRPr="00A449F6" w:rsidRDefault="00B54C7D" w:rsidP="00BB2D64">
            <w:pPr>
              <w:pStyle w:val="TabNumeri"/>
            </w:pPr>
            <w:r w:rsidRPr="00D77BE5">
              <w:t>0,9</w:t>
            </w:r>
          </w:p>
        </w:tc>
        <w:tc>
          <w:tcPr>
            <w:tcW w:w="510" w:type="dxa"/>
          </w:tcPr>
          <w:p w14:paraId="46835D26" w14:textId="77777777" w:rsidR="00B54C7D" w:rsidRPr="00A449F6" w:rsidRDefault="00B54C7D" w:rsidP="00BB2D64">
            <w:pPr>
              <w:pStyle w:val="TabNumeri"/>
            </w:pPr>
            <w:r w:rsidRPr="00D77BE5">
              <w:t>-7,7</w:t>
            </w:r>
          </w:p>
        </w:tc>
        <w:tc>
          <w:tcPr>
            <w:tcW w:w="514" w:type="dxa"/>
          </w:tcPr>
          <w:p w14:paraId="3899498E" w14:textId="77777777" w:rsidR="00B54C7D" w:rsidRDefault="00B54C7D" w:rsidP="00BB2D64">
            <w:pPr>
              <w:pStyle w:val="TabNumeri"/>
            </w:pPr>
            <w:r w:rsidRPr="00D77BE5">
              <w:t>9,5</w:t>
            </w:r>
          </w:p>
        </w:tc>
      </w:tr>
      <w:tr w:rsidR="00B54C7D" w:rsidRPr="00BC2A0C" w14:paraId="532D6CE3" w14:textId="77777777" w:rsidTr="00BB2D64">
        <w:trPr>
          <w:cantSplit/>
          <w:trHeight w:val="255"/>
        </w:trPr>
        <w:tc>
          <w:tcPr>
            <w:tcW w:w="9358" w:type="dxa"/>
            <w:gridSpan w:val="9"/>
            <w:shd w:val="clear" w:color="auto" w:fill="F2F2F2" w:themeFill="background1" w:themeFillShade="F2"/>
          </w:tcPr>
          <w:p w14:paraId="191B9B9C" w14:textId="77777777" w:rsidR="00B54C7D" w:rsidRPr="00565219" w:rsidRDefault="00B54C7D" w:rsidP="00BB2D64">
            <w:pPr>
              <w:pStyle w:val="TabIntestaSup"/>
            </w:pPr>
            <w:r w:rsidRPr="00565219">
              <w:t>Prezzi</w:t>
            </w:r>
          </w:p>
        </w:tc>
      </w:tr>
      <w:tr w:rsidR="00B54C7D" w:rsidRPr="00BC2A0C" w14:paraId="565FCD54" w14:textId="77777777" w:rsidTr="00BB2D64">
        <w:trPr>
          <w:cantSplit/>
          <w:trHeight w:val="255"/>
        </w:trPr>
        <w:tc>
          <w:tcPr>
            <w:tcW w:w="3402" w:type="dxa"/>
          </w:tcPr>
          <w:p w14:paraId="10B729AB" w14:textId="77777777" w:rsidR="00B54C7D" w:rsidRPr="00565219" w:rsidRDefault="00B54C7D" w:rsidP="00BB2D64">
            <w:pPr>
              <w:pStyle w:val="TabEtichette"/>
            </w:pPr>
            <w:r w:rsidRPr="00565219">
              <w:t xml:space="preserve">Prezzi materie prime (in </w:t>
            </w:r>
            <w:proofErr w:type="spellStart"/>
            <w:r w:rsidRPr="00565219">
              <w:t>Usd</w:t>
            </w:r>
            <w:proofErr w:type="spellEnd"/>
            <w:r w:rsidRPr="00565219">
              <w:t>)</w:t>
            </w:r>
          </w:p>
        </w:tc>
        <w:tc>
          <w:tcPr>
            <w:tcW w:w="510" w:type="dxa"/>
          </w:tcPr>
          <w:p w14:paraId="5DC6397F" w14:textId="77777777" w:rsidR="00B54C7D" w:rsidRPr="00565219" w:rsidRDefault="00B54C7D" w:rsidP="00BB2D64">
            <w:pPr>
              <w:pStyle w:val="TabNumeri"/>
            </w:pPr>
          </w:p>
        </w:tc>
        <w:tc>
          <w:tcPr>
            <w:tcW w:w="510" w:type="dxa"/>
          </w:tcPr>
          <w:p w14:paraId="189895B4" w14:textId="77777777" w:rsidR="00B54C7D" w:rsidRPr="00565219" w:rsidRDefault="00B54C7D" w:rsidP="00BB2D64">
            <w:pPr>
              <w:pStyle w:val="TabNumeri"/>
            </w:pPr>
          </w:p>
        </w:tc>
        <w:tc>
          <w:tcPr>
            <w:tcW w:w="510" w:type="dxa"/>
          </w:tcPr>
          <w:p w14:paraId="30B3E8B1" w14:textId="77777777" w:rsidR="00B54C7D" w:rsidRPr="00565219" w:rsidRDefault="00B54C7D" w:rsidP="00BB2D64">
            <w:pPr>
              <w:pStyle w:val="TabNumeri"/>
            </w:pPr>
          </w:p>
        </w:tc>
        <w:tc>
          <w:tcPr>
            <w:tcW w:w="340" w:type="dxa"/>
          </w:tcPr>
          <w:p w14:paraId="00F2A107" w14:textId="77777777" w:rsidR="00B54C7D" w:rsidRPr="00565219" w:rsidRDefault="00B54C7D" w:rsidP="00BB2D64">
            <w:pPr>
              <w:pStyle w:val="TabEtichette"/>
            </w:pPr>
          </w:p>
        </w:tc>
        <w:tc>
          <w:tcPr>
            <w:tcW w:w="2552" w:type="dxa"/>
          </w:tcPr>
          <w:p w14:paraId="77182B08" w14:textId="77777777" w:rsidR="00B54C7D" w:rsidRPr="00565219" w:rsidRDefault="00B54C7D" w:rsidP="00BB2D64">
            <w:pPr>
              <w:pStyle w:val="TabEtichette"/>
            </w:pPr>
            <w:r w:rsidRPr="00565219">
              <w:t>Prezzi al consumo</w:t>
            </w:r>
          </w:p>
        </w:tc>
        <w:tc>
          <w:tcPr>
            <w:tcW w:w="510" w:type="dxa"/>
          </w:tcPr>
          <w:p w14:paraId="7537D986" w14:textId="77777777" w:rsidR="00B54C7D" w:rsidRPr="00565219" w:rsidRDefault="00B54C7D" w:rsidP="00BB2D64">
            <w:pPr>
              <w:pStyle w:val="TabNumeri"/>
            </w:pPr>
          </w:p>
        </w:tc>
        <w:tc>
          <w:tcPr>
            <w:tcW w:w="510" w:type="dxa"/>
          </w:tcPr>
          <w:p w14:paraId="7AA0EC93" w14:textId="77777777" w:rsidR="00B54C7D" w:rsidRPr="00565219" w:rsidRDefault="00B54C7D" w:rsidP="00BB2D64">
            <w:pPr>
              <w:pStyle w:val="TabNumeri"/>
            </w:pPr>
          </w:p>
        </w:tc>
        <w:tc>
          <w:tcPr>
            <w:tcW w:w="514" w:type="dxa"/>
          </w:tcPr>
          <w:p w14:paraId="0AA0D032" w14:textId="77777777" w:rsidR="00B54C7D" w:rsidRPr="00565219" w:rsidRDefault="00B54C7D" w:rsidP="00BB2D64">
            <w:pPr>
              <w:pStyle w:val="TabNumeri"/>
            </w:pPr>
          </w:p>
        </w:tc>
      </w:tr>
      <w:tr w:rsidR="00B54C7D" w:rsidRPr="00BC2A0C" w14:paraId="4762A00F" w14:textId="77777777" w:rsidTr="00BB2D64">
        <w:trPr>
          <w:cantSplit/>
          <w:trHeight w:val="255"/>
        </w:trPr>
        <w:tc>
          <w:tcPr>
            <w:tcW w:w="3402" w:type="dxa"/>
            <w:shd w:val="clear" w:color="auto" w:fill="F2F2F2" w:themeFill="background1" w:themeFillShade="F2"/>
          </w:tcPr>
          <w:p w14:paraId="3454EE13" w14:textId="77777777" w:rsidR="00B54C7D" w:rsidRPr="00565219" w:rsidRDefault="00B54C7D" w:rsidP="00BB2D64">
            <w:pPr>
              <w:pStyle w:val="TabEtichette"/>
            </w:pPr>
            <w:r w:rsidRPr="00565219">
              <w:t xml:space="preserve"> - Petrolio (d)</w:t>
            </w:r>
          </w:p>
        </w:tc>
        <w:tc>
          <w:tcPr>
            <w:tcW w:w="510" w:type="dxa"/>
            <w:shd w:val="clear" w:color="auto" w:fill="F2F2F2" w:themeFill="background1" w:themeFillShade="F2"/>
          </w:tcPr>
          <w:p w14:paraId="393E3195" w14:textId="77777777" w:rsidR="00B54C7D" w:rsidRPr="005F79FD" w:rsidRDefault="00B54C7D" w:rsidP="00BB2D64">
            <w:pPr>
              <w:pStyle w:val="TabNumeri"/>
            </w:pPr>
            <w:r w:rsidRPr="00C121BF">
              <w:t>-10,2</w:t>
            </w:r>
          </w:p>
        </w:tc>
        <w:tc>
          <w:tcPr>
            <w:tcW w:w="510" w:type="dxa"/>
            <w:shd w:val="clear" w:color="auto" w:fill="F2F2F2" w:themeFill="background1" w:themeFillShade="F2"/>
          </w:tcPr>
          <w:p w14:paraId="22010370" w14:textId="77777777" w:rsidR="00B54C7D" w:rsidRPr="005F79FD" w:rsidRDefault="00B54C7D" w:rsidP="00BB2D64">
            <w:pPr>
              <w:pStyle w:val="TabNumeri"/>
            </w:pPr>
            <w:r w:rsidRPr="00C121BF">
              <w:t>-32,1</w:t>
            </w:r>
          </w:p>
        </w:tc>
        <w:tc>
          <w:tcPr>
            <w:tcW w:w="510" w:type="dxa"/>
            <w:shd w:val="clear" w:color="auto" w:fill="F2F2F2" w:themeFill="background1" w:themeFillShade="F2"/>
          </w:tcPr>
          <w:p w14:paraId="1BED9F27" w14:textId="77777777" w:rsidR="00B54C7D" w:rsidRPr="005F79FD" w:rsidRDefault="00B54C7D" w:rsidP="00BB2D64">
            <w:pPr>
              <w:pStyle w:val="TabNumeri"/>
            </w:pPr>
            <w:r w:rsidRPr="00C121BF">
              <w:t>12,0</w:t>
            </w:r>
          </w:p>
        </w:tc>
        <w:tc>
          <w:tcPr>
            <w:tcW w:w="340" w:type="dxa"/>
            <w:shd w:val="clear" w:color="auto" w:fill="F2F2F2" w:themeFill="background1" w:themeFillShade="F2"/>
          </w:tcPr>
          <w:p w14:paraId="05FF6F3E" w14:textId="77777777" w:rsidR="00B54C7D" w:rsidRPr="00565219" w:rsidRDefault="00B54C7D" w:rsidP="00BB2D64">
            <w:pPr>
              <w:pStyle w:val="TabEtichette"/>
            </w:pPr>
          </w:p>
        </w:tc>
        <w:tc>
          <w:tcPr>
            <w:tcW w:w="2552" w:type="dxa"/>
            <w:shd w:val="clear" w:color="auto" w:fill="F2F2F2" w:themeFill="background1" w:themeFillShade="F2"/>
          </w:tcPr>
          <w:p w14:paraId="335B495C" w14:textId="77777777" w:rsidR="00B54C7D" w:rsidRPr="00565219" w:rsidRDefault="00B54C7D" w:rsidP="00BB2D64">
            <w:pPr>
              <w:pStyle w:val="TabEtichette"/>
            </w:pPr>
            <w:r w:rsidRPr="00565219">
              <w:t xml:space="preserve">  Economie avanzate</w:t>
            </w:r>
          </w:p>
        </w:tc>
        <w:tc>
          <w:tcPr>
            <w:tcW w:w="510" w:type="dxa"/>
            <w:shd w:val="clear" w:color="auto" w:fill="F2F2F2" w:themeFill="background1" w:themeFillShade="F2"/>
          </w:tcPr>
          <w:p w14:paraId="501A0BDD" w14:textId="77777777" w:rsidR="00B54C7D" w:rsidRPr="001E31B0" w:rsidRDefault="00B54C7D" w:rsidP="00BB2D64">
            <w:pPr>
              <w:pStyle w:val="TabNumeri"/>
            </w:pPr>
            <w:r w:rsidRPr="006171D2">
              <w:t>1,4</w:t>
            </w:r>
          </w:p>
        </w:tc>
        <w:tc>
          <w:tcPr>
            <w:tcW w:w="510" w:type="dxa"/>
            <w:shd w:val="clear" w:color="auto" w:fill="F2F2F2" w:themeFill="background1" w:themeFillShade="F2"/>
          </w:tcPr>
          <w:p w14:paraId="1245F508" w14:textId="77777777" w:rsidR="00B54C7D" w:rsidRPr="001E31B0" w:rsidRDefault="00B54C7D" w:rsidP="00BB2D64">
            <w:pPr>
              <w:pStyle w:val="TabNumeri"/>
            </w:pPr>
            <w:r w:rsidRPr="006171D2">
              <w:t>0,8</w:t>
            </w:r>
          </w:p>
        </w:tc>
        <w:tc>
          <w:tcPr>
            <w:tcW w:w="514" w:type="dxa"/>
            <w:shd w:val="clear" w:color="auto" w:fill="F2F2F2" w:themeFill="background1" w:themeFillShade="F2"/>
          </w:tcPr>
          <w:p w14:paraId="20D5DBEC" w14:textId="77777777" w:rsidR="00B54C7D" w:rsidRPr="001E31B0" w:rsidRDefault="00B54C7D" w:rsidP="00BB2D64">
            <w:pPr>
              <w:pStyle w:val="TabNumeri"/>
            </w:pPr>
            <w:r w:rsidRPr="006171D2">
              <w:t>1,6</w:t>
            </w:r>
          </w:p>
        </w:tc>
      </w:tr>
      <w:tr w:rsidR="00B54C7D" w:rsidRPr="00BC2A0C" w14:paraId="158FCB61" w14:textId="77777777" w:rsidTr="00BB2D64">
        <w:trPr>
          <w:cantSplit/>
          <w:trHeight w:val="255"/>
        </w:trPr>
        <w:tc>
          <w:tcPr>
            <w:tcW w:w="3402" w:type="dxa"/>
          </w:tcPr>
          <w:p w14:paraId="2DA3498D" w14:textId="77777777" w:rsidR="00B54C7D" w:rsidRPr="00565219" w:rsidRDefault="00B54C7D" w:rsidP="00BB2D64">
            <w:pPr>
              <w:pStyle w:val="TabEtichette"/>
            </w:pPr>
            <w:r w:rsidRPr="00565219">
              <w:t xml:space="preserve"> - Materie prime non energetiche(e)</w:t>
            </w:r>
          </w:p>
        </w:tc>
        <w:tc>
          <w:tcPr>
            <w:tcW w:w="510" w:type="dxa"/>
          </w:tcPr>
          <w:p w14:paraId="6C49617D" w14:textId="77777777" w:rsidR="00B54C7D" w:rsidRPr="005F79FD" w:rsidRDefault="00B54C7D" w:rsidP="00BB2D64">
            <w:pPr>
              <w:pStyle w:val="TabNumeri"/>
            </w:pPr>
            <w:r w:rsidRPr="00C121BF">
              <w:t>0,8</w:t>
            </w:r>
          </w:p>
        </w:tc>
        <w:tc>
          <w:tcPr>
            <w:tcW w:w="510" w:type="dxa"/>
          </w:tcPr>
          <w:p w14:paraId="562DEC40" w14:textId="77777777" w:rsidR="00B54C7D" w:rsidRPr="005F79FD" w:rsidRDefault="00B54C7D" w:rsidP="00BB2D64">
            <w:pPr>
              <w:pStyle w:val="TabNumeri"/>
            </w:pPr>
            <w:r w:rsidRPr="00C121BF">
              <w:t>5,6</w:t>
            </w:r>
          </w:p>
        </w:tc>
        <w:tc>
          <w:tcPr>
            <w:tcW w:w="510" w:type="dxa"/>
          </w:tcPr>
          <w:p w14:paraId="3ACD2632" w14:textId="77777777" w:rsidR="00B54C7D" w:rsidRDefault="00B54C7D" w:rsidP="00BB2D64">
            <w:pPr>
              <w:pStyle w:val="TabNumeri"/>
            </w:pPr>
            <w:r w:rsidRPr="00C121BF">
              <w:t>5,1</w:t>
            </w:r>
          </w:p>
        </w:tc>
        <w:tc>
          <w:tcPr>
            <w:tcW w:w="340" w:type="dxa"/>
          </w:tcPr>
          <w:p w14:paraId="6B3F28EC" w14:textId="77777777" w:rsidR="00B54C7D" w:rsidRPr="00565219" w:rsidRDefault="00B54C7D" w:rsidP="00BB2D64">
            <w:pPr>
              <w:pStyle w:val="TabEtichette"/>
            </w:pPr>
          </w:p>
        </w:tc>
        <w:tc>
          <w:tcPr>
            <w:tcW w:w="2552" w:type="dxa"/>
          </w:tcPr>
          <w:p w14:paraId="7111E0FD" w14:textId="77777777" w:rsidR="00B54C7D" w:rsidRPr="00565219" w:rsidRDefault="00B54C7D" w:rsidP="00BB2D64">
            <w:pPr>
              <w:pStyle w:val="TabEtichette"/>
            </w:pPr>
            <w:r w:rsidRPr="00565219">
              <w:t xml:space="preserve">  Economie emergenti e in sviluppo</w:t>
            </w:r>
          </w:p>
        </w:tc>
        <w:tc>
          <w:tcPr>
            <w:tcW w:w="510" w:type="dxa"/>
          </w:tcPr>
          <w:p w14:paraId="55F14278" w14:textId="77777777" w:rsidR="00B54C7D" w:rsidRPr="001E31B0" w:rsidRDefault="00B54C7D" w:rsidP="00BB2D64">
            <w:pPr>
              <w:pStyle w:val="TabNumeri"/>
            </w:pPr>
            <w:r w:rsidRPr="006171D2">
              <w:t>5,1</w:t>
            </w:r>
          </w:p>
        </w:tc>
        <w:tc>
          <w:tcPr>
            <w:tcW w:w="510" w:type="dxa"/>
          </w:tcPr>
          <w:p w14:paraId="238FD97A" w14:textId="77777777" w:rsidR="00B54C7D" w:rsidRPr="001E31B0" w:rsidRDefault="00B54C7D" w:rsidP="00BB2D64">
            <w:pPr>
              <w:pStyle w:val="TabNumeri"/>
            </w:pPr>
            <w:r w:rsidRPr="006171D2">
              <w:t>5,0</w:t>
            </w:r>
          </w:p>
        </w:tc>
        <w:tc>
          <w:tcPr>
            <w:tcW w:w="514" w:type="dxa"/>
          </w:tcPr>
          <w:p w14:paraId="6096D5AA" w14:textId="77777777" w:rsidR="00B54C7D" w:rsidRDefault="00B54C7D" w:rsidP="00BB2D64">
            <w:pPr>
              <w:pStyle w:val="TabNumeri"/>
            </w:pPr>
            <w:r w:rsidRPr="006171D2">
              <w:t>4,7</w:t>
            </w:r>
          </w:p>
        </w:tc>
      </w:tr>
      <w:tr w:rsidR="00B54C7D" w:rsidRPr="00BC2A0C" w14:paraId="0AC30CC5" w14:textId="77777777" w:rsidTr="00BB2D64">
        <w:trPr>
          <w:cantSplit/>
          <w:trHeight w:val="255"/>
        </w:trPr>
        <w:tc>
          <w:tcPr>
            <w:tcW w:w="9358" w:type="dxa"/>
            <w:gridSpan w:val="9"/>
            <w:shd w:val="clear" w:color="auto" w:fill="F2F2F2" w:themeFill="background1" w:themeFillShade="F2"/>
          </w:tcPr>
          <w:p w14:paraId="4879FBF0" w14:textId="77777777" w:rsidR="00B54C7D" w:rsidRPr="00565219" w:rsidRDefault="00B54C7D" w:rsidP="00BB2D64">
            <w:pPr>
              <w:pStyle w:val="TabIntestaSup"/>
            </w:pPr>
            <w:r w:rsidRPr="00565219">
              <w:t>Libor su depositi in (f)</w:t>
            </w:r>
          </w:p>
        </w:tc>
      </w:tr>
      <w:tr w:rsidR="00B54C7D" w:rsidRPr="00BC2A0C" w14:paraId="2BEFEBA4" w14:textId="77777777" w:rsidTr="00BB2D64">
        <w:trPr>
          <w:cantSplit/>
          <w:trHeight w:val="255"/>
        </w:trPr>
        <w:tc>
          <w:tcPr>
            <w:tcW w:w="3402" w:type="dxa"/>
            <w:shd w:val="clear" w:color="auto" w:fill="auto"/>
          </w:tcPr>
          <w:p w14:paraId="77CD883A" w14:textId="77777777" w:rsidR="00B54C7D" w:rsidRPr="00565219" w:rsidRDefault="00B54C7D" w:rsidP="00BB2D64">
            <w:pPr>
              <w:pStyle w:val="TabEtichette"/>
            </w:pPr>
            <w:r w:rsidRPr="00565219">
              <w:t>Dollari Usa</w:t>
            </w:r>
          </w:p>
        </w:tc>
        <w:tc>
          <w:tcPr>
            <w:tcW w:w="510" w:type="dxa"/>
            <w:shd w:val="clear" w:color="auto" w:fill="auto"/>
          </w:tcPr>
          <w:p w14:paraId="22F00EC9" w14:textId="77777777" w:rsidR="00B54C7D" w:rsidRPr="006F44B9" w:rsidRDefault="00B54C7D" w:rsidP="00BB2D64">
            <w:pPr>
              <w:pStyle w:val="TabNumeri"/>
            </w:pPr>
            <w:r w:rsidRPr="00256A88">
              <w:t>2,3</w:t>
            </w:r>
          </w:p>
        </w:tc>
        <w:tc>
          <w:tcPr>
            <w:tcW w:w="510" w:type="dxa"/>
            <w:shd w:val="clear" w:color="auto" w:fill="auto"/>
          </w:tcPr>
          <w:p w14:paraId="6E73F648" w14:textId="77777777" w:rsidR="00B54C7D" w:rsidRPr="006F44B9" w:rsidRDefault="00B54C7D" w:rsidP="00BB2D64">
            <w:pPr>
              <w:pStyle w:val="TabNumeri"/>
            </w:pPr>
            <w:r w:rsidRPr="00256A88">
              <w:t>0,7</w:t>
            </w:r>
          </w:p>
        </w:tc>
        <w:tc>
          <w:tcPr>
            <w:tcW w:w="510" w:type="dxa"/>
            <w:shd w:val="clear" w:color="auto" w:fill="auto"/>
          </w:tcPr>
          <w:p w14:paraId="71BC0A03" w14:textId="77777777" w:rsidR="00B54C7D" w:rsidRPr="006F44B9" w:rsidRDefault="00B54C7D" w:rsidP="00BB2D64">
            <w:pPr>
              <w:pStyle w:val="TabNumeri"/>
            </w:pPr>
            <w:r w:rsidRPr="00256A88">
              <w:t>0,4</w:t>
            </w:r>
          </w:p>
        </w:tc>
        <w:tc>
          <w:tcPr>
            <w:tcW w:w="340" w:type="dxa"/>
            <w:shd w:val="clear" w:color="auto" w:fill="auto"/>
          </w:tcPr>
          <w:p w14:paraId="55D8F79F" w14:textId="77777777" w:rsidR="00B54C7D" w:rsidRPr="00565219" w:rsidRDefault="00B54C7D" w:rsidP="00BB2D64">
            <w:pPr>
              <w:pStyle w:val="TabEtichette"/>
            </w:pPr>
          </w:p>
        </w:tc>
        <w:tc>
          <w:tcPr>
            <w:tcW w:w="2552" w:type="dxa"/>
            <w:shd w:val="clear" w:color="auto" w:fill="auto"/>
          </w:tcPr>
          <w:p w14:paraId="7FA06334" w14:textId="77777777" w:rsidR="00B54C7D" w:rsidRPr="00565219" w:rsidRDefault="00B54C7D" w:rsidP="00BB2D64">
            <w:pPr>
              <w:pStyle w:val="TabEtichette"/>
            </w:pPr>
            <w:r w:rsidRPr="00565219">
              <w:t>Yen</w:t>
            </w:r>
          </w:p>
        </w:tc>
        <w:tc>
          <w:tcPr>
            <w:tcW w:w="510" w:type="dxa"/>
            <w:shd w:val="clear" w:color="auto" w:fill="auto"/>
          </w:tcPr>
          <w:p w14:paraId="470AB6EE" w14:textId="77777777" w:rsidR="00B54C7D" w:rsidRPr="00565219" w:rsidRDefault="00B54C7D" w:rsidP="00BB2D64">
            <w:pPr>
              <w:pStyle w:val="TabNumeri"/>
            </w:pPr>
            <w:r w:rsidRPr="00565219">
              <w:t>0,0</w:t>
            </w:r>
          </w:p>
        </w:tc>
        <w:tc>
          <w:tcPr>
            <w:tcW w:w="510" w:type="dxa"/>
            <w:shd w:val="clear" w:color="auto" w:fill="auto"/>
          </w:tcPr>
          <w:p w14:paraId="011897D0" w14:textId="77777777" w:rsidR="00B54C7D" w:rsidRPr="00565219" w:rsidRDefault="00B54C7D" w:rsidP="00BB2D64">
            <w:pPr>
              <w:pStyle w:val="TabNumeri"/>
            </w:pPr>
            <w:r w:rsidRPr="00565219">
              <w:t>0,0</w:t>
            </w:r>
          </w:p>
        </w:tc>
        <w:tc>
          <w:tcPr>
            <w:tcW w:w="514" w:type="dxa"/>
            <w:shd w:val="clear" w:color="auto" w:fill="auto"/>
          </w:tcPr>
          <w:p w14:paraId="2784C7C0" w14:textId="77777777" w:rsidR="00B54C7D" w:rsidRPr="00565219" w:rsidRDefault="00B54C7D" w:rsidP="00BB2D64">
            <w:pPr>
              <w:pStyle w:val="TabNumeri"/>
            </w:pPr>
            <w:r>
              <w:t>-</w:t>
            </w:r>
            <w:r w:rsidRPr="00565219">
              <w:t>0,1</w:t>
            </w:r>
          </w:p>
        </w:tc>
      </w:tr>
      <w:tr w:rsidR="00B54C7D" w:rsidRPr="00BC2A0C" w14:paraId="6C96EB26" w14:textId="77777777" w:rsidTr="00BB2D64">
        <w:trPr>
          <w:cantSplit/>
          <w:trHeight w:val="255"/>
        </w:trPr>
        <w:tc>
          <w:tcPr>
            <w:tcW w:w="3402" w:type="dxa"/>
            <w:shd w:val="clear" w:color="auto" w:fill="F2F2F2" w:themeFill="background1" w:themeFillShade="F2"/>
          </w:tcPr>
          <w:p w14:paraId="2E2FBE38" w14:textId="77777777" w:rsidR="00B54C7D" w:rsidRPr="00565219" w:rsidRDefault="00B54C7D" w:rsidP="00BB2D64">
            <w:pPr>
              <w:pStyle w:val="TabEtichette"/>
            </w:pPr>
            <w:r w:rsidRPr="00565219">
              <w:t>Euro</w:t>
            </w:r>
          </w:p>
        </w:tc>
        <w:tc>
          <w:tcPr>
            <w:tcW w:w="510" w:type="dxa"/>
            <w:shd w:val="clear" w:color="auto" w:fill="F2F2F2" w:themeFill="background1" w:themeFillShade="F2"/>
          </w:tcPr>
          <w:p w14:paraId="78A13F0C" w14:textId="77777777" w:rsidR="00B54C7D" w:rsidRPr="006F44B9" w:rsidRDefault="00B54C7D" w:rsidP="00BB2D64">
            <w:pPr>
              <w:pStyle w:val="TabNumeri"/>
            </w:pPr>
            <w:r w:rsidRPr="00256A88">
              <w:t>-0,4</w:t>
            </w:r>
          </w:p>
        </w:tc>
        <w:tc>
          <w:tcPr>
            <w:tcW w:w="510" w:type="dxa"/>
            <w:shd w:val="clear" w:color="auto" w:fill="F2F2F2" w:themeFill="background1" w:themeFillShade="F2"/>
          </w:tcPr>
          <w:p w14:paraId="5CFCA99A" w14:textId="77777777" w:rsidR="00B54C7D" w:rsidRPr="006F44B9" w:rsidRDefault="00B54C7D" w:rsidP="00BB2D64">
            <w:pPr>
              <w:pStyle w:val="TabNumeri"/>
            </w:pPr>
            <w:r w:rsidRPr="00256A88">
              <w:t>-0,4</w:t>
            </w:r>
          </w:p>
        </w:tc>
        <w:tc>
          <w:tcPr>
            <w:tcW w:w="510" w:type="dxa"/>
            <w:shd w:val="clear" w:color="auto" w:fill="F2F2F2" w:themeFill="background1" w:themeFillShade="F2"/>
          </w:tcPr>
          <w:p w14:paraId="6403734D" w14:textId="77777777" w:rsidR="00B54C7D" w:rsidRDefault="00B54C7D" w:rsidP="00BB2D64">
            <w:pPr>
              <w:pStyle w:val="TabNumeri"/>
            </w:pPr>
            <w:r w:rsidRPr="00256A88">
              <w:t>-0,5</w:t>
            </w:r>
          </w:p>
        </w:tc>
        <w:tc>
          <w:tcPr>
            <w:tcW w:w="340" w:type="dxa"/>
            <w:shd w:val="clear" w:color="auto" w:fill="F2F2F2" w:themeFill="background1" w:themeFillShade="F2"/>
          </w:tcPr>
          <w:p w14:paraId="736B4290" w14:textId="77777777" w:rsidR="00B54C7D" w:rsidRPr="00565219" w:rsidRDefault="00B54C7D" w:rsidP="00BB2D64">
            <w:pPr>
              <w:pStyle w:val="TabEtichette"/>
            </w:pPr>
          </w:p>
        </w:tc>
        <w:tc>
          <w:tcPr>
            <w:tcW w:w="2552" w:type="dxa"/>
            <w:shd w:val="clear" w:color="auto" w:fill="F2F2F2" w:themeFill="background1" w:themeFillShade="F2"/>
          </w:tcPr>
          <w:p w14:paraId="74E5763C" w14:textId="77777777" w:rsidR="00B54C7D" w:rsidRPr="00565219" w:rsidRDefault="00B54C7D" w:rsidP="00BB2D64">
            <w:pPr>
              <w:pStyle w:val="TabEtichette"/>
            </w:pPr>
          </w:p>
        </w:tc>
        <w:tc>
          <w:tcPr>
            <w:tcW w:w="510" w:type="dxa"/>
            <w:shd w:val="clear" w:color="auto" w:fill="F2F2F2" w:themeFill="background1" w:themeFillShade="F2"/>
          </w:tcPr>
          <w:p w14:paraId="21F5D99B" w14:textId="77777777" w:rsidR="00B54C7D" w:rsidRPr="00565219" w:rsidRDefault="00B54C7D" w:rsidP="00BB2D64">
            <w:pPr>
              <w:pStyle w:val="TabNumeri"/>
            </w:pPr>
          </w:p>
        </w:tc>
        <w:tc>
          <w:tcPr>
            <w:tcW w:w="510" w:type="dxa"/>
            <w:shd w:val="clear" w:color="auto" w:fill="F2F2F2" w:themeFill="background1" w:themeFillShade="F2"/>
          </w:tcPr>
          <w:p w14:paraId="6FA9C1E2" w14:textId="77777777" w:rsidR="00B54C7D" w:rsidRPr="00565219" w:rsidRDefault="00B54C7D" w:rsidP="00BB2D64">
            <w:pPr>
              <w:pStyle w:val="TabNumeri"/>
            </w:pPr>
          </w:p>
        </w:tc>
        <w:tc>
          <w:tcPr>
            <w:tcW w:w="514" w:type="dxa"/>
            <w:shd w:val="clear" w:color="auto" w:fill="F2F2F2" w:themeFill="background1" w:themeFillShade="F2"/>
          </w:tcPr>
          <w:p w14:paraId="5E7FEC3E" w14:textId="77777777" w:rsidR="00B54C7D" w:rsidRPr="00565219" w:rsidRDefault="00B54C7D" w:rsidP="00BB2D64">
            <w:pPr>
              <w:pStyle w:val="TabNumeri"/>
            </w:pPr>
          </w:p>
        </w:tc>
      </w:tr>
      <w:tr w:rsidR="00B54C7D" w:rsidRPr="009A02B1" w14:paraId="7802226E" w14:textId="77777777" w:rsidTr="00BB2D64">
        <w:trPr>
          <w:cantSplit/>
        </w:trPr>
        <w:tc>
          <w:tcPr>
            <w:tcW w:w="9358" w:type="dxa"/>
            <w:gridSpan w:val="9"/>
            <w:tcBorders>
              <w:top w:val="single" w:sz="4" w:space="0" w:color="800000"/>
            </w:tcBorders>
          </w:tcPr>
          <w:p w14:paraId="74C80ED5" w14:textId="77777777" w:rsidR="00B54C7D" w:rsidRPr="002A4A23" w:rsidRDefault="00B54C7D" w:rsidP="00BB2D64">
            <w:pPr>
              <w:pStyle w:val="TabNoteSuperiori"/>
            </w:pPr>
            <w:r>
              <w:t>(</w:t>
            </w: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Conventions.</w:t>
            </w:r>
            <w:r w:rsidRPr="00BC2A0C">
              <w:t xml:space="preserve"> (b) Tasso di variazione percentuale sul periodo precedente. (c) Beni e servizi in volume. (d) Media dei prezzi spot del petrolio greggio Brent, Dubai e West Texas Intermediate. (e) Media dei prezzi mondiali delle materie prime non </w:t>
            </w:r>
            <w:proofErr w:type="spellStart"/>
            <w:r w:rsidRPr="00BC2A0C">
              <w:t>fuel</w:t>
            </w:r>
            <w:proofErr w:type="spellEnd"/>
            <w:r w:rsidRPr="00BC2A0C">
              <w:t xml:space="preserve"> (energia) pesata per la loro quota media delle esportazioni di materie prime. (f) LIBOR (London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percentuale: a) sui depositi a 6 mesi in U.S.$; sui depositi a 6 mesi in yen; sui depositi a 3 mesi in euro. </w:t>
            </w:r>
          </w:p>
          <w:p w14:paraId="39EDEF4D" w14:textId="77777777" w:rsidR="00B54C7D" w:rsidRPr="00BC2A0C" w:rsidRDefault="00B54C7D" w:rsidP="00BB2D64">
            <w:pPr>
              <w:pStyle w:val="TabNoteSuperiori"/>
              <w:rPr>
                <w:lang w:val="en-US"/>
              </w:rPr>
            </w:pPr>
            <w:r w:rsidRPr="00BC2A0C">
              <w:rPr>
                <w:lang w:val="en-GB"/>
              </w:rPr>
              <w:t>IMF, World Economic Outl</w:t>
            </w:r>
            <w:r>
              <w:rPr>
                <w:lang w:val="en-GB"/>
              </w:rPr>
              <w:t xml:space="preserve">ook, </w:t>
            </w:r>
            <w:r w:rsidRPr="00DD0CFC">
              <w:rPr>
                <w:lang w:val="en-GB"/>
              </w:rPr>
              <w:t xml:space="preserve">07 </w:t>
            </w:r>
            <w:proofErr w:type="spellStart"/>
            <w:r w:rsidRPr="00DD0CFC">
              <w:rPr>
                <w:lang w:val="en-GB"/>
              </w:rPr>
              <w:t>ottobre</w:t>
            </w:r>
            <w:proofErr w:type="spellEnd"/>
            <w:r w:rsidRPr="00DD0CFC">
              <w:rPr>
                <w:lang w:val="en-GB"/>
              </w:rPr>
              <w:t xml:space="preserve"> 2020</w:t>
            </w:r>
          </w:p>
        </w:tc>
      </w:tr>
    </w:tbl>
    <w:p w14:paraId="20B7BDC6" w14:textId="77777777" w:rsidR="00B16BA6" w:rsidRDefault="00B16BA6" w:rsidP="00B16BA6">
      <w:r>
        <w:t xml:space="preserve">A seguito della pandemia da coronavirus, l’economia mondiale sta sperimentando la più intensa recessione dalla Grande depressione degli anni 30 dello scorso secolo, contenuta dagli interventi normativi e di politica fiscale e monetaria adottati in tutto il mondo. </w:t>
      </w:r>
    </w:p>
    <w:p w14:paraId="43F81944" w14:textId="77777777" w:rsidR="00B16BA6" w:rsidRDefault="00B16BA6" w:rsidP="00B16BA6">
      <w:r>
        <w:t xml:space="preserve">La politica economica mira a contenere gli effetti della caduta dell’attività su famiglie, imprese e sistemi finanziari. In particolare, la politica fiscale si è fatta carico di sostenere i redditi delle famiglie e le attività economiche per limitare la crescita della disoccupazione e della povertà, salvaguardare le strutture produttive e favorire la ripresa. Riguardo alle politiche monetarie, le banche centrali sono intervenute con riduzioni dei tassi, misure per garantire la liquidità sui mercati domestici e internazionali, acquisti diretti di titoli e con la comunicazione per sostenere aspettative di tassi di interesse di intervento bassi per un periodo molto lungo. </w:t>
      </w:r>
    </w:p>
    <w:p w14:paraId="1FEE125B" w14:textId="77777777" w:rsidR="00B16BA6" w:rsidRDefault="00B16BA6" w:rsidP="00B16BA6">
      <w:r>
        <w:t xml:space="preserve">Lo scenario è soggetto a notevoli incertezze. Le conseguenze della pandemia colpiscono sia la domanda, sia l’offerta, ne risentono con tempi </w:t>
      </w:r>
      <w:proofErr w:type="gramStart"/>
      <w:r>
        <w:t>e</w:t>
      </w:r>
      <w:proofErr w:type="gramEnd"/>
      <w:r>
        <w:t xml:space="preserve"> effetti differenziati i paesi e i settori, le filiere produttive globali e il commercio mondiale. </w:t>
      </w:r>
    </w:p>
    <w:p w14:paraId="0B42FFEF" w14:textId="77777777" w:rsidR="00B16BA6" w:rsidRDefault="00B16BA6" w:rsidP="00B16BA6">
      <w:r>
        <w:t xml:space="preserve">La crisi avrà lunghi strascichi sull’economia mondiale. La ripresa sarà lunga, non equilibrata e incerta e richiederà un’ampia cooperazione internazionale. Il reddito disponibile arretra, la capacità produttiva si </w:t>
      </w:r>
      <w:r>
        <w:lastRenderedPageBreak/>
        <w:t>riduce, così come la produttività, per la distorsione e la revisione delle catene di fornitura. Si imporranno riallocazioni di risorse tra settori e paesi. Nonostante i sostegni all’occupazione e alla riallocazione dei lavoratori, la durata della crisi metterà a rischio milioni di posti di lavoro. Il livello di indebitamento nel sistema sale notevolmente, con il rischio di crisi del debito a livello mondiale, fughe verso la liquidità, moratorie e ristrutturazioni del debito dei paesi in difficoltà. Per assicurare la sostenibilità dei debiti sovrani, nel medio termine i governi dovranno aumentare la progressività dell’imposizione e ridurre l’elusione da parte delle grandi società. Occorre evitare che crisi sanitaria ed economica generino una crisi finanziaria.</w:t>
      </w:r>
    </w:p>
    <w:tbl>
      <w:tblPr>
        <w:tblStyle w:val="Grigliatabella"/>
        <w:tblpPr w:topFromText="425" w:bottomFromText="425"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B54C7D" w:rsidRPr="002B550F" w14:paraId="4D32914A" w14:textId="77777777" w:rsidTr="00BB2D64">
        <w:tc>
          <w:tcPr>
            <w:tcW w:w="9356" w:type="dxa"/>
          </w:tcPr>
          <w:p w14:paraId="2A6704DE" w14:textId="77777777" w:rsidR="00B54C7D" w:rsidRPr="002B550F" w:rsidRDefault="00B54C7D" w:rsidP="00BB2D64">
            <w:pPr>
              <w:pStyle w:val="FigTitolo"/>
            </w:pPr>
            <w:r w:rsidRPr="002B550F">
              <w:t>La previsione del</w:t>
            </w:r>
            <w:r>
              <w:t xml:space="preserve">l’Ocse, </w:t>
            </w:r>
            <w:r w:rsidRPr="002B550F">
              <w:t xml:space="preserve">tasso di variazione del </w:t>
            </w:r>
            <w:r>
              <w:t>p</w:t>
            </w:r>
            <w:r w:rsidRPr="002B550F">
              <w:t>rodotto interno lordo</w:t>
            </w:r>
          </w:p>
        </w:tc>
      </w:tr>
      <w:tr w:rsidR="00B54C7D" w:rsidRPr="002B550F" w14:paraId="208C3BC5" w14:textId="77777777" w:rsidTr="00BB2D64">
        <w:tc>
          <w:tcPr>
            <w:tcW w:w="9356" w:type="dxa"/>
          </w:tcPr>
          <w:p w14:paraId="27FC9927" w14:textId="77777777" w:rsidR="00B54C7D" w:rsidRPr="004C3A94" w:rsidRDefault="00B54C7D" w:rsidP="00BB2D64">
            <w:pPr>
              <w:pStyle w:val="Figure"/>
            </w:pPr>
            <w:r w:rsidRPr="00C346C5">
              <w:rPr>
                <w:noProof/>
              </w:rPr>
              <w:drawing>
                <wp:inline distT="0" distB="0" distL="0" distR="0" wp14:anchorId="40533039" wp14:editId="526DE3FB">
                  <wp:extent cx="5626100" cy="16573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6100" cy="1657350"/>
                          </a:xfrm>
                          <a:prstGeom prst="rect">
                            <a:avLst/>
                          </a:prstGeom>
                          <a:noFill/>
                          <a:ln>
                            <a:noFill/>
                          </a:ln>
                        </pic:spPr>
                      </pic:pic>
                    </a:graphicData>
                  </a:graphic>
                </wp:inline>
              </w:drawing>
            </w:r>
          </w:p>
        </w:tc>
      </w:tr>
      <w:tr w:rsidR="00B54C7D" w:rsidRPr="00BC439F" w14:paraId="5BA0BBD8" w14:textId="77777777" w:rsidTr="00BB2D64">
        <w:tc>
          <w:tcPr>
            <w:tcW w:w="9356" w:type="dxa"/>
          </w:tcPr>
          <w:p w14:paraId="3EDDBCCC" w14:textId="77777777" w:rsidR="00B54C7D" w:rsidRPr="00DD0CFC" w:rsidRDefault="00B54C7D" w:rsidP="00BB2D64">
            <w:pPr>
              <w:pStyle w:val="TabNoteSuperiori"/>
              <w:rPr>
                <w:lang w:val="en-US"/>
              </w:rPr>
            </w:pPr>
            <w:r w:rsidRPr="00DD0CFC">
              <w:rPr>
                <w:lang w:val="en-US"/>
              </w:rPr>
              <w:t xml:space="preserve">Fonte: </w:t>
            </w:r>
            <w:proofErr w:type="spellStart"/>
            <w:r w:rsidRPr="00DD0CFC">
              <w:rPr>
                <w:lang w:val="en-US"/>
              </w:rPr>
              <w:t>Oecd</w:t>
            </w:r>
            <w:proofErr w:type="spellEnd"/>
            <w:r w:rsidRPr="00DD0CFC">
              <w:rPr>
                <w:lang w:val="en-US"/>
              </w:rPr>
              <w:t xml:space="preserve">, Economic Outlook, 02 </w:t>
            </w:r>
            <w:proofErr w:type="spellStart"/>
            <w:r w:rsidRPr="00DD0CFC">
              <w:rPr>
                <w:lang w:val="en-US"/>
              </w:rPr>
              <w:t>dicembre</w:t>
            </w:r>
            <w:proofErr w:type="spellEnd"/>
            <w:r w:rsidRPr="00DD0CFC">
              <w:rPr>
                <w:lang w:val="en-US"/>
              </w:rPr>
              <w:t xml:space="preserve"> 2020</w:t>
            </w:r>
          </w:p>
        </w:tc>
      </w:tr>
    </w:tbl>
    <w:p w14:paraId="24612341" w14:textId="77777777" w:rsidR="00B16BA6" w:rsidRDefault="00B16BA6" w:rsidP="00B16BA6">
      <w:r>
        <w:t>Ma decine di milioni di persone subiranno un notevole impoverimento. L’incidenza della povertà estrema è salita per la prima volta da due decenni e le diseguaglianze tenderanno ad aumentare tra paesi e all’interno dei paesi tra piccole e grandi imprese, uomini e donne, lavoratori garantiti e precari, tra classi sociali e per livello di educazione.</w:t>
      </w:r>
    </w:p>
    <w:p w14:paraId="3D924DA1" w14:textId="77777777" w:rsidR="00B16BA6" w:rsidRDefault="00B16BA6" w:rsidP="00B16BA6">
      <w:r>
        <w:t>La ripresa resta soggetta a possibili rovesci e dopo un rimbalzo nel 2021 la crescita sarà moderata. Il Fondo monetario internazionale a inizio ottobre riteneva che il commercio mondiale dovesse contrarsi bruscamente del 10,4 per cento nel 2020, per riprendersi parzialmente nel 2021 (+8,3 per cento) e che l’attività economica mondiale dovesse affrontare una forte recessione nel 2020 (-4,4 per cento), seguita però da un netto rimbalzo nel 2021 (+5,2 per cento). Nella previsione dell’Ocse di dicembre il prodotto mondiale si ridurrà del 4,2 per cento nel 2020, per recuperare poi il 4,2 per cento nel 2021. La tendenza differirà marcatamente tra le principali economie. I paesi con un efficace sistema di test, tracciamento e isolamento realizzeranno i migliori risultati dall’avvio della pandemia.  Dopo la caduta del 10,3 per cento subita nel 2020, il commercio mondiale avrà solo una parziale ripresa nel 2021 (-3,9 per cento).</w:t>
      </w:r>
    </w:p>
    <w:p w14:paraId="30B8EB3C" w14:textId="77777777" w:rsidR="00B16BA6" w:rsidRDefault="00B16BA6" w:rsidP="00B16BA6">
      <w:r>
        <w:t xml:space="preserve">Secondo l’Ocse, negli Stati Uniti la recessione dovrebbe toccare il 3,7 per cento nel 2020 </w:t>
      </w:r>
      <w:proofErr w:type="gramStart"/>
      <w:r>
        <w:t>e</w:t>
      </w:r>
      <w:proofErr w:type="gramEnd"/>
      <w:r>
        <w:t xml:space="preserve"> essere seguita da una parziale ripresa nel 2021 (+3,2 per cento). La disoccupazione salirà dal 3,7 all’8,1 per cento nel 2020 e dovrebbe ridursi solo gradualmente negli anni, al 6,1 per cento nel 2021, restando a lungo al di sopra dei livelli </w:t>
      </w:r>
      <w:proofErr w:type="spellStart"/>
      <w:r>
        <w:t>pre-covid</w:t>
      </w:r>
      <w:proofErr w:type="spellEnd"/>
      <w:r>
        <w:t>.</w:t>
      </w:r>
    </w:p>
    <w:p w14:paraId="41253D28" w14:textId="77777777" w:rsidR="00B16BA6" w:rsidRPr="00743AA0" w:rsidRDefault="00B16BA6" w:rsidP="00B16BA6">
      <w:pPr>
        <w:rPr>
          <w:highlight w:val="green"/>
        </w:rPr>
      </w:pPr>
      <w:r>
        <w:t xml:space="preserve">Con una ripresa a “V” successiva alla caduta del primo trimestre, l’andamento del Pil in Cina rimarrà positivo anche nel 2020, seppure con una crescita contenuta (+1,8 per cento), per accelerare decisamente nel 2021 giungendo all’8,0 per cento. Il livello dell’indebitamento si è però notevolmente accresciuto. Il Giappone sta sperimentando la più profonda recessione dal dopoguerra che ridurrà il Pil del 5,3 per cento nel 2020 e nel 2021 la ripresa non dovrebbe andare oltre il 2,3 per cento. </w:t>
      </w:r>
    </w:p>
    <w:p w14:paraId="0F8E9D9D" w14:textId="6C51C70F" w:rsidR="00C43F0D" w:rsidRPr="00DB2CF9" w:rsidRDefault="00C43F0D" w:rsidP="00C43F0D">
      <w:pPr>
        <w:pStyle w:val="Titolo2"/>
      </w:pPr>
      <w:r>
        <w:t>L’a</w:t>
      </w:r>
      <w:r w:rsidRPr="00DB2CF9">
        <w:t>rea dell’euro</w:t>
      </w:r>
    </w:p>
    <w:p w14:paraId="2F86550E" w14:textId="77777777" w:rsidR="00B16BA6" w:rsidRDefault="00B16BA6" w:rsidP="00B16BA6">
      <w:r>
        <w:t>Dopo la più lunga fase di espansione economica sperimentata nell’area dell’euro dall’introduzione della moneta comune, la pandemia da Coronavirus ha condotto alla più profonda recessione della sua storia.</w:t>
      </w:r>
    </w:p>
    <w:p w14:paraId="4F79B5A7" w14:textId="77777777" w:rsidR="00B16BA6" w:rsidRDefault="00B16BA6" w:rsidP="00B16BA6">
      <w:r>
        <w:t xml:space="preserve">Le proiezioni della Banca centrale europea di dicembre si fondano su uno scenario di mantenimento delle misure di contenimento applicate nel quarto trimestre del 2020 anche nel primo trimestre del 2021 e di una graduale risoluzione della crisi sanitaria per i primi mesi del 2022. Si ipotizza anche il successo delle politiche monetarie, fiscali e del mercato del lavoro adottate nel contenere gli effetti economici negativi (caduta dei redditi, dell’occupazione e aumento dei fallimenti) e nel prevenire la loro amplificazione in un circuito negativo tra economia reale e canali finanziari. </w:t>
      </w:r>
    </w:p>
    <w:p w14:paraId="0B3AB105" w14:textId="77777777" w:rsidR="00B16BA6" w:rsidRDefault="00B16BA6" w:rsidP="00B16BA6">
      <w:r>
        <w:t>Sotto queste ipotesi, la Banca centrale europea, rispetto allo scorso settembre, prospetta ora un ulteriore contenimento della forte recessione del prodotto interno lordo dell’area per il 2020 (-7,3 per cento), alla quale dovrebbe fare seguito una più lenta ripresa nel 2021 (+3,9 per cento).</w:t>
      </w:r>
    </w:p>
    <w:tbl>
      <w:tblPr>
        <w:tblStyle w:val="Grigliatabella"/>
        <w:tblpPr w:topFromText="284" w:bottomFromText="284" w:horzAnchor="margin" w:tblpXSpec="center" w:tblpYSpec="top"/>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B54C7D" w14:paraId="01CF684E" w14:textId="77777777" w:rsidTr="00B54C7D">
        <w:trPr>
          <w:cantSplit/>
          <w:trHeight w:val="255"/>
        </w:trPr>
        <w:tc>
          <w:tcPr>
            <w:tcW w:w="9370" w:type="dxa"/>
            <w:gridSpan w:val="10"/>
            <w:tcBorders>
              <w:bottom w:val="single" w:sz="4" w:space="0" w:color="632423" w:themeColor="accent2" w:themeShade="80"/>
            </w:tcBorders>
            <w:noWrap/>
          </w:tcPr>
          <w:p w14:paraId="0F8F26C7" w14:textId="77777777" w:rsidR="00B54C7D" w:rsidRDefault="00B54C7D" w:rsidP="00B54C7D">
            <w:pPr>
              <w:pStyle w:val="TabTitolo"/>
            </w:pPr>
            <w:bookmarkStart w:id="0" w:name="_Hlk44093893"/>
            <w:r>
              <w:lastRenderedPageBreak/>
              <w:t xml:space="preserve">Proiezioni </w:t>
            </w:r>
            <w:proofErr w:type="gramStart"/>
            <w:r>
              <w:t>macro economiche</w:t>
            </w:r>
            <w:proofErr w:type="gramEnd"/>
            <w:r>
              <w:t xml:space="preserve"> per l’area dell’euro.</w:t>
            </w:r>
          </w:p>
        </w:tc>
      </w:tr>
      <w:tr w:rsidR="00B54C7D" w:rsidRPr="00DD211F" w14:paraId="4C87A701" w14:textId="77777777" w:rsidTr="00B54C7D">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14:paraId="0CE11ACE" w14:textId="77777777" w:rsidR="00B54C7D" w:rsidRPr="00DD211F" w:rsidRDefault="00B54C7D" w:rsidP="00B54C7D">
            <w:pPr>
              <w:pStyle w:val="TabIntestazioni"/>
            </w:pPr>
          </w:p>
        </w:tc>
        <w:tc>
          <w:tcPr>
            <w:tcW w:w="737" w:type="dxa"/>
            <w:noWrap/>
          </w:tcPr>
          <w:p w14:paraId="32CE1998" w14:textId="77777777" w:rsidR="00B54C7D" w:rsidRPr="00DD211F" w:rsidRDefault="00B54C7D" w:rsidP="00B54C7D">
            <w:pPr>
              <w:pStyle w:val="TabIntestazioni"/>
            </w:pPr>
            <w:r>
              <w:t>2019</w:t>
            </w:r>
          </w:p>
        </w:tc>
        <w:tc>
          <w:tcPr>
            <w:tcW w:w="737" w:type="dxa"/>
          </w:tcPr>
          <w:p w14:paraId="27B8B500" w14:textId="77777777" w:rsidR="00B54C7D" w:rsidRPr="00DD211F" w:rsidRDefault="00B54C7D" w:rsidP="00B54C7D">
            <w:pPr>
              <w:pStyle w:val="TabIntestazioni"/>
            </w:pPr>
            <w:r>
              <w:t>2020</w:t>
            </w:r>
          </w:p>
        </w:tc>
        <w:tc>
          <w:tcPr>
            <w:tcW w:w="737" w:type="dxa"/>
          </w:tcPr>
          <w:p w14:paraId="740494F4" w14:textId="77777777" w:rsidR="00B54C7D" w:rsidRPr="00DD211F" w:rsidRDefault="00B54C7D" w:rsidP="00B54C7D">
            <w:pPr>
              <w:pStyle w:val="TabIntestazioni"/>
            </w:pPr>
            <w:r>
              <w:t>2021</w:t>
            </w:r>
          </w:p>
        </w:tc>
        <w:tc>
          <w:tcPr>
            <w:tcW w:w="510" w:type="dxa"/>
            <w:noWrap/>
          </w:tcPr>
          <w:p w14:paraId="6ED355ED" w14:textId="77777777" w:rsidR="00B54C7D" w:rsidRPr="00DD211F" w:rsidRDefault="00B54C7D" w:rsidP="00B54C7D">
            <w:pPr>
              <w:pStyle w:val="TabIntestazioni"/>
            </w:pPr>
          </w:p>
        </w:tc>
        <w:tc>
          <w:tcPr>
            <w:tcW w:w="2211" w:type="dxa"/>
          </w:tcPr>
          <w:p w14:paraId="3C94624E" w14:textId="77777777" w:rsidR="00B54C7D" w:rsidRPr="00DD211F" w:rsidRDefault="00B54C7D" w:rsidP="00B54C7D">
            <w:pPr>
              <w:pStyle w:val="TabIntestazioni"/>
            </w:pPr>
          </w:p>
        </w:tc>
        <w:tc>
          <w:tcPr>
            <w:tcW w:w="737" w:type="dxa"/>
          </w:tcPr>
          <w:p w14:paraId="238C11E5" w14:textId="77777777" w:rsidR="00B54C7D" w:rsidRPr="00DD211F" w:rsidRDefault="00B54C7D" w:rsidP="00B54C7D">
            <w:pPr>
              <w:pStyle w:val="TabIntestazioni"/>
            </w:pPr>
            <w:r>
              <w:t>2019</w:t>
            </w:r>
          </w:p>
        </w:tc>
        <w:tc>
          <w:tcPr>
            <w:tcW w:w="737" w:type="dxa"/>
          </w:tcPr>
          <w:p w14:paraId="4F974393" w14:textId="77777777" w:rsidR="00B54C7D" w:rsidRPr="00DD211F" w:rsidRDefault="00B54C7D" w:rsidP="00B54C7D">
            <w:pPr>
              <w:pStyle w:val="TabIntestazioni"/>
            </w:pPr>
            <w:r>
              <w:t>2020</w:t>
            </w:r>
          </w:p>
        </w:tc>
        <w:tc>
          <w:tcPr>
            <w:tcW w:w="737" w:type="dxa"/>
          </w:tcPr>
          <w:p w14:paraId="79083FE2" w14:textId="77777777" w:rsidR="00B54C7D" w:rsidRPr="00DD211F" w:rsidRDefault="00B54C7D" w:rsidP="00B54C7D">
            <w:pPr>
              <w:pStyle w:val="TabIntestazioni"/>
            </w:pPr>
            <w:r>
              <w:t>2021</w:t>
            </w:r>
          </w:p>
        </w:tc>
      </w:tr>
      <w:tr w:rsidR="00B54C7D" w14:paraId="65B794AC" w14:textId="77777777" w:rsidTr="00B54C7D">
        <w:trPr>
          <w:gridAfter w:val="1"/>
          <w:wAfter w:w="16" w:type="dxa"/>
          <w:cantSplit/>
          <w:trHeight w:hRule="exact" w:val="113"/>
        </w:trPr>
        <w:tc>
          <w:tcPr>
            <w:tcW w:w="2211" w:type="dxa"/>
            <w:tcBorders>
              <w:top w:val="single" w:sz="4" w:space="0" w:color="632423" w:themeColor="accent2" w:themeShade="80"/>
            </w:tcBorders>
            <w:noWrap/>
          </w:tcPr>
          <w:p w14:paraId="0B1EAC68" w14:textId="77777777" w:rsidR="00B54C7D" w:rsidRDefault="00B54C7D" w:rsidP="00B54C7D">
            <w:pPr>
              <w:pStyle w:val="TabEtichette"/>
            </w:pPr>
          </w:p>
        </w:tc>
        <w:tc>
          <w:tcPr>
            <w:tcW w:w="737" w:type="dxa"/>
            <w:tcBorders>
              <w:top w:val="single" w:sz="4" w:space="0" w:color="632423" w:themeColor="accent2" w:themeShade="80"/>
            </w:tcBorders>
            <w:noWrap/>
          </w:tcPr>
          <w:p w14:paraId="32C8B97F" w14:textId="77777777" w:rsidR="00B54C7D" w:rsidRDefault="00B54C7D" w:rsidP="00B54C7D">
            <w:pPr>
              <w:pStyle w:val="TabNumeri"/>
            </w:pPr>
          </w:p>
        </w:tc>
        <w:tc>
          <w:tcPr>
            <w:tcW w:w="737" w:type="dxa"/>
            <w:tcBorders>
              <w:top w:val="single" w:sz="4" w:space="0" w:color="632423" w:themeColor="accent2" w:themeShade="80"/>
            </w:tcBorders>
            <w:noWrap/>
          </w:tcPr>
          <w:p w14:paraId="5980FAF4" w14:textId="77777777" w:rsidR="00B54C7D" w:rsidRDefault="00B54C7D" w:rsidP="00B54C7D">
            <w:pPr>
              <w:pStyle w:val="TabNumeri"/>
            </w:pPr>
          </w:p>
        </w:tc>
        <w:tc>
          <w:tcPr>
            <w:tcW w:w="737" w:type="dxa"/>
            <w:tcBorders>
              <w:top w:val="single" w:sz="4" w:space="0" w:color="632423" w:themeColor="accent2" w:themeShade="80"/>
            </w:tcBorders>
            <w:noWrap/>
          </w:tcPr>
          <w:p w14:paraId="442836DC" w14:textId="77777777" w:rsidR="00B54C7D" w:rsidRDefault="00B54C7D" w:rsidP="00B54C7D">
            <w:pPr>
              <w:pStyle w:val="TabNumeri"/>
            </w:pPr>
          </w:p>
        </w:tc>
        <w:tc>
          <w:tcPr>
            <w:tcW w:w="510" w:type="dxa"/>
            <w:tcBorders>
              <w:top w:val="single" w:sz="4" w:space="0" w:color="632423" w:themeColor="accent2" w:themeShade="80"/>
            </w:tcBorders>
            <w:noWrap/>
          </w:tcPr>
          <w:p w14:paraId="55CD760E" w14:textId="77777777" w:rsidR="00B54C7D" w:rsidRDefault="00B54C7D" w:rsidP="00B54C7D">
            <w:pPr>
              <w:pStyle w:val="TabNumeri"/>
            </w:pPr>
          </w:p>
        </w:tc>
        <w:tc>
          <w:tcPr>
            <w:tcW w:w="2211" w:type="dxa"/>
            <w:tcBorders>
              <w:top w:val="single" w:sz="4" w:space="0" w:color="632423" w:themeColor="accent2" w:themeShade="80"/>
            </w:tcBorders>
          </w:tcPr>
          <w:p w14:paraId="4636D2A6" w14:textId="77777777" w:rsidR="00B54C7D" w:rsidRDefault="00B54C7D" w:rsidP="00B54C7D">
            <w:pPr>
              <w:pStyle w:val="TabEtichette"/>
            </w:pPr>
          </w:p>
        </w:tc>
        <w:tc>
          <w:tcPr>
            <w:tcW w:w="737" w:type="dxa"/>
            <w:tcBorders>
              <w:top w:val="single" w:sz="4" w:space="0" w:color="632423" w:themeColor="accent2" w:themeShade="80"/>
            </w:tcBorders>
            <w:noWrap/>
          </w:tcPr>
          <w:p w14:paraId="403C02CC" w14:textId="77777777" w:rsidR="00B54C7D" w:rsidRDefault="00B54C7D" w:rsidP="00B54C7D">
            <w:pPr>
              <w:pStyle w:val="TabNumeri"/>
            </w:pPr>
          </w:p>
        </w:tc>
        <w:tc>
          <w:tcPr>
            <w:tcW w:w="737" w:type="dxa"/>
            <w:tcBorders>
              <w:top w:val="single" w:sz="4" w:space="0" w:color="632423" w:themeColor="accent2" w:themeShade="80"/>
            </w:tcBorders>
          </w:tcPr>
          <w:p w14:paraId="59441371" w14:textId="77777777" w:rsidR="00B54C7D" w:rsidRDefault="00B54C7D" w:rsidP="00B54C7D">
            <w:pPr>
              <w:pStyle w:val="TabNumeri"/>
            </w:pPr>
          </w:p>
        </w:tc>
        <w:tc>
          <w:tcPr>
            <w:tcW w:w="737" w:type="dxa"/>
            <w:tcBorders>
              <w:top w:val="single" w:sz="4" w:space="0" w:color="632423" w:themeColor="accent2" w:themeShade="80"/>
            </w:tcBorders>
            <w:noWrap/>
          </w:tcPr>
          <w:p w14:paraId="23AAACE5" w14:textId="77777777" w:rsidR="00B54C7D" w:rsidRDefault="00B54C7D" w:rsidP="00B54C7D">
            <w:pPr>
              <w:pStyle w:val="TabNumeri"/>
            </w:pPr>
          </w:p>
        </w:tc>
      </w:tr>
      <w:tr w:rsidR="00B54C7D" w14:paraId="491F369D" w14:textId="77777777" w:rsidTr="00B54C7D">
        <w:trPr>
          <w:gridAfter w:val="1"/>
          <w:wAfter w:w="16" w:type="dxa"/>
          <w:cantSplit/>
          <w:trHeight w:val="255"/>
        </w:trPr>
        <w:tc>
          <w:tcPr>
            <w:tcW w:w="2211" w:type="dxa"/>
            <w:noWrap/>
          </w:tcPr>
          <w:p w14:paraId="4ECF6F43" w14:textId="77777777" w:rsidR="00B54C7D" w:rsidRPr="00233F5C" w:rsidRDefault="00B54C7D" w:rsidP="00B54C7D">
            <w:pPr>
              <w:pStyle w:val="TabEtichette"/>
            </w:pPr>
            <w:r w:rsidRPr="00233F5C">
              <w:t>Prodotto interno lordo</w:t>
            </w:r>
            <w:r>
              <w:t xml:space="preserve"> (1, 2)</w:t>
            </w:r>
          </w:p>
        </w:tc>
        <w:tc>
          <w:tcPr>
            <w:tcW w:w="737" w:type="dxa"/>
            <w:noWrap/>
          </w:tcPr>
          <w:p w14:paraId="06EC42F2" w14:textId="77777777" w:rsidR="00B54C7D" w:rsidRPr="00902005" w:rsidRDefault="00B54C7D" w:rsidP="00B54C7D">
            <w:pPr>
              <w:pStyle w:val="TabNumeri"/>
            </w:pPr>
            <w:r w:rsidRPr="00ED43EF">
              <w:t>1,3</w:t>
            </w:r>
          </w:p>
        </w:tc>
        <w:tc>
          <w:tcPr>
            <w:tcW w:w="737" w:type="dxa"/>
            <w:noWrap/>
          </w:tcPr>
          <w:p w14:paraId="30D0FD14" w14:textId="77777777" w:rsidR="00B54C7D" w:rsidRPr="00902005" w:rsidRDefault="00B54C7D" w:rsidP="00B54C7D">
            <w:pPr>
              <w:pStyle w:val="TabNumeri"/>
            </w:pPr>
            <w:r w:rsidRPr="00ED43EF">
              <w:t>-7,3</w:t>
            </w:r>
          </w:p>
        </w:tc>
        <w:tc>
          <w:tcPr>
            <w:tcW w:w="737" w:type="dxa"/>
            <w:noWrap/>
          </w:tcPr>
          <w:p w14:paraId="5C89C6D3" w14:textId="77777777" w:rsidR="00B54C7D" w:rsidRPr="00902005" w:rsidRDefault="00B54C7D" w:rsidP="00B54C7D">
            <w:pPr>
              <w:pStyle w:val="TabNumeri"/>
            </w:pPr>
            <w:r w:rsidRPr="00ED43EF">
              <w:t>3,9</w:t>
            </w:r>
          </w:p>
        </w:tc>
        <w:tc>
          <w:tcPr>
            <w:tcW w:w="510" w:type="dxa"/>
            <w:noWrap/>
          </w:tcPr>
          <w:p w14:paraId="2C9D6F56" w14:textId="77777777" w:rsidR="00B54C7D" w:rsidRPr="000770A1" w:rsidRDefault="00B54C7D" w:rsidP="00B54C7D">
            <w:pPr>
              <w:pStyle w:val="TabNumeri"/>
              <w:rPr>
                <w:sz w:val="14"/>
                <w:szCs w:val="14"/>
              </w:rPr>
            </w:pPr>
          </w:p>
        </w:tc>
        <w:tc>
          <w:tcPr>
            <w:tcW w:w="2211" w:type="dxa"/>
          </w:tcPr>
          <w:p w14:paraId="2EC4F230" w14:textId="77777777" w:rsidR="00B54C7D" w:rsidRPr="00233F5C" w:rsidRDefault="00B54C7D" w:rsidP="00B54C7D">
            <w:pPr>
              <w:pStyle w:val="TabEtichette"/>
            </w:pPr>
            <w:r>
              <w:t>Saldo di conto corrente (4)</w:t>
            </w:r>
          </w:p>
        </w:tc>
        <w:tc>
          <w:tcPr>
            <w:tcW w:w="737" w:type="dxa"/>
            <w:noWrap/>
          </w:tcPr>
          <w:p w14:paraId="548BDAE7" w14:textId="77777777" w:rsidR="00B54C7D" w:rsidRPr="008D37A3" w:rsidRDefault="00B54C7D" w:rsidP="00B54C7D">
            <w:pPr>
              <w:pStyle w:val="TabNumeri"/>
            </w:pPr>
            <w:r w:rsidRPr="0063076F">
              <w:t>2,7</w:t>
            </w:r>
          </w:p>
        </w:tc>
        <w:tc>
          <w:tcPr>
            <w:tcW w:w="737" w:type="dxa"/>
          </w:tcPr>
          <w:p w14:paraId="1459A3FE" w14:textId="77777777" w:rsidR="00B54C7D" w:rsidRPr="008D37A3" w:rsidRDefault="00B54C7D" w:rsidP="00B54C7D">
            <w:pPr>
              <w:pStyle w:val="TabNumeri"/>
            </w:pPr>
            <w:r w:rsidRPr="0063076F">
              <w:t>1,9</w:t>
            </w:r>
          </w:p>
        </w:tc>
        <w:tc>
          <w:tcPr>
            <w:tcW w:w="737" w:type="dxa"/>
            <w:noWrap/>
          </w:tcPr>
          <w:p w14:paraId="4DF4F31B" w14:textId="77777777" w:rsidR="00B54C7D" w:rsidRPr="008D37A3" w:rsidRDefault="00B54C7D" w:rsidP="00B54C7D">
            <w:pPr>
              <w:pStyle w:val="TabNumeri"/>
            </w:pPr>
            <w:r w:rsidRPr="0063076F">
              <w:t>2,1</w:t>
            </w:r>
          </w:p>
        </w:tc>
      </w:tr>
      <w:tr w:rsidR="00B54C7D" w14:paraId="7C0B6ABD" w14:textId="77777777" w:rsidTr="00B54C7D">
        <w:trPr>
          <w:gridAfter w:val="1"/>
          <w:wAfter w:w="16" w:type="dxa"/>
          <w:cantSplit/>
          <w:trHeight w:val="255"/>
        </w:trPr>
        <w:tc>
          <w:tcPr>
            <w:tcW w:w="2211" w:type="dxa"/>
            <w:shd w:val="clear" w:color="auto" w:fill="EAF1DD" w:themeFill="accent3" w:themeFillTint="33"/>
            <w:noWrap/>
          </w:tcPr>
          <w:p w14:paraId="4D7EFCC7" w14:textId="77777777" w:rsidR="00B54C7D" w:rsidRPr="00233F5C" w:rsidRDefault="00B54C7D" w:rsidP="00B54C7D">
            <w:pPr>
              <w:pStyle w:val="TabEtichette"/>
            </w:pPr>
            <w:r w:rsidRPr="00233F5C">
              <w:t xml:space="preserve">Consumi </w:t>
            </w:r>
            <w:r>
              <w:t>privati (1, 2)</w:t>
            </w:r>
          </w:p>
        </w:tc>
        <w:tc>
          <w:tcPr>
            <w:tcW w:w="737" w:type="dxa"/>
            <w:shd w:val="clear" w:color="auto" w:fill="EAF1DD" w:themeFill="accent3" w:themeFillTint="33"/>
            <w:noWrap/>
          </w:tcPr>
          <w:p w14:paraId="1BB42CAC" w14:textId="77777777" w:rsidR="00B54C7D" w:rsidRPr="00902005" w:rsidRDefault="00B54C7D" w:rsidP="00B54C7D">
            <w:pPr>
              <w:pStyle w:val="TabNumeri"/>
            </w:pPr>
            <w:r w:rsidRPr="00ED43EF">
              <w:t>1,3</w:t>
            </w:r>
          </w:p>
        </w:tc>
        <w:tc>
          <w:tcPr>
            <w:tcW w:w="737" w:type="dxa"/>
            <w:shd w:val="clear" w:color="auto" w:fill="EAF1DD" w:themeFill="accent3" w:themeFillTint="33"/>
            <w:noWrap/>
          </w:tcPr>
          <w:p w14:paraId="6A2275CF" w14:textId="77777777" w:rsidR="00B54C7D" w:rsidRPr="00902005" w:rsidRDefault="00B54C7D" w:rsidP="00B54C7D">
            <w:pPr>
              <w:pStyle w:val="TabNumeri"/>
            </w:pPr>
            <w:r w:rsidRPr="00ED43EF">
              <w:t>-8,3</w:t>
            </w:r>
          </w:p>
        </w:tc>
        <w:tc>
          <w:tcPr>
            <w:tcW w:w="737" w:type="dxa"/>
            <w:shd w:val="clear" w:color="auto" w:fill="EAF1DD" w:themeFill="accent3" w:themeFillTint="33"/>
            <w:noWrap/>
          </w:tcPr>
          <w:p w14:paraId="470E704C" w14:textId="77777777" w:rsidR="00B54C7D" w:rsidRPr="00902005" w:rsidRDefault="00B54C7D" w:rsidP="00B54C7D">
            <w:pPr>
              <w:pStyle w:val="TabNumeri"/>
            </w:pPr>
            <w:r w:rsidRPr="00ED43EF">
              <w:t>4,3</w:t>
            </w:r>
          </w:p>
        </w:tc>
        <w:tc>
          <w:tcPr>
            <w:tcW w:w="510" w:type="dxa"/>
            <w:shd w:val="clear" w:color="auto" w:fill="EAF1DD" w:themeFill="accent3" w:themeFillTint="33"/>
            <w:noWrap/>
          </w:tcPr>
          <w:p w14:paraId="0FF6F53F" w14:textId="77777777" w:rsidR="00B54C7D" w:rsidRPr="000770A1" w:rsidRDefault="00B54C7D" w:rsidP="00B54C7D">
            <w:pPr>
              <w:pStyle w:val="TabNumeri"/>
              <w:rPr>
                <w:sz w:val="14"/>
                <w:szCs w:val="14"/>
              </w:rPr>
            </w:pPr>
          </w:p>
        </w:tc>
        <w:tc>
          <w:tcPr>
            <w:tcW w:w="2211" w:type="dxa"/>
            <w:shd w:val="clear" w:color="auto" w:fill="EAF1DD" w:themeFill="accent3" w:themeFillTint="33"/>
          </w:tcPr>
          <w:p w14:paraId="102B1901" w14:textId="77777777" w:rsidR="00B54C7D" w:rsidRPr="00233F5C" w:rsidRDefault="00B54C7D" w:rsidP="00B54C7D">
            <w:pPr>
              <w:pStyle w:val="TabEtichette"/>
            </w:pPr>
            <w:r>
              <w:t>Occupazione (1)</w:t>
            </w:r>
          </w:p>
        </w:tc>
        <w:tc>
          <w:tcPr>
            <w:tcW w:w="737" w:type="dxa"/>
            <w:shd w:val="clear" w:color="auto" w:fill="EAF1DD" w:themeFill="accent3" w:themeFillTint="33"/>
            <w:noWrap/>
          </w:tcPr>
          <w:p w14:paraId="606AE7CB" w14:textId="77777777" w:rsidR="00B54C7D" w:rsidRPr="008D37A3" w:rsidRDefault="00B54C7D" w:rsidP="00B54C7D">
            <w:pPr>
              <w:pStyle w:val="TabNumeri"/>
            </w:pPr>
            <w:r w:rsidRPr="0063076F">
              <w:t>1,2</w:t>
            </w:r>
          </w:p>
        </w:tc>
        <w:tc>
          <w:tcPr>
            <w:tcW w:w="737" w:type="dxa"/>
            <w:shd w:val="clear" w:color="auto" w:fill="EAF1DD" w:themeFill="accent3" w:themeFillTint="33"/>
          </w:tcPr>
          <w:p w14:paraId="004B4BF0" w14:textId="77777777" w:rsidR="00B54C7D" w:rsidRPr="008D37A3" w:rsidRDefault="00B54C7D" w:rsidP="00B54C7D">
            <w:pPr>
              <w:pStyle w:val="TabNumeri"/>
            </w:pPr>
            <w:r w:rsidRPr="0063076F">
              <w:t>-1,8</w:t>
            </w:r>
          </w:p>
        </w:tc>
        <w:tc>
          <w:tcPr>
            <w:tcW w:w="737" w:type="dxa"/>
            <w:shd w:val="clear" w:color="auto" w:fill="EAF1DD" w:themeFill="accent3" w:themeFillTint="33"/>
            <w:noWrap/>
          </w:tcPr>
          <w:p w14:paraId="63ACECF5" w14:textId="77777777" w:rsidR="00B54C7D" w:rsidRPr="008D37A3" w:rsidRDefault="00B54C7D" w:rsidP="00B54C7D">
            <w:pPr>
              <w:pStyle w:val="TabNumeri"/>
            </w:pPr>
            <w:r w:rsidRPr="0063076F">
              <w:t>-0,9</w:t>
            </w:r>
          </w:p>
        </w:tc>
      </w:tr>
      <w:tr w:rsidR="00B54C7D" w14:paraId="6173A603" w14:textId="77777777" w:rsidTr="00B54C7D">
        <w:trPr>
          <w:gridAfter w:val="1"/>
          <w:wAfter w:w="16" w:type="dxa"/>
          <w:cantSplit/>
          <w:trHeight w:val="255"/>
        </w:trPr>
        <w:tc>
          <w:tcPr>
            <w:tcW w:w="2211" w:type="dxa"/>
            <w:noWrap/>
          </w:tcPr>
          <w:p w14:paraId="5D0AC6ED" w14:textId="77777777" w:rsidR="00B54C7D" w:rsidRPr="00233F5C" w:rsidRDefault="00B54C7D" w:rsidP="00B54C7D">
            <w:pPr>
              <w:pStyle w:val="TabEtichette"/>
            </w:pPr>
            <w:r w:rsidRPr="00233F5C">
              <w:t xml:space="preserve">Consumi </w:t>
            </w:r>
            <w:r>
              <w:t>pubblici (1, 2)</w:t>
            </w:r>
          </w:p>
        </w:tc>
        <w:tc>
          <w:tcPr>
            <w:tcW w:w="737" w:type="dxa"/>
            <w:noWrap/>
          </w:tcPr>
          <w:p w14:paraId="017E4C17" w14:textId="77777777" w:rsidR="00B54C7D" w:rsidRPr="00902005" w:rsidRDefault="00B54C7D" w:rsidP="00B54C7D">
            <w:pPr>
              <w:pStyle w:val="TabNumeri"/>
            </w:pPr>
            <w:r w:rsidRPr="00ED43EF">
              <w:t>1,8</w:t>
            </w:r>
          </w:p>
        </w:tc>
        <w:tc>
          <w:tcPr>
            <w:tcW w:w="737" w:type="dxa"/>
            <w:noWrap/>
          </w:tcPr>
          <w:p w14:paraId="6539C799" w14:textId="77777777" w:rsidR="00B54C7D" w:rsidRPr="00902005" w:rsidRDefault="00B54C7D" w:rsidP="00B54C7D">
            <w:pPr>
              <w:pStyle w:val="TabNumeri"/>
            </w:pPr>
            <w:r w:rsidRPr="00ED43EF">
              <w:t>1,5</w:t>
            </w:r>
          </w:p>
        </w:tc>
        <w:tc>
          <w:tcPr>
            <w:tcW w:w="737" w:type="dxa"/>
            <w:noWrap/>
          </w:tcPr>
          <w:p w14:paraId="74AB3017" w14:textId="77777777" w:rsidR="00B54C7D" w:rsidRPr="00902005" w:rsidRDefault="00B54C7D" w:rsidP="00B54C7D">
            <w:pPr>
              <w:pStyle w:val="TabNumeri"/>
            </w:pPr>
            <w:r w:rsidRPr="00ED43EF">
              <w:t>2,5</w:t>
            </w:r>
          </w:p>
        </w:tc>
        <w:tc>
          <w:tcPr>
            <w:tcW w:w="510" w:type="dxa"/>
            <w:noWrap/>
          </w:tcPr>
          <w:p w14:paraId="6660E328" w14:textId="77777777" w:rsidR="00B54C7D" w:rsidRPr="000770A1" w:rsidRDefault="00B54C7D" w:rsidP="00B54C7D">
            <w:pPr>
              <w:pStyle w:val="TabNumeri"/>
              <w:rPr>
                <w:sz w:val="14"/>
                <w:szCs w:val="14"/>
              </w:rPr>
            </w:pPr>
          </w:p>
        </w:tc>
        <w:tc>
          <w:tcPr>
            <w:tcW w:w="2211" w:type="dxa"/>
          </w:tcPr>
          <w:p w14:paraId="2DF758AA" w14:textId="77777777" w:rsidR="00B54C7D" w:rsidRPr="00233F5C" w:rsidRDefault="00B54C7D" w:rsidP="00B54C7D">
            <w:pPr>
              <w:pStyle w:val="TabEtichette"/>
            </w:pPr>
            <w:r>
              <w:t>Tasso di d</w:t>
            </w:r>
            <w:r w:rsidRPr="00233F5C">
              <w:t>isoccupazione [</w:t>
            </w:r>
            <w:r>
              <w:t>5</w:t>
            </w:r>
            <w:r w:rsidRPr="00233F5C">
              <w:t>]</w:t>
            </w:r>
          </w:p>
        </w:tc>
        <w:tc>
          <w:tcPr>
            <w:tcW w:w="737" w:type="dxa"/>
            <w:noWrap/>
          </w:tcPr>
          <w:p w14:paraId="05113127" w14:textId="77777777" w:rsidR="00B54C7D" w:rsidRPr="008D37A3" w:rsidRDefault="00B54C7D" w:rsidP="00B54C7D">
            <w:pPr>
              <w:pStyle w:val="TabNumeri"/>
            </w:pPr>
            <w:r w:rsidRPr="0063076F">
              <w:t>7,6</w:t>
            </w:r>
          </w:p>
        </w:tc>
        <w:tc>
          <w:tcPr>
            <w:tcW w:w="737" w:type="dxa"/>
          </w:tcPr>
          <w:p w14:paraId="7F974BE7" w14:textId="77777777" w:rsidR="00B54C7D" w:rsidRPr="008D37A3" w:rsidRDefault="00B54C7D" w:rsidP="00B54C7D">
            <w:pPr>
              <w:pStyle w:val="TabNumeri"/>
            </w:pPr>
            <w:r w:rsidRPr="0063076F">
              <w:t>8,0</w:t>
            </w:r>
          </w:p>
        </w:tc>
        <w:tc>
          <w:tcPr>
            <w:tcW w:w="737" w:type="dxa"/>
            <w:noWrap/>
          </w:tcPr>
          <w:p w14:paraId="6A47D999" w14:textId="77777777" w:rsidR="00B54C7D" w:rsidRPr="008D37A3" w:rsidRDefault="00B54C7D" w:rsidP="00B54C7D">
            <w:pPr>
              <w:pStyle w:val="TabNumeri"/>
            </w:pPr>
            <w:r w:rsidRPr="0063076F">
              <w:t>9,3</w:t>
            </w:r>
          </w:p>
        </w:tc>
      </w:tr>
      <w:tr w:rsidR="00B54C7D" w14:paraId="31E83204" w14:textId="77777777" w:rsidTr="00B54C7D">
        <w:trPr>
          <w:gridAfter w:val="1"/>
          <w:wAfter w:w="16" w:type="dxa"/>
          <w:cantSplit/>
          <w:trHeight w:val="255"/>
        </w:trPr>
        <w:tc>
          <w:tcPr>
            <w:tcW w:w="2211" w:type="dxa"/>
            <w:shd w:val="clear" w:color="auto" w:fill="EAF1DD" w:themeFill="accent3" w:themeFillTint="33"/>
            <w:noWrap/>
          </w:tcPr>
          <w:p w14:paraId="2CB49C5B" w14:textId="77777777" w:rsidR="00B54C7D" w:rsidRPr="00233F5C" w:rsidRDefault="00B54C7D" w:rsidP="00B54C7D">
            <w:pPr>
              <w:pStyle w:val="TabEtichette"/>
            </w:pPr>
            <w:r w:rsidRPr="00233F5C">
              <w:t>Investimenti fissi lordi</w:t>
            </w:r>
            <w:r>
              <w:t xml:space="preserve"> (1, 2)</w:t>
            </w:r>
          </w:p>
        </w:tc>
        <w:tc>
          <w:tcPr>
            <w:tcW w:w="737" w:type="dxa"/>
            <w:shd w:val="clear" w:color="auto" w:fill="EAF1DD" w:themeFill="accent3" w:themeFillTint="33"/>
            <w:noWrap/>
          </w:tcPr>
          <w:p w14:paraId="27DF0BAD" w14:textId="77777777" w:rsidR="00B54C7D" w:rsidRPr="00902005" w:rsidRDefault="00B54C7D" w:rsidP="00B54C7D">
            <w:pPr>
              <w:pStyle w:val="TabNumeri"/>
            </w:pPr>
            <w:r w:rsidRPr="00ED43EF">
              <w:t>5,0</w:t>
            </w:r>
          </w:p>
        </w:tc>
        <w:tc>
          <w:tcPr>
            <w:tcW w:w="737" w:type="dxa"/>
            <w:shd w:val="clear" w:color="auto" w:fill="EAF1DD" w:themeFill="accent3" w:themeFillTint="33"/>
            <w:noWrap/>
          </w:tcPr>
          <w:p w14:paraId="32CFC3AA" w14:textId="77777777" w:rsidR="00B54C7D" w:rsidRPr="00902005" w:rsidRDefault="00B54C7D" w:rsidP="00B54C7D">
            <w:pPr>
              <w:pStyle w:val="TabNumeri"/>
            </w:pPr>
            <w:r w:rsidRPr="00ED43EF">
              <w:t>-10,1</w:t>
            </w:r>
          </w:p>
        </w:tc>
        <w:tc>
          <w:tcPr>
            <w:tcW w:w="737" w:type="dxa"/>
            <w:shd w:val="clear" w:color="auto" w:fill="EAF1DD" w:themeFill="accent3" w:themeFillTint="33"/>
            <w:noWrap/>
          </w:tcPr>
          <w:p w14:paraId="67922619" w14:textId="77777777" w:rsidR="00B54C7D" w:rsidRPr="00902005" w:rsidRDefault="00B54C7D" w:rsidP="00B54C7D">
            <w:pPr>
              <w:pStyle w:val="TabNumeri"/>
            </w:pPr>
            <w:r w:rsidRPr="00ED43EF">
              <w:t>5,0</w:t>
            </w:r>
          </w:p>
        </w:tc>
        <w:tc>
          <w:tcPr>
            <w:tcW w:w="510" w:type="dxa"/>
            <w:shd w:val="clear" w:color="auto" w:fill="EAF1DD" w:themeFill="accent3" w:themeFillTint="33"/>
            <w:noWrap/>
          </w:tcPr>
          <w:p w14:paraId="6CCC8903" w14:textId="77777777" w:rsidR="00B54C7D" w:rsidRPr="000770A1" w:rsidRDefault="00B54C7D" w:rsidP="00B54C7D">
            <w:pPr>
              <w:pStyle w:val="TabNumeri"/>
              <w:rPr>
                <w:sz w:val="14"/>
                <w:szCs w:val="14"/>
              </w:rPr>
            </w:pPr>
          </w:p>
        </w:tc>
        <w:tc>
          <w:tcPr>
            <w:tcW w:w="2211" w:type="dxa"/>
            <w:shd w:val="clear" w:color="auto" w:fill="EAF1DD" w:themeFill="accent3" w:themeFillTint="33"/>
          </w:tcPr>
          <w:p w14:paraId="7DB1228F" w14:textId="77777777" w:rsidR="00B54C7D" w:rsidRPr="00233F5C" w:rsidRDefault="00B54C7D" w:rsidP="00B54C7D">
            <w:pPr>
              <w:pStyle w:val="TabEtichette"/>
            </w:pPr>
            <w:r w:rsidRPr="00233F5C">
              <w:t>Prezzi al consumo</w:t>
            </w:r>
            <w:r>
              <w:t xml:space="preserve"> [1, 6]</w:t>
            </w:r>
          </w:p>
        </w:tc>
        <w:tc>
          <w:tcPr>
            <w:tcW w:w="737" w:type="dxa"/>
            <w:shd w:val="clear" w:color="auto" w:fill="EAF1DD" w:themeFill="accent3" w:themeFillTint="33"/>
            <w:noWrap/>
          </w:tcPr>
          <w:p w14:paraId="0F87CC80" w14:textId="77777777" w:rsidR="00B54C7D" w:rsidRPr="008D37A3" w:rsidRDefault="00B54C7D" w:rsidP="00B54C7D">
            <w:pPr>
              <w:pStyle w:val="TabNumeri"/>
            </w:pPr>
            <w:r w:rsidRPr="0063076F">
              <w:t>1,2</w:t>
            </w:r>
          </w:p>
        </w:tc>
        <w:tc>
          <w:tcPr>
            <w:tcW w:w="737" w:type="dxa"/>
            <w:shd w:val="clear" w:color="auto" w:fill="EAF1DD" w:themeFill="accent3" w:themeFillTint="33"/>
          </w:tcPr>
          <w:p w14:paraId="67BD0A69" w14:textId="77777777" w:rsidR="00B54C7D" w:rsidRPr="008D37A3" w:rsidRDefault="00B54C7D" w:rsidP="00B54C7D">
            <w:pPr>
              <w:pStyle w:val="TabNumeri"/>
            </w:pPr>
            <w:r w:rsidRPr="0063076F">
              <w:t>0,2</w:t>
            </w:r>
          </w:p>
        </w:tc>
        <w:tc>
          <w:tcPr>
            <w:tcW w:w="737" w:type="dxa"/>
            <w:shd w:val="clear" w:color="auto" w:fill="EAF1DD" w:themeFill="accent3" w:themeFillTint="33"/>
            <w:noWrap/>
          </w:tcPr>
          <w:p w14:paraId="5A455C06" w14:textId="77777777" w:rsidR="00B54C7D" w:rsidRPr="008D37A3" w:rsidRDefault="00B54C7D" w:rsidP="00B54C7D">
            <w:pPr>
              <w:pStyle w:val="TabNumeri"/>
            </w:pPr>
            <w:r w:rsidRPr="0063076F">
              <w:t>1,0</w:t>
            </w:r>
          </w:p>
        </w:tc>
      </w:tr>
      <w:tr w:rsidR="00B54C7D" w14:paraId="2ED1CF8D" w14:textId="77777777" w:rsidTr="00B54C7D">
        <w:trPr>
          <w:gridAfter w:val="1"/>
          <w:wAfter w:w="16" w:type="dxa"/>
          <w:cantSplit/>
          <w:trHeight w:val="255"/>
        </w:trPr>
        <w:tc>
          <w:tcPr>
            <w:tcW w:w="2211" w:type="dxa"/>
            <w:noWrap/>
          </w:tcPr>
          <w:p w14:paraId="33D38325" w14:textId="77777777" w:rsidR="00B54C7D" w:rsidRPr="00233F5C" w:rsidRDefault="00B54C7D" w:rsidP="00B54C7D">
            <w:pPr>
              <w:pStyle w:val="TabEtichette"/>
            </w:pPr>
            <w:r w:rsidRPr="00233F5C">
              <w:t>Esportazioni</w:t>
            </w:r>
            <w:r>
              <w:t xml:space="preserve"> (1, 2, 3)</w:t>
            </w:r>
          </w:p>
        </w:tc>
        <w:tc>
          <w:tcPr>
            <w:tcW w:w="737" w:type="dxa"/>
            <w:noWrap/>
          </w:tcPr>
          <w:p w14:paraId="545AE50D" w14:textId="77777777" w:rsidR="00B54C7D" w:rsidRPr="00902005" w:rsidRDefault="00B54C7D" w:rsidP="00B54C7D">
            <w:pPr>
              <w:pStyle w:val="TabNumeri"/>
            </w:pPr>
            <w:r w:rsidRPr="00ED43EF">
              <w:t>2,5</w:t>
            </w:r>
          </w:p>
        </w:tc>
        <w:tc>
          <w:tcPr>
            <w:tcW w:w="737" w:type="dxa"/>
            <w:noWrap/>
          </w:tcPr>
          <w:p w14:paraId="3E120FEB" w14:textId="77777777" w:rsidR="00B54C7D" w:rsidRPr="00902005" w:rsidRDefault="00B54C7D" w:rsidP="00B54C7D">
            <w:pPr>
              <w:pStyle w:val="TabNumeri"/>
            </w:pPr>
            <w:r w:rsidRPr="00ED43EF">
              <w:t>-11,0</w:t>
            </w:r>
          </w:p>
        </w:tc>
        <w:tc>
          <w:tcPr>
            <w:tcW w:w="737" w:type="dxa"/>
            <w:noWrap/>
          </w:tcPr>
          <w:p w14:paraId="55F98F4C" w14:textId="77777777" w:rsidR="00B54C7D" w:rsidRPr="00902005" w:rsidRDefault="00B54C7D" w:rsidP="00B54C7D">
            <w:pPr>
              <w:pStyle w:val="TabNumeri"/>
            </w:pPr>
            <w:r w:rsidRPr="00ED43EF">
              <w:t>6,5</w:t>
            </w:r>
          </w:p>
        </w:tc>
        <w:tc>
          <w:tcPr>
            <w:tcW w:w="510" w:type="dxa"/>
            <w:noWrap/>
          </w:tcPr>
          <w:p w14:paraId="61FB4A26" w14:textId="77777777" w:rsidR="00B54C7D" w:rsidRPr="000770A1" w:rsidRDefault="00B54C7D" w:rsidP="00B54C7D">
            <w:pPr>
              <w:pStyle w:val="TabNumeri"/>
              <w:rPr>
                <w:sz w:val="14"/>
                <w:szCs w:val="14"/>
              </w:rPr>
            </w:pPr>
          </w:p>
        </w:tc>
        <w:tc>
          <w:tcPr>
            <w:tcW w:w="2211" w:type="dxa"/>
          </w:tcPr>
          <w:p w14:paraId="00587118" w14:textId="77777777" w:rsidR="00B54C7D" w:rsidRPr="00233F5C" w:rsidRDefault="00B54C7D" w:rsidP="00B54C7D">
            <w:pPr>
              <w:pStyle w:val="TabEtichette"/>
            </w:pPr>
            <w:r w:rsidRPr="00233F5C">
              <w:t>Ind</w:t>
            </w:r>
            <w:r>
              <w:t>ebitamento della P.A. [4]</w:t>
            </w:r>
          </w:p>
        </w:tc>
        <w:tc>
          <w:tcPr>
            <w:tcW w:w="737" w:type="dxa"/>
            <w:noWrap/>
          </w:tcPr>
          <w:p w14:paraId="5BF75EAA" w14:textId="77777777" w:rsidR="00B54C7D" w:rsidRPr="008D37A3" w:rsidRDefault="00B54C7D" w:rsidP="00B54C7D">
            <w:pPr>
              <w:pStyle w:val="TabNumeri"/>
            </w:pPr>
            <w:r w:rsidRPr="0063076F">
              <w:t>0,6</w:t>
            </w:r>
          </w:p>
        </w:tc>
        <w:tc>
          <w:tcPr>
            <w:tcW w:w="737" w:type="dxa"/>
          </w:tcPr>
          <w:p w14:paraId="3BF77B66" w14:textId="77777777" w:rsidR="00B54C7D" w:rsidRPr="008D37A3" w:rsidRDefault="00B54C7D" w:rsidP="00B54C7D">
            <w:pPr>
              <w:pStyle w:val="TabNumeri"/>
            </w:pPr>
            <w:r w:rsidRPr="0063076F">
              <w:t>8,0</w:t>
            </w:r>
          </w:p>
        </w:tc>
        <w:tc>
          <w:tcPr>
            <w:tcW w:w="737" w:type="dxa"/>
            <w:noWrap/>
          </w:tcPr>
          <w:p w14:paraId="2045BF8A" w14:textId="77777777" w:rsidR="00B54C7D" w:rsidRPr="008D37A3" w:rsidRDefault="00B54C7D" w:rsidP="00B54C7D">
            <w:pPr>
              <w:pStyle w:val="TabNumeri"/>
            </w:pPr>
            <w:r w:rsidRPr="0063076F">
              <w:t>6,1</w:t>
            </w:r>
          </w:p>
        </w:tc>
      </w:tr>
      <w:tr w:rsidR="00B54C7D" w14:paraId="4A35C5B8" w14:textId="77777777" w:rsidTr="00B54C7D">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14:paraId="42141376" w14:textId="77777777" w:rsidR="00B54C7D" w:rsidRDefault="00B54C7D" w:rsidP="00B54C7D">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14:paraId="173B7B66" w14:textId="77777777" w:rsidR="00B54C7D" w:rsidRPr="00902005" w:rsidRDefault="00B54C7D" w:rsidP="00B54C7D">
            <w:pPr>
              <w:pStyle w:val="TabNumeri"/>
            </w:pPr>
            <w:r w:rsidRPr="00ED43EF">
              <w:t>3,9</w:t>
            </w:r>
          </w:p>
        </w:tc>
        <w:tc>
          <w:tcPr>
            <w:tcW w:w="737" w:type="dxa"/>
            <w:tcBorders>
              <w:bottom w:val="single" w:sz="4" w:space="0" w:color="632423" w:themeColor="accent2" w:themeShade="80"/>
            </w:tcBorders>
            <w:shd w:val="clear" w:color="auto" w:fill="EAF1DD" w:themeFill="accent3" w:themeFillTint="33"/>
            <w:noWrap/>
          </w:tcPr>
          <w:p w14:paraId="5FF9B040" w14:textId="77777777" w:rsidR="00B54C7D" w:rsidRPr="00902005" w:rsidRDefault="00B54C7D" w:rsidP="00B54C7D">
            <w:pPr>
              <w:pStyle w:val="TabNumeri"/>
            </w:pPr>
            <w:r w:rsidRPr="00ED43EF">
              <w:t>-10,7</w:t>
            </w:r>
          </w:p>
        </w:tc>
        <w:tc>
          <w:tcPr>
            <w:tcW w:w="737" w:type="dxa"/>
            <w:tcBorders>
              <w:bottom w:val="single" w:sz="4" w:space="0" w:color="632423" w:themeColor="accent2" w:themeShade="80"/>
            </w:tcBorders>
            <w:shd w:val="clear" w:color="auto" w:fill="EAF1DD" w:themeFill="accent3" w:themeFillTint="33"/>
            <w:noWrap/>
          </w:tcPr>
          <w:p w14:paraId="08EB69EF" w14:textId="77777777" w:rsidR="00B54C7D" w:rsidRDefault="00B54C7D" w:rsidP="00B54C7D">
            <w:pPr>
              <w:pStyle w:val="TabNumeri"/>
            </w:pPr>
            <w:r w:rsidRPr="00ED43EF">
              <w:t>6,3</w:t>
            </w:r>
          </w:p>
        </w:tc>
        <w:tc>
          <w:tcPr>
            <w:tcW w:w="510" w:type="dxa"/>
            <w:tcBorders>
              <w:bottom w:val="single" w:sz="4" w:space="0" w:color="632423" w:themeColor="accent2" w:themeShade="80"/>
            </w:tcBorders>
            <w:shd w:val="clear" w:color="auto" w:fill="EAF1DD" w:themeFill="accent3" w:themeFillTint="33"/>
            <w:noWrap/>
          </w:tcPr>
          <w:p w14:paraId="4A4BB1C4" w14:textId="77777777" w:rsidR="00B54C7D" w:rsidRPr="000770A1" w:rsidRDefault="00B54C7D" w:rsidP="00B54C7D">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14:paraId="54EF9208" w14:textId="77777777" w:rsidR="00B54C7D" w:rsidRDefault="00B54C7D" w:rsidP="00B54C7D">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14:paraId="05C210FB" w14:textId="77777777" w:rsidR="00B54C7D" w:rsidRPr="008D37A3" w:rsidRDefault="00B54C7D" w:rsidP="00B54C7D">
            <w:pPr>
              <w:pStyle w:val="TabNumeri"/>
            </w:pPr>
            <w:r w:rsidRPr="0063076F">
              <w:t>84,0</w:t>
            </w:r>
          </w:p>
        </w:tc>
        <w:tc>
          <w:tcPr>
            <w:tcW w:w="737" w:type="dxa"/>
            <w:tcBorders>
              <w:bottom w:val="single" w:sz="4" w:space="0" w:color="632423" w:themeColor="accent2" w:themeShade="80"/>
            </w:tcBorders>
            <w:shd w:val="clear" w:color="auto" w:fill="EAF1DD" w:themeFill="accent3" w:themeFillTint="33"/>
          </w:tcPr>
          <w:p w14:paraId="01121905" w14:textId="77777777" w:rsidR="00B54C7D" w:rsidRPr="008D37A3" w:rsidRDefault="00B54C7D" w:rsidP="00B54C7D">
            <w:pPr>
              <w:pStyle w:val="TabNumeri"/>
            </w:pPr>
            <w:r w:rsidRPr="0063076F">
              <w:t>98,4</w:t>
            </w:r>
          </w:p>
        </w:tc>
        <w:tc>
          <w:tcPr>
            <w:tcW w:w="737" w:type="dxa"/>
            <w:tcBorders>
              <w:bottom w:val="single" w:sz="4" w:space="0" w:color="632423" w:themeColor="accent2" w:themeShade="80"/>
            </w:tcBorders>
            <w:shd w:val="clear" w:color="auto" w:fill="EAF1DD" w:themeFill="accent3" w:themeFillTint="33"/>
            <w:noWrap/>
          </w:tcPr>
          <w:p w14:paraId="2E569242" w14:textId="77777777" w:rsidR="00B54C7D" w:rsidRDefault="00B54C7D" w:rsidP="00B54C7D">
            <w:pPr>
              <w:pStyle w:val="TabNumeri"/>
            </w:pPr>
            <w:r w:rsidRPr="0063076F">
              <w:t>99,9</w:t>
            </w:r>
          </w:p>
        </w:tc>
      </w:tr>
      <w:tr w:rsidR="00B54C7D" w:rsidRPr="00B54C7D" w14:paraId="0D76B34A" w14:textId="77777777" w:rsidTr="00B54C7D">
        <w:trPr>
          <w:cantSplit/>
          <w:trHeight w:val="255"/>
        </w:trPr>
        <w:tc>
          <w:tcPr>
            <w:tcW w:w="9370" w:type="dxa"/>
            <w:gridSpan w:val="10"/>
            <w:tcBorders>
              <w:top w:val="single" w:sz="4" w:space="0" w:color="632423" w:themeColor="accent2" w:themeShade="80"/>
            </w:tcBorders>
            <w:noWrap/>
          </w:tcPr>
          <w:p w14:paraId="0BEEFDB9" w14:textId="77777777" w:rsidR="00B54C7D" w:rsidRPr="00B54C7D" w:rsidRDefault="00B54C7D" w:rsidP="00B54C7D">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14:paraId="6A886424" w14:textId="77777777" w:rsidR="00B54C7D" w:rsidRPr="00B54C7D" w:rsidRDefault="00B54C7D" w:rsidP="00B54C7D">
            <w:pPr>
              <w:pStyle w:val="TabNoteInferiori"/>
            </w:pPr>
            <w:r w:rsidRPr="00B54C7D">
              <w:t xml:space="preserve">Fonte: </w:t>
            </w:r>
            <w:proofErr w:type="spellStart"/>
            <w:r w:rsidRPr="00B54C7D">
              <w:t>Eurosystem</w:t>
            </w:r>
            <w:proofErr w:type="spellEnd"/>
            <w:r w:rsidRPr="00B54C7D">
              <w:t xml:space="preserve"> staff </w:t>
            </w:r>
            <w:proofErr w:type="spellStart"/>
            <w:r w:rsidRPr="00B54C7D">
              <w:t>macroeconomic</w:t>
            </w:r>
            <w:proofErr w:type="spellEnd"/>
            <w:r w:rsidRPr="00B54C7D">
              <w:t xml:space="preserve"> </w:t>
            </w:r>
            <w:proofErr w:type="spellStart"/>
            <w:r w:rsidRPr="00B54C7D">
              <w:t>projections</w:t>
            </w:r>
            <w:proofErr w:type="spellEnd"/>
            <w:r w:rsidRPr="00B54C7D">
              <w:t xml:space="preserve"> for the euro area, 10 dicembre 2020</w:t>
            </w:r>
          </w:p>
        </w:tc>
      </w:tr>
    </w:tbl>
    <w:bookmarkEnd w:id="0"/>
    <w:p w14:paraId="65A5CF20" w14:textId="77777777" w:rsidR="00B16BA6" w:rsidRDefault="00B16BA6" w:rsidP="00B16BA6">
      <w:r>
        <w:t>In uno scenario più grave, di mancato contenimento della pandemia nel corso del 2021, tale da imporre nuovamente più stringenti misure di contenimento, la Bce giunge a stimare una caduta del Pil del 7,3 per cento per l’Area dell’euro nel 2020, ma soprattutto una sostanziale stasi nel 2021 (0,4 per cento).</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B54C7D" w:rsidRPr="002B550F" w14:paraId="58C0912A" w14:textId="77777777" w:rsidTr="00BB2D64">
        <w:tc>
          <w:tcPr>
            <w:tcW w:w="9356" w:type="dxa"/>
          </w:tcPr>
          <w:p w14:paraId="58949FBA" w14:textId="77777777" w:rsidR="00B54C7D" w:rsidRPr="002B550F" w:rsidRDefault="00B54C7D" w:rsidP="00BB2D64">
            <w:pPr>
              <w:pStyle w:val="FigTitolo"/>
            </w:pPr>
            <w:bookmarkStart w:id="1" w:name="_Hlk34669262"/>
            <w:r w:rsidRPr="002B550F">
              <w:t xml:space="preserve">Tasso di variazione del </w:t>
            </w:r>
            <w:r>
              <w:t>p</w:t>
            </w:r>
            <w:r w:rsidRPr="002B550F">
              <w:t>rodotto interno lordo</w:t>
            </w:r>
            <w:r>
              <w:t xml:space="preserve"> per l’area dell’euro, l’Unione europea e alcuni paesi</w:t>
            </w:r>
          </w:p>
        </w:tc>
      </w:tr>
      <w:tr w:rsidR="00B54C7D" w:rsidRPr="002B550F" w14:paraId="52575407" w14:textId="77777777" w:rsidTr="00BB2D64">
        <w:tc>
          <w:tcPr>
            <w:tcW w:w="9356" w:type="dxa"/>
          </w:tcPr>
          <w:p w14:paraId="6E8DD5FE" w14:textId="77777777" w:rsidR="00B54C7D" w:rsidRPr="00674C12" w:rsidRDefault="00B54C7D" w:rsidP="00BB2D64">
            <w:pPr>
              <w:pStyle w:val="Figure"/>
            </w:pPr>
            <w:r w:rsidRPr="00AB4CDD">
              <w:rPr>
                <w:noProof/>
              </w:rPr>
              <w:drawing>
                <wp:inline distT="0" distB="0" distL="0" distR="0" wp14:anchorId="4E7D773A" wp14:editId="3E53C96E">
                  <wp:extent cx="5626100" cy="1778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26100" cy="1778000"/>
                          </a:xfrm>
                          <a:prstGeom prst="rect">
                            <a:avLst/>
                          </a:prstGeom>
                          <a:noFill/>
                          <a:ln>
                            <a:noFill/>
                          </a:ln>
                        </pic:spPr>
                      </pic:pic>
                    </a:graphicData>
                  </a:graphic>
                </wp:inline>
              </w:drawing>
            </w:r>
          </w:p>
        </w:tc>
      </w:tr>
      <w:tr w:rsidR="00B54C7D" w:rsidRPr="007862B1" w14:paraId="4D36E860" w14:textId="77777777" w:rsidTr="00BB2D64">
        <w:tc>
          <w:tcPr>
            <w:tcW w:w="9356" w:type="dxa"/>
          </w:tcPr>
          <w:p w14:paraId="7B3F79F7" w14:textId="77777777" w:rsidR="00B54C7D" w:rsidRPr="00860890" w:rsidRDefault="00B54C7D" w:rsidP="00BB2D64">
            <w:pPr>
              <w:pStyle w:val="TabNoteSuperiori"/>
            </w:pPr>
            <w:r w:rsidRPr="002F7285">
              <w:t xml:space="preserve">Fonte: </w:t>
            </w:r>
            <w:proofErr w:type="spellStart"/>
            <w:r w:rsidRPr="002F7285">
              <w:t>European</w:t>
            </w:r>
            <w:proofErr w:type="spellEnd"/>
            <w:r w:rsidRPr="002F7285">
              <w:t xml:space="preserve"> Commission, </w:t>
            </w:r>
            <w:proofErr w:type="spellStart"/>
            <w:r w:rsidRPr="002F7285">
              <w:t>European</w:t>
            </w:r>
            <w:proofErr w:type="spellEnd"/>
            <w:r w:rsidRPr="002F7285">
              <w:t xml:space="preserve"> </w:t>
            </w:r>
            <w:proofErr w:type="spellStart"/>
            <w:r w:rsidRPr="002F7285">
              <w:t>Macroeconomic</w:t>
            </w:r>
            <w:proofErr w:type="spellEnd"/>
            <w:r w:rsidRPr="002F7285">
              <w:t xml:space="preserve"> Forecast,</w:t>
            </w:r>
            <w:r w:rsidRPr="00023493">
              <w:t xml:space="preserve"> 07 novembre 2020</w:t>
            </w:r>
          </w:p>
        </w:tc>
      </w:tr>
    </w:tbl>
    <w:bookmarkEnd w:id="1"/>
    <w:p w14:paraId="2507F550" w14:textId="77777777" w:rsidR="00B16BA6" w:rsidRDefault="00B16BA6" w:rsidP="00B16BA6">
      <w:r>
        <w:t xml:space="preserve">L’occupazione si ridurrà nell’anno in corso (-1,8 per cento) e nel prossimo (-0,9 per cento) e l’aumento della disoccupazione contenuto nel 2020 (8,0 per cento) dalla riduzione delle forze lavoro è destinato a proseguire nel 2021 (9,3 per cento). </w:t>
      </w:r>
    </w:p>
    <w:p w14:paraId="3D5ACD1D" w14:textId="77777777" w:rsidR="00B16BA6" w:rsidRDefault="00B16BA6" w:rsidP="00B16BA6">
      <w:r>
        <w:t xml:space="preserve">Il sostegno all’attività e giunto in tutti i paesi dell’area dalla sola spesa pubblica. Il debito pubblico e quello delle società non finanziarie sono in significativa crescita e destinati a rimanere al di sopra dei livelli </w:t>
      </w:r>
      <w:proofErr w:type="gramStart"/>
      <w:r>
        <w:t>pre-crisi</w:t>
      </w:r>
      <w:proofErr w:type="gramEnd"/>
      <w:r>
        <w:t xml:space="preserve"> a lungo. L’indebitamento pubblico nell’area dell’euro salirà dallo 0,6 all’8,0 per cento del Pil nel 2020 e, tenuto conto delle misure in vigore e attualmente prospettate si ridurrà leggermente nel 2021 (6,1 per cento), ma potrebbero rendersi necessari ulteriori interventi di emergenza. Nelle stesse ipotesi il debito pubblico nell’area salirà di oltre 14 punti nel 2020, giungendo prossimo all’unità (98,4 per cento) per poi salire ulteriormente nel 2021 (99,9 per cento).</w:t>
      </w:r>
    </w:p>
    <w:p w14:paraId="5F7B9D36" w14:textId="77777777" w:rsidR="00B16BA6" w:rsidRDefault="00B16BA6" w:rsidP="00B16BA6">
      <w:r>
        <w:t>La pandemia determinerà un ulteriore ampliamento delle divergenze economiche all’interno dell’Unione, a causa dell’impatto diverso tra i paesi membri dipendente da condizioni sanitarie, misure di contenimento, composizione dei settori economici, caratteristiche del mercato del lavoro e misure di sostegno adottate.</w:t>
      </w:r>
    </w:p>
    <w:p w14:paraId="244B0BFE" w14:textId="77777777" w:rsidR="00B16BA6" w:rsidRDefault="00B16BA6" w:rsidP="00B16BA6">
      <w:pPr>
        <w:rPr>
          <w:highlight w:val="lightGray"/>
        </w:rPr>
      </w:pPr>
      <w:r>
        <w:t>Con riferimento ai paesi principali, nel recente scenario dell’Ocse di inizio dicembre, il prodotto interno lordo in Germania subirà una riduzione del 5,5 per cento nel 2020, per riprendersi lentamente nel 2021 (+2,8 per cento). In Francia l’effetto dello shock nel 2020 sarà notevolmente più ampio (-9,1 per cento), ma anche la successiva parziale ripresa sarà più consistente nel 2021 (+6,0 per cento). La Spagna subirà una delle più ampie cadute del Pil nel 2020 (-11,6 per cento) e nel 2021 la ripresa dovrebbe non andare oltre il 5,0 per cento, quando la disoccupazione dovrebbe raggiungere il 17,4 per cento.</w:t>
      </w:r>
    </w:p>
    <w:p w14:paraId="79C9E63D" w14:textId="083BA446" w:rsidR="00F81CE8" w:rsidRDefault="002B3250" w:rsidP="00F81CE8">
      <w:pPr>
        <w:pStyle w:val="Titolo2"/>
      </w:pPr>
      <w:r>
        <w:t xml:space="preserve">L’economia </w:t>
      </w:r>
      <w:r w:rsidR="00CE68C2">
        <w:t>nazionale</w:t>
      </w:r>
    </w:p>
    <w:p w14:paraId="39A64CB9" w14:textId="77777777" w:rsidR="007F7962" w:rsidRDefault="007F7962" w:rsidP="007F7962">
      <w:r>
        <w:t xml:space="preserve">L’Italia vive la più grave fase di recessione dalla fine della </w:t>
      </w:r>
      <w:proofErr w:type="gramStart"/>
      <w:r>
        <w:t>seconda guerra mondiale</w:t>
      </w:r>
      <w:proofErr w:type="gramEnd"/>
      <w:r>
        <w:t xml:space="preserve">. La crisi dovuta alla pandemia ha effetti asimmetrici sui settori economici, richiede un’ampia riallocazione dei fattori e comporterà notevoli effetti distributivi. Sarà cruciale l’ampiezza degli effetti sull’occupazione e sulla </w:t>
      </w:r>
      <w:r>
        <w:lastRenderedPageBreak/>
        <w:t xml:space="preserve">sopravvivenza delle imprese al momento del graduale venire meno delle misure adottate a sostegno delle attività produttive, dell’occupazione e dei redditi. </w:t>
      </w:r>
    </w:p>
    <w:p w14:paraId="3BDA33EB" w14:textId="77777777" w:rsidR="007F7962" w:rsidRDefault="007F7962" w:rsidP="007F7962">
      <w:r>
        <w:t xml:space="preserve">Banca d’Italia in coordinamento con l’Eurosistema ipotizza che l’epidemia resti sugli attuali livelli tra la fine del 2020 e l’inizio del 2021, che successivamente ritorni gradualmente sotto controllo nella prima metà del 2021 e che venga superata l’emergenza entro il 2022 con soluzioni mediche efficaci. </w:t>
      </w:r>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B54C7D" w14:paraId="194E9F20" w14:textId="77777777" w:rsidTr="00BB2D64">
        <w:tc>
          <w:tcPr>
            <w:tcW w:w="9356" w:type="dxa"/>
          </w:tcPr>
          <w:p w14:paraId="6205F32B" w14:textId="77777777" w:rsidR="00B54C7D" w:rsidRDefault="00B54C7D" w:rsidP="00BB2D64">
            <w:pPr>
              <w:pStyle w:val="FigTitolo"/>
            </w:pPr>
            <w:r>
              <w:t>Prodotto interno lordo, valori concatenati (anno di riferimento 2015), dati destagionalizzati e corretti.</w:t>
            </w:r>
            <w:r>
              <w:br/>
              <w:t>Numero indice (2015=100) e tasso di variazione sul trimestre precedente.</w:t>
            </w:r>
          </w:p>
        </w:tc>
      </w:tr>
      <w:tr w:rsidR="00B54C7D" w:rsidRPr="00064064" w14:paraId="172C910C" w14:textId="77777777" w:rsidTr="00BB2D64">
        <w:tblPrEx>
          <w:tblCellMar>
            <w:left w:w="70" w:type="dxa"/>
            <w:right w:w="70" w:type="dxa"/>
          </w:tblCellMar>
        </w:tblPrEx>
        <w:tc>
          <w:tcPr>
            <w:tcW w:w="9356" w:type="dxa"/>
          </w:tcPr>
          <w:p w14:paraId="783B54AE" w14:textId="77777777" w:rsidR="00B54C7D" w:rsidRPr="00064064" w:rsidRDefault="00B54C7D" w:rsidP="00BB2D64">
            <w:pPr>
              <w:pStyle w:val="Figure"/>
            </w:pPr>
            <w:r w:rsidRPr="00DE6092">
              <w:rPr>
                <w:noProof/>
              </w:rPr>
              <w:drawing>
                <wp:inline distT="0" distB="0" distL="0" distR="0" wp14:anchorId="28EB3338" wp14:editId="6218B047">
                  <wp:extent cx="5627370" cy="192087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27370" cy="1920875"/>
                          </a:xfrm>
                          <a:prstGeom prst="rect">
                            <a:avLst/>
                          </a:prstGeom>
                          <a:noFill/>
                          <a:ln>
                            <a:noFill/>
                          </a:ln>
                        </pic:spPr>
                      </pic:pic>
                    </a:graphicData>
                  </a:graphic>
                </wp:inline>
              </w:drawing>
            </w:r>
          </w:p>
        </w:tc>
      </w:tr>
      <w:tr w:rsidR="00B54C7D" w14:paraId="605B4822" w14:textId="77777777" w:rsidTr="00BB2D64">
        <w:tc>
          <w:tcPr>
            <w:tcW w:w="9356" w:type="dxa"/>
          </w:tcPr>
          <w:p w14:paraId="23C53A53" w14:textId="77777777" w:rsidR="00B54C7D" w:rsidRDefault="00B54C7D" w:rsidP="00BB2D64">
            <w:pPr>
              <w:pStyle w:val="TabNoteSuperiori"/>
            </w:pPr>
            <w:r>
              <w:t>Fonte Istat</w:t>
            </w:r>
          </w:p>
        </w:tc>
      </w:tr>
    </w:tbl>
    <w:tbl>
      <w:tblPr>
        <w:tblStyle w:val="Grigliatabella"/>
        <w:tblpPr w:topFromText="284" w:bottomFromText="284" w:horzAnchor="margin" w:tblpXSpec="center" w:tblpYSpec="bottom"/>
        <w:tblOverlap w:val="never"/>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680"/>
        <w:gridCol w:w="228"/>
        <w:gridCol w:w="680"/>
        <w:gridCol w:w="228"/>
        <w:gridCol w:w="510"/>
        <w:gridCol w:w="397"/>
        <w:gridCol w:w="680"/>
        <w:gridCol w:w="228"/>
        <w:gridCol w:w="113"/>
        <w:gridCol w:w="680"/>
        <w:gridCol w:w="228"/>
        <w:gridCol w:w="680"/>
        <w:gridCol w:w="228"/>
        <w:gridCol w:w="510"/>
        <w:gridCol w:w="397"/>
        <w:gridCol w:w="680"/>
        <w:gridCol w:w="227"/>
      </w:tblGrid>
      <w:tr w:rsidR="00B54C7D" w14:paraId="21217992" w14:textId="77777777" w:rsidTr="00BB2D64">
        <w:trPr>
          <w:cantSplit/>
          <w:trHeight w:val="255"/>
        </w:trPr>
        <w:tc>
          <w:tcPr>
            <w:tcW w:w="9359" w:type="dxa"/>
            <w:gridSpan w:val="18"/>
            <w:tcBorders>
              <w:bottom w:val="single" w:sz="4" w:space="0" w:color="632423" w:themeColor="accent2" w:themeShade="80"/>
            </w:tcBorders>
            <w:noWrap/>
          </w:tcPr>
          <w:p w14:paraId="500313F5" w14:textId="77777777" w:rsidR="00B54C7D" w:rsidRDefault="00B54C7D" w:rsidP="00BB2D64">
            <w:pPr>
              <w:pStyle w:val="TabTitolo"/>
            </w:pPr>
            <w:r>
              <w:t>L'economia italiana. Consuntivo e previsioni recenti, variazioni percentuali annue a prezzi costanti salvo diversa indicazione.</w:t>
            </w:r>
          </w:p>
        </w:tc>
      </w:tr>
      <w:tr w:rsidR="00B54C7D" w:rsidRPr="00C744DD" w14:paraId="6B5A8AD2" w14:textId="77777777" w:rsidTr="00BB2D64">
        <w:trPr>
          <w:cantSplit/>
          <w:trHeight w:val="255"/>
        </w:trPr>
        <w:tc>
          <w:tcPr>
            <w:tcW w:w="1985" w:type="dxa"/>
            <w:tcBorders>
              <w:top w:val="single" w:sz="4" w:space="0" w:color="632423" w:themeColor="accent2" w:themeShade="80"/>
            </w:tcBorders>
            <w:noWrap/>
          </w:tcPr>
          <w:p w14:paraId="1C41882B" w14:textId="77777777" w:rsidR="00B54C7D" w:rsidRPr="00C744DD" w:rsidRDefault="00B54C7D" w:rsidP="00BB2D64">
            <w:pPr>
              <w:pStyle w:val="TabIntestaSup"/>
            </w:pPr>
          </w:p>
        </w:tc>
        <w:tc>
          <w:tcPr>
            <w:tcW w:w="3631" w:type="dxa"/>
            <w:gridSpan w:val="8"/>
            <w:tcBorders>
              <w:top w:val="single" w:sz="4" w:space="0" w:color="632423" w:themeColor="accent2" w:themeShade="80"/>
            </w:tcBorders>
            <w:noWrap/>
          </w:tcPr>
          <w:p w14:paraId="1911A0F5" w14:textId="77777777" w:rsidR="00B54C7D" w:rsidRPr="00C744DD" w:rsidRDefault="00B54C7D" w:rsidP="00BB2D64">
            <w:pPr>
              <w:pStyle w:val="TabIntestaSupBordo"/>
            </w:pPr>
            <w:r w:rsidRPr="00C744DD">
              <w:t>Previsioni 20</w:t>
            </w:r>
            <w:r>
              <w:t>20</w:t>
            </w:r>
          </w:p>
        </w:tc>
        <w:tc>
          <w:tcPr>
            <w:tcW w:w="113" w:type="dxa"/>
            <w:tcBorders>
              <w:top w:val="single" w:sz="4" w:space="0" w:color="632423" w:themeColor="accent2" w:themeShade="80"/>
            </w:tcBorders>
            <w:noWrap/>
          </w:tcPr>
          <w:p w14:paraId="5458877B" w14:textId="77777777" w:rsidR="00B54C7D" w:rsidRPr="00C744DD" w:rsidRDefault="00B54C7D" w:rsidP="00BB2D64">
            <w:pPr>
              <w:pStyle w:val="TabIntestaSup"/>
            </w:pPr>
          </w:p>
        </w:tc>
        <w:tc>
          <w:tcPr>
            <w:tcW w:w="3630" w:type="dxa"/>
            <w:gridSpan w:val="8"/>
            <w:tcBorders>
              <w:top w:val="single" w:sz="4" w:space="0" w:color="632423" w:themeColor="accent2" w:themeShade="80"/>
            </w:tcBorders>
          </w:tcPr>
          <w:p w14:paraId="63526787" w14:textId="77777777" w:rsidR="00B54C7D" w:rsidRPr="00C744DD" w:rsidRDefault="00B54C7D" w:rsidP="00BB2D64">
            <w:pPr>
              <w:pStyle w:val="TabIntestaSupBordo"/>
            </w:pPr>
            <w:r>
              <w:t>Previsioni 2021</w:t>
            </w:r>
          </w:p>
        </w:tc>
      </w:tr>
      <w:tr w:rsidR="00B54C7D" w:rsidRPr="00C744DD" w14:paraId="008FD558" w14:textId="77777777" w:rsidTr="00BB2D64">
        <w:trPr>
          <w:cantSplit/>
          <w:trHeight w:val="255"/>
        </w:trPr>
        <w:tc>
          <w:tcPr>
            <w:tcW w:w="1985" w:type="dxa"/>
            <w:noWrap/>
          </w:tcPr>
          <w:p w14:paraId="0B8C7FE5" w14:textId="77777777" w:rsidR="00B54C7D" w:rsidRPr="00C744DD" w:rsidRDefault="00B54C7D" w:rsidP="00BB2D64">
            <w:pPr>
              <w:pStyle w:val="TabIntestaSup"/>
            </w:pPr>
          </w:p>
        </w:tc>
        <w:tc>
          <w:tcPr>
            <w:tcW w:w="908" w:type="dxa"/>
            <w:gridSpan w:val="2"/>
            <w:noWrap/>
          </w:tcPr>
          <w:p w14:paraId="2813335C" w14:textId="77777777" w:rsidR="00B54C7D" w:rsidRPr="00C744DD" w:rsidRDefault="00B54C7D" w:rsidP="00BB2D64">
            <w:pPr>
              <w:pStyle w:val="TabIntestaSup"/>
            </w:pPr>
            <w:r w:rsidRPr="00C744DD">
              <w:t>Fmi</w:t>
            </w:r>
          </w:p>
        </w:tc>
        <w:tc>
          <w:tcPr>
            <w:tcW w:w="908" w:type="dxa"/>
            <w:gridSpan w:val="2"/>
            <w:noWrap/>
          </w:tcPr>
          <w:p w14:paraId="03A6089F" w14:textId="77777777" w:rsidR="00B54C7D" w:rsidRPr="00C744DD" w:rsidRDefault="00B54C7D" w:rsidP="00BB2D64">
            <w:pPr>
              <w:pStyle w:val="TabIntestaSup"/>
            </w:pPr>
            <w:r w:rsidRPr="00C744DD">
              <w:t>Ue</w:t>
            </w:r>
          </w:p>
        </w:tc>
        <w:tc>
          <w:tcPr>
            <w:tcW w:w="907" w:type="dxa"/>
            <w:gridSpan w:val="2"/>
            <w:noWrap/>
          </w:tcPr>
          <w:p w14:paraId="13A57815" w14:textId="77777777" w:rsidR="00B54C7D" w:rsidRPr="00C744DD" w:rsidRDefault="00B54C7D" w:rsidP="00BB2D64">
            <w:pPr>
              <w:pStyle w:val="TabIntestaSup"/>
            </w:pPr>
            <w:r w:rsidRPr="00C744DD">
              <w:t>Prometeia</w:t>
            </w:r>
          </w:p>
        </w:tc>
        <w:tc>
          <w:tcPr>
            <w:tcW w:w="908" w:type="dxa"/>
            <w:gridSpan w:val="2"/>
            <w:noWrap/>
          </w:tcPr>
          <w:p w14:paraId="4DFC7992" w14:textId="77777777" w:rsidR="00B54C7D" w:rsidRPr="00C744DD" w:rsidRDefault="00B54C7D" w:rsidP="00BB2D64">
            <w:pPr>
              <w:pStyle w:val="TabIntestaSup"/>
            </w:pPr>
            <w:r w:rsidRPr="00C744DD">
              <w:t>Ocse</w:t>
            </w:r>
          </w:p>
        </w:tc>
        <w:tc>
          <w:tcPr>
            <w:tcW w:w="113" w:type="dxa"/>
            <w:noWrap/>
          </w:tcPr>
          <w:p w14:paraId="69D0BBDD" w14:textId="77777777" w:rsidR="00B54C7D" w:rsidRPr="00C744DD" w:rsidRDefault="00B54C7D" w:rsidP="00BB2D64">
            <w:pPr>
              <w:pStyle w:val="TabIntestaSup"/>
            </w:pPr>
          </w:p>
        </w:tc>
        <w:tc>
          <w:tcPr>
            <w:tcW w:w="908" w:type="dxa"/>
            <w:gridSpan w:val="2"/>
          </w:tcPr>
          <w:p w14:paraId="07C407B9" w14:textId="77777777" w:rsidR="00B54C7D" w:rsidRPr="00C744DD" w:rsidRDefault="00B54C7D" w:rsidP="00BB2D64">
            <w:pPr>
              <w:pStyle w:val="TabIntestaSup"/>
            </w:pPr>
            <w:r w:rsidRPr="00C744DD">
              <w:t>Fmi</w:t>
            </w:r>
          </w:p>
        </w:tc>
        <w:tc>
          <w:tcPr>
            <w:tcW w:w="908" w:type="dxa"/>
            <w:gridSpan w:val="2"/>
            <w:noWrap/>
          </w:tcPr>
          <w:p w14:paraId="0668F00B" w14:textId="77777777" w:rsidR="00B54C7D" w:rsidRPr="00C744DD" w:rsidRDefault="00B54C7D" w:rsidP="00BB2D64">
            <w:pPr>
              <w:pStyle w:val="TabIntestaSup"/>
            </w:pPr>
            <w:r w:rsidRPr="00C744DD">
              <w:t>Ue</w:t>
            </w:r>
          </w:p>
        </w:tc>
        <w:tc>
          <w:tcPr>
            <w:tcW w:w="907" w:type="dxa"/>
            <w:gridSpan w:val="2"/>
            <w:noWrap/>
          </w:tcPr>
          <w:p w14:paraId="02CD9371" w14:textId="77777777" w:rsidR="00B54C7D" w:rsidRPr="00C744DD" w:rsidRDefault="00B54C7D" w:rsidP="00BB2D64">
            <w:pPr>
              <w:pStyle w:val="TabIntestaSup"/>
            </w:pPr>
            <w:r w:rsidRPr="00C744DD">
              <w:t>Prometeia</w:t>
            </w:r>
          </w:p>
        </w:tc>
        <w:tc>
          <w:tcPr>
            <w:tcW w:w="907" w:type="dxa"/>
            <w:gridSpan w:val="2"/>
            <w:noWrap/>
          </w:tcPr>
          <w:p w14:paraId="239E076E" w14:textId="77777777" w:rsidR="00B54C7D" w:rsidRPr="00C744DD" w:rsidRDefault="00B54C7D" w:rsidP="00BB2D64">
            <w:pPr>
              <w:pStyle w:val="TabIntestaSup"/>
            </w:pPr>
            <w:r w:rsidRPr="00C744DD">
              <w:t>Ocse</w:t>
            </w:r>
          </w:p>
        </w:tc>
      </w:tr>
      <w:tr w:rsidR="00B54C7D" w14:paraId="78C6A5D4" w14:textId="77777777" w:rsidTr="00BB2D64">
        <w:trPr>
          <w:cantSplit/>
          <w:trHeight w:val="255"/>
        </w:trPr>
        <w:tc>
          <w:tcPr>
            <w:tcW w:w="1985" w:type="dxa"/>
            <w:tcBorders>
              <w:bottom w:val="single" w:sz="4" w:space="0" w:color="632423" w:themeColor="accent2" w:themeShade="80"/>
            </w:tcBorders>
            <w:noWrap/>
          </w:tcPr>
          <w:p w14:paraId="28F834F0" w14:textId="77777777" w:rsidR="00B54C7D" w:rsidRDefault="00B54C7D" w:rsidP="00BB2D64">
            <w:pPr>
              <w:pStyle w:val="TabIntestaInf"/>
            </w:pPr>
          </w:p>
        </w:tc>
        <w:tc>
          <w:tcPr>
            <w:tcW w:w="908" w:type="dxa"/>
            <w:gridSpan w:val="2"/>
            <w:tcBorders>
              <w:bottom w:val="single" w:sz="4" w:space="0" w:color="632423" w:themeColor="accent2" w:themeShade="80"/>
            </w:tcBorders>
            <w:noWrap/>
          </w:tcPr>
          <w:p w14:paraId="551395DB" w14:textId="77777777" w:rsidR="00B54C7D" w:rsidRDefault="00B54C7D" w:rsidP="00BB2D64">
            <w:pPr>
              <w:pStyle w:val="TabIntestaInf"/>
            </w:pPr>
            <w:r>
              <w:t>ott-20</w:t>
            </w:r>
          </w:p>
        </w:tc>
        <w:tc>
          <w:tcPr>
            <w:tcW w:w="908" w:type="dxa"/>
            <w:gridSpan w:val="2"/>
            <w:tcBorders>
              <w:bottom w:val="single" w:sz="4" w:space="0" w:color="632423" w:themeColor="accent2" w:themeShade="80"/>
            </w:tcBorders>
            <w:noWrap/>
          </w:tcPr>
          <w:p w14:paraId="6B68E083" w14:textId="77777777" w:rsidR="00B54C7D" w:rsidRDefault="00B54C7D" w:rsidP="00BB2D64">
            <w:pPr>
              <w:pStyle w:val="TabIntestaInf"/>
            </w:pPr>
            <w:r>
              <w:t>nov-20</w:t>
            </w:r>
          </w:p>
        </w:tc>
        <w:tc>
          <w:tcPr>
            <w:tcW w:w="907" w:type="dxa"/>
            <w:gridSpan w:val="2"/>
            <w:tcBorders>
              <w:bottom w:val="single" w:sz="4" w:space="0" w:color="632423" w:themeColor="accent2" w:themeShade="80"/>
            </w:tcBorders>
            <w:noWrap/>
          </w:tcPr>
          <w:p w14:paraId="317A03F7" w14:textId="77777777" w:rsidR="00B54C7D" w:rsidRDefault="00B54C7D" w:rsidP="00BB2D64">
            <w:pPr>
              <w:pStyle w:val="TabIntestaInf"/>
            </w:pPr>
            <w:r>
              <w:t>nov-20 [1]</w:t>
            </w:r>
          </w:p>
        </w:tc>
        <w:tc>
          <w:tcPr>
            <w:tcW w:w="908" w:type="dxa"/>
            <w:gridSpan w:val="2"/>
            <w:tcBorders>
              <w:bottom w:val="single" w:sz="4" w:space="0" w:color="632423" w:themeColor="accent2" w:themeShade="80"/>
            </w:tcBorders>
            <w:noWrap/>
          </w:tcPr>
          <w:p w14:paraId="30F6F6AB" w14:textId="77777777" w:rsidR="00B54C7D" w:rsidRDefault="00B54C7D" w:rsidP="00BB2D64">
            <w:pPr>
              <w:pStyle w:val="TabIntestaInf"/>
            </w:pPr>
            <w:r>
              <w:t>dic-20 [1]</w:t>
            </w:r>
          </w:p>
        </w:tc>
        <w:tc>
          <w:tcPr>
            <w:tcW w:w="113" w:type="dxa"/>
            <w:tcBorders>
              <w:bottom w:val="single" w:sz="4" w:space="0" w:color="632423" w:themeColor="accent2" w:themeShade="80"/>
            </w:tcBorders>
            <w:noWrap/>
          </w:tcPr>
          <w:p w14:paraId="0D61D318" w14:textId="77777777" w:rsidR="00B54C7D" w:rsidRDefault="00B54C7D" w:rsidP="00BB2D64">
            <w:pPr>
              <w:pStyle w:val="TabIntestaInf"/>
            </w:pPr>
          </w:p>
        </w:tc>
        <w:tc>
          <w:tcPr>
            <w:tcW w:w="908" w:type="dxa"/>
            <w:gridSpan w:val="2"/>
            <w:tcBorders>
              <w:bottom w:val="single" w:sz="4" w:space="0" w:color="632423" w:themeColor="accent2" w:themeShade="80"/>
            </w:tcBorders>
          </w:tcPr>
          <w:p w14:paraId="7CEBF271" w14:textId="77777777" w:rsidR="00B54C7D" w:rsidRDefault="00B54C7D" w:rsidP="00BB2D64">
            <w:pPr>
              <w:pStyle w:val="TabIntestaInf"/>
            </w:pPr>
            <w:r>
              <w:t>ott-20</w:t>
            </w:r>
          </w:p>
        </w:tc>
        <w:tc>
          <w:tcPr>
            <w:tcW w:w="908" w:type="dxa"/>
            <w:gridSpan w:val="2"/>
            <w:tcBorders>
              <w:bottom w:val="single" w:sz="4" w:space="0" w:color="632423" w:themeColor="accent2" w:themeShade="80"/>
            </w:tcBorders>
            <w:noWrap/>
          </w:tcPr>
          <w:p w14:paraId="02C0D822" w14:textId="77777777" w:rsidR="00B54C7D" w:rsidRDefault="00B54C7D" w:rsidP="00BB2D64">
            <w:pPr>
              <w:pStyle w:val="TabIntestaInf"/>
            </w:pPr>
            <w:r>
              <w:t>nov-20</w:t>
            </w:r>
          </w:p>
        </w:tc>
        <w:tc>
          <w:tcPr>
            <w:tcW w:w="907" w:type="dxa"/>
            <w:gridSpan w:val="2"/>
            <w:tcBorders>
              <w:bottom w:val="single" w:sz="4" w:space="0" w:color="632423" w:themeColor="accent2" w:themeShade="80"/>
            </w:tcBorders>
            <w:noWrap/>
          </w:tcPr>
          <w:p w14:paraId="3B30463A" w14:textId="77777777" w:rsidR="00B54C7D" w:rsidRDefault="00B54C7D" w:rsidP="00BB2D64">
            <w:pPr>
              <w:pStyle w:val="TabIntestaInf"/>
            </w:pPr>
            <w:r>
              <w:t>nov-20 [1]</w:t>
            </w:r>
          </w:p>
        </w:tc>
        <w:tc>
          <w:tcPr>
            <w:tcW w:w="907" w:type="dxa"/>
            <w:gridSpan w:val="2"/>
            <w:tcBorders>
              <w:bottom w:val="single" w:sz="4" w:space="0" w:color="632423" w:themeColor="accent2" w:themeShade="80"/>
            </w:tcBorders>
            <w:noWrap/>
          </w:tcPr>
          <w:p w14:paraId="4602E98D" w14:textId="77777777" w:rsidR="00B54C7D" w:rsidRDefault="00B54C7D" w:rsidP="00BB2D64">
            <w:pPr>
              <w:pStyle w:val="TabIntestaInf"/>
            </w:pPr>
            <w:r>
              <w:t>dic-20 [1]</w:t>
            </w:r>
          </w:p>
        </w:tc>
      </w:tr>
      <w:tr w:rsidR="00B54C7D" w14:paraId="409DFB83" w14:textId="77777777" w:rsidTr="00BB2D64">
        <w:trPr>
          <w:cantSplit/>
          <w:trHeight w:hRule="exact" w:val="113"/>
        </w:trPr>
        <w:tc>
          <w:tcPr>
            <w:tcW w:w="1985" w:type="dxa"/>
            <w:tcBorders>
              <w:top w:val="single" w:sz="4" w:space="0" w:color="632423" w:themeColor="accent2" w:themeShade="80"/>
            </w:tcBorders>
            <w:noWrap/>
          </w:tcPr>
          <w:p w14:paraId="77D4AD86" w14:textId="77777777" w:rsidR="00B54C7D" w:rsidRDefault="00B54C7D" w:rsidP="00BB2D64">
            <w:pPr>
              <w:pStyle w:val="TabNumeri"/>
            </w:pPr>
          </w:p>
        </w:tc>
        <w:tc>
          <w:tcPr>
            <w:tcW w:w="680" w:type="dxa"/>
            <w:tcBorders>
              <w:top w:val="single" w:sz="4" w:space="0" w:color="632423" w:themeColor="accent2" w:themeShade="80"/>
            </w:tcBorders>
            <w:noWrap/>
          </w:tcPr>
          <w:p w14:paraId="3511E318" w14:textId="77777777" w:rsidR="00B54C7D" w:rsidRDefault="00B54C7D" w:rsidP="00BB2D64">
            <w:pPr>
              <w:pStyle w:val="TabNumeri"/>
            </w:pPr>
          </w:p>
        </w:tc>
        <w:tc>
          <w:tcPr>
            <w:tcW w:w="228" w:type="dxa"/>
            <w:tcBorders>
              <w:top w:val="single" w:sz="4" w:space="0" w:color="632423" w:themeColor="accent2" w:themeShade="80"/>
            </w:tcBorders>
            <w:noWrap/>
          </w:tcPr>
          <w:p w14:paraId="0A41DB7A" w14:textId="77777777" w:rsidR="00B54C7D" w:rsidRDefault="00B54C7D" w:rsidP="00BB2D64">
            <w:pPr>
              <w:pStyle w:val="TabNumeri"/>
            </w:pPr>
          </w:p>
        </w:tc>
        <w:tc>
          <w:tcPr>
            <w:tcW w:w="680" w:type="dxa"/>
            <w:tcBorders>
              <w:top w:val="single" w:sz="4" w:space="0" w:color="632423" w:themeColor="accent2" w:themeShade="80"/>
            </w:tcBorders>
            <w:noWrap/>
          </w:tcPr>
          <w:p w14:paraId="1B8D7CF0" w14:textId="77777777" w:rsidR="00B54C7D" w:rsidRDefault="00B54C7D" w:rsidP="00BB2D64">
            <w:pPr>
              <w:pStyle w:val="TabNumeri"/>
            </w:pPr>
          </w:p>
        </w:tc>
        <w:tc>
          <w:tcPr>
            <w:tcW w:w="228" w:type="dxa"/>
            <w:tcBorders>
              <w:top w:val="single" w:sz="4" w:space="0" w:color="632423" w:themeColor="accent2" w:themeShade="80"/>
            </w:tcBorders>
            <w:noWrap/>
          </w:tcPr>
          <w:p w14:paraId="1DFEBDB5" w14:textId="77777777" w:rsidR="00B54C7D" w:rsidRDefault="00B54C7D" w:rsidP="00BB2D64">
            <w:pPr>
              <w:pStyle w:val="TabNumeri"/>
            </w:pPr>
          </w:p>
        </w:tc>
        <w:tc>
          <w:tcPr>
            <w:tcW w:w="510" w:type="dxa"/>
            <w:tcBorders>
              <w:top w:val="single" w:sz="4" w:space="0" w:color="632423" w:themeColor="accent2" w:themeShade="80"/>
            </w:tcBorders>
            <w:noWrap/>
          </w:tcPr>
          <w:p w14:paraId="50C09D46" w14:textId="77777777" w:rsidR="00B54C7D" w:rsidRDefault="00B54C7D" w:rsidP="00BB2D64">
            <w:pPr>
              <w:pStyle w:val="TabNumeri"/>
            </w:pPr>
          </w:p>
        </w:tc>
        <w:tc>
          <w:tcPr>
            <w:tcW w:w="397" w:type="dxa"/>
            <w:tcBorders>
              <w:top w:val="single" w:sz="4" w:space="0" w:color="632423" w:themeColor="accent2" w:themeShade="80"/>
            </w:tcBorders>
            <w:noWrap/>
          </w:tcPr>
          <w:p w14:paraId="085E5C14" w14:textId="77777777" w:rsidR="00B54C7D" w:rsidRDefault="00B54C7D" w:rsidP="00BB2D64">
            <w:pPr>
              <w:pStyle w:val="TabNumeri"/>
            </w:pPr>
          </w:p>
        </w:tc>
        <w:tc>
          <w:tcPr>
            <w:tcW w:w="680" w:type="dxa"/>
            <w:tcBorders>
              <w:top w:val="single" w:sz="4" w:space="0" w:color="632423" w:themeColor="accent2" w:themeShade="80"/>
            </w:tcBorders>
            <w:noWrap/>
          </w:tcPr>
          <w:p w14:paraId="26FF0FFB" w14:textId="77777777" w:rsidR="00B54C7D" w:rsidRDefault="00B54C7D" w:rsidP="00BB2D64">
            <w:pPr>
              <w:pStyle w:val="TabNumeri"/>
            </w:pPr>
          </w:p>
        </w:tc>
        <w:tc>
          <w:tcPr>
            <w:tcW w:w="228" w:type="dxa"/>
            <w:tcBorders>
              <w:top w:val="single" w:sz="4" w:space="0" w:color="632423" w:themeColor="accent2" w:themeShade="80"/>
            </w:tcBorders>
          </w:tcPr>
          <w:p w14:paraId="2214EA2D" w14:textId="77777777" w:rsidR="00B54C7D" w:rsidRPr="00B64650" w:rsidRDefault="00B54C7D" w:rsidP="00BB2D64">
            <w:pPr>
              <w:pStyle w:val="TabNumeri"/>
            </w:pPr>
          </w:p>
        </w:tc>
        <w:tc>
          <w:tcPr>
            <w:tcW w:w="113" w:type="dxa"/>
            <w:tcBorders>
              <w:top w:val="single" w:sz="4" w:space="0" w:color="632423" w:themeColor="accent2" w:themeShade="80"/>
            </w:tcBorders>
            <w:noWrap/>
          </w:tcPr>
          <w:p w14:paraId="17687998" w14:textId="77777777" w:rsidR="00B54C7D" w:rsidRDefault="00B54C7D" w:rsidP="00BB2D64">
            <w:pPr>
              <w:pStyle w:val="TabNumeri"/>
            </w:pPr>
          </w:p>
        </w:tc>
        <w:tc>
          <w:tcPr>
            <w:tcW w:w="680" w:type="dxa"/>
            <w:tcBorders>
              <w:top w:val="single" w:sz="4" w:space="0" w:color="632423" w:themeColor="accent2" w:themeShade="80"/>
            </w:tcBorders>
          </w:tcPr>
          <w:p w14:paraId="1E0D8D5E" w14:textId="77777777" w:rsidR="00B54C7D" w:rsidRDefault="00B54C7D" w:rsidP="00BB2D64">
            <w:pPr>
              <w:pStyle w:val="TabNumeri"/>
            </w:pPr>
          </w:p>
        </w:tc>
        <w:tc>
          <w:tcPr>
            <w:tcW w:w="228" w:type="dxa"/>
            <w:tcBorders>
              <w:top w:val="single" w:sz="4" w:space="0" w:color="632423" w:themeColor="accent2" w:themeShade="80"/>
            </w:tcBorders>
            <w:noWrap/>
          </w:tcPr>
          <w:p w14:paraId="08F51E20" w14:textId="77777777" w:rsidR="00B54C7D" w:rsidRDefault="00B54C7D" w:rsidP="00BB2D64">
            <w:pPr>
              <w:pStyle w:val="TabNumeri"/>
            </w:pPr>
          </w:p>
        </w:tc>
        <w:tc>
          <w:tcPr>
            <w:tcW w:w="680" w:type="dxa"/>
            <w:tcBorders>
              <w:top w:val="single" w:sz="4" w:space="0" w:color="632423" w:themeColor="accent2" w:themeShade="80"/>
            </w:tcBorders>
            <w:noWrap/>
          </w:tcPr>
          <w:p w14:paraId="3E917656" w14:textId="77777777" w:rsidR="00B54C7D" w:rsidRDefault="00B54C7D" w:rsidP="00BB2D64">
            <w:pPr>
              <w:pStyle w:val="TabNumeri"/>
            </w:pPr>
          </w:p>
        </w:tc>
        <w:tc>
          <w:tcPr>
            <w:tcW w:w="228" w:type="dxa"/>
            <w:tcBorders>
              <w:top w:val="single" w:sz="4" w:space="0" w:color="632423" w:themeColor="accent2" w:themeShade="80"/>
            </w:tcBorders>
            <w:noWrap/>
          </w:tcPr>
          <w:p w14:paraId="6D758A5F" w14:textId="77777777" w:rsidR="00B54C7D" w:rsidRDefault="00B54C7D" w:rsidP="00BB2D64">
            <w:pPr>
              <w:pStyle w:val="TabNumeri"/>
            </w:pPr>
          </w:p>
        </w:tc>
        <w:tc>
          <w:tcPr>
            <w:tcW w:w="510" w:type="dxa"/>
            <w:tcBorders>
              <w:top w:val="single" w:sz="4" w:space="0" w:color="632423" w:themeColor="accent2" w:themeShade="80"/>
            </w:tcBorders>
            <w:noWrap/>
          </w:tcPr>
          <w:p w14:paraId="514A4324" w14:textId="77777777" w:rsidR="00B54C7D" w:rsidRDefault="00B54C7D" w:rsidP="00BB2D64">
            <w:pPr>
              <w:pStyle w:val="TabNumeri"/>
            </w:pPr>
          </w:p>
        </w:tc>
        <w:tc>
          <w:tcPr>
            <w:tcW w:w="397" w:type="dxa"/>
            <w:tcBorders>
              <w:top w:val="single" w:sz="4" w:space="0" w:color="632423" w:themeColor="accent2" w:themeShade="80"/>
            </w:tcBorders>
            <w:noWrap/>
          </w:tcPr>
          <w:p w14:paraId="28FE93D2" w14:textId="77777777" w:rsidR="00B54C7D" w:rsidRDefault="00B54C7D" w:rsidP="00BB2D64">
            <w:pPr>
              <w:pStyle w:val="TabNumeri"/>
            </w:pPr>
          </w:p>
        </w:tc>
        <w:tc>
          <w:tcPr>
            <w:tcW w:w="680" w:type="dxa"/>
            <w:tcBorders>
              <w:top w:val="single" w:sz="4" w:space="0" w:color="632423" w:themeColor="accent2" w:themeShade="80"/>
            </w:tcBorders>
            <w:noWrap/>
          </w:tcPr>
          <w:p w14:paraId="4979ADAA" w14:textId="77777777" w:rsidR="00B54C7D" w:rsidRDefault="00B54C7D" w:rsidP="00BB2D64">
            <w:pPr>
              <w:pStyle w:val="TabNumeri"/>
            </w:pPr>
          </w:p>
        </w:tc>
        <w:tc>
          <w:tcPr>
            <w:tcW w:w="227" w:type="dxa"/>
            <w:tcBorders>
              <w:top w:val="single" w:sz="4" w:space="0" w:color="632423" w:themeColor="accent2" w:themeShade="80"/>
            </w:tcBorders>
            <w:noWrap/>
          </w:tcPr>
          <w:p w14:paraId="5C082C72" w14:textId="77777777" w:rsidR="00B54C7D" w:rsidRDefault="00B54C7D" w:rsidP="00BB2D64">
            <w:pPr>
              <w:pStyle w:val="TabNumeri"/>
            </w:pPr>
          </w:p>
        </w:tc>
      </w:tr>
      <w:tr w:rsidR="00B54C7D" w14:paraId="00DE40B9" w14:textId="77777777" w:rsidTr="00BB2D64">
        <w:trPr>
          <w:cantSplit/>
          <w:trHeight w:val="255"/>
        </w:trPr>
        <w:tc>
          <w:tcPr>
            <w:tcW w:w="1985" w:type="dxa"/>
            <w:noWrap/>
          </w:tcPr>
          <w:p w14:paraId="07C6B23A" w14:textId="77777777" w:rsidR="00B54C7D" w:rsidRPr="00233F5C" w:rsidRDefault="00B54C7D" w:rsidP="00BB2D64">
            <w:pPr>
              <w:pStyle w:val="TabEtichette"/>
            </w:pPr>
            <w:r w:rsidRPr="00233F5C">
              <w:t>Prodotto interno lordo</w:t>
            </w:r>
          </w:p>
        </w:tc>
        <w:tc>
          <w:tcPr>
            <w:tcW w:w="680" w:type="dxa"/>
            <w:noWrap/>
          </w:tcPr>
          <w:p w14:paraId="6CB0022E" w14:textId="77777777" w:rsidR="00B54C7D" w:rsidRPr="00F86988" w:rsidRDefault="00B54C7D" w:rsidP="00BB2D64">
            <w:pPr>
              <w:pStyle w:val="TabNumeri"/>
            </w:pPr>
            <w:r w:rsidRPr="005779FC">
              <w:t>-10,6</w:t>
            </w:r>
          </w:p>
        </w:tc>
        <w:tc>
          <w:tcPr>
            <w:tcW w:w="228" w:type="dxa"/>
            <w:noWrap/>
          </w:tcPr>
          <w:p w14:paraId="375097DF" w14:textId="77777777" w:rsidR="00B54C7D" w:rsidRPr="00B64650" w:rsidRDefault="00B54C7D" w:rsidP="00BB2D64">
            <w:pPr>
              <w:pStyle w:val="TabNumeri"/>
            </w:pPr>
          </w:p>
        </w:tc>
        <w:tc>
          <w:tcPr>
            <w:tcW w:w="680" w:type="dxa"/>
            <w:noWrap/>
          </w:tcPr>
          <w:p w14:paraId="29DF14EA" w14:textId="77777777" w:rsidR="00B54C7D" w:rsidRPr="00D65A6F" w:rsidRDefault="00B54C7D" w:rsidP="00BB2D64">
            <w:pPr>
              <w:pStyle w:val="TabNumeri"/>
            </w:pPr>
            <w:r w:rsidRPr="005779FC">
              <w:t>-9,9</w:t>
            </w:r>
          </w:p>
        </w:tc>
        <w:tc>
          <w:tcPr>
            <w:tcW w:w="228" w:type="dxa"/>
            <w:noWrap/>
          </w:tcPr>
          <w:p w14:paraId="6E3212BF" w14:textId="77777777" w:rsidR="00B54C7D" w:rsidRPr="00C32B54" w:rsidRDefault="00B54C7D" w:rsidP="00BB2D64">
            <w:pPr>
              <w:pStyle w:val="TabNumeri"/>
            </w:pPr>
          </w:p>
        </w:tc>
        <w:tc>
          <w:tcPr>
            <w:tcW w:w="510" w:type="dxa"/>
            <w:noWrap/>
          </w:tcPr>
          <w:p w14:paraId="12061D01" w14:textId="77777777" w:rsidR="00B54C7D" w:rsidRPr="00904DA8" w:rsidRDefault="00B54C7D" w:rsidP="00BB2D64">
            <w:pPr>
              <w:pStyle w:val="TabNumeri"/>
            </w:pPr>
            <w:r w:rsidRPr="00C8485A">
              <w:t>-9,0</w:t>
            </w:r>
          </w:p>
        </w:tc>
        <w:tc>
          <w:tcPr>
            <w:tcW w:w="397" w:type="dxa"/>
            <w:noWrap/>
          </w:tcPr>
          <w:p w14:paraId="0F936D55" w14:textId="77777777" w:rsidR="00B54C7D" w:rsidRPr="00904DA8" w:rsidRDefault="00B54C7D" w:rsidP="00BB2D64">
            <w:pPr>
              <w:pStyle w:val="TabNumeri"/>
            </w:pPr>
            <w:r w:rsidRPr="00C8485A">
              <w:t>[7]</w:t>
            </w:r>
          </w:p>
        </w:tc>
        <w:tc>
          <w:tcPr>
            <w:tcW w:w="680" w:type="dxa"/>
            <w:noWrap/>
          </w:tcPr>
          <w:p w14:paraId="25D611AC" w14:textId="77777777" w:rsidR="00B54C7D" w:rsidRPr="003C782D" w:rsidRDefault="00B54C7D" w:rsidP="00BB2D64">
            <w:pPr>
              <w:pStyle w:val="TabNumeri"/>
            </w:pPr>
            <w:r w:rsidRPr="00535D6A">
              <w:t>-9,1</w:t>
            </w:r>
          </w:p>
        </w:tc>
        <w:tc>
          <w:tcPr>
            <w:tcW w:w="228" w:type="dxa"/>
          </w:tcPr>
          <w:p w14:paraId="2070CB61" w14:textId="77777777" w:rsidR="00B54C7D" w:rsidRPr="00AA375C" w:rsidRDefault="00B54C7D" w:rsidP="00BB2D64">
            <w:pPr>
              <w:pStyle w:val="TabNumeri"/>
            </w:pPr>
          </w:p>
        </w:tc>
        <w:tc>
          <w:tcPr>
            <w:tcW w:w="113" w:type="dxa"/>
            <w:noWrap/>
          </w:tcPr>
          <w:p w14:paraId="2236FE30" w14:textId="77777777" w:rsidR="00B54C7D" w:rsidRPr="00B64650" w:rsidRDefault="00B54C7D" w:rsidP="00BB2D64">
            <w:pPr>
              <w:pStyle w:val="TabNumeri"/>
            </w:pPr>
          </w:p>
        </w:tc>
        <w:tc>
          <w:tcPr>
            <w:tcW w:w="680" w:type="dxa"/>
          </w:tcPr>
          <w:p w14:paraId="32C248E3" w14:textId="77777777" w:rsidR="00B54C7D" w:rsidRPr="009E61ED" w:rsidRDefault="00B54C7D" w:rsidP="00BB2D64">
            <w:pPr>
              <w:pStyle w:val="TabNumeri"/>
            </w:pPr>
            <w:r w:rsidRPr="00B74D44">
              <w:t>5,2</w:t>
            </w:r>
          </w:p>
        </w:tc>
        <w:tc>
          <w:tcPr>
            <w:tcW w:w="228" w:type="dxa"/>
            <w:noWrap/>
          </w:tcPr>
          <w:p w14:paraId="6272F0F3" w14:textId="77777777" w:rsidR="00B54C7D" w:rsidRPr="00811B57" w:rsidRDefault="00B54C7D" w:rsidP="00BB2D64">
            <w:pPr>
              <w:pStyle w:val="TabNumeri"/>
            </w:pPr>
          </w:p>
        </w:tc>
        <w:tc>
          <w:tcPr>
            <w:tcW w:w="680" w:type="dxa"/>
            <w:noWrap/>
          </w:tcPr>
          <w:p w14:paraId="6E9274DD" w14:textId="77777777" w:rsidR="00B54C7D" w:rsidRPr="00A27A0A" w:rsidRDefault="00B54C7D" w:rsidP="00BB2D64">
            <w:pPr>
              <w:pStyle w:val="TabNumeri"/>
            </w:pPr>
            <w:r w:rsidRPr="00B74D44">
              <w:t>4,1</w:t>
            </w:r>
          </w:p>
        </w:tc>
        <w:tc>
          <w:tcPr>
            <w:tcW w:w="228" w:type="dxa"/>
            <w:noWrap/>
          </w:tcPr>
          <w:p w14:paraId="039A3348" w14:textId="77777777" w:rsidR="00B54C7D" w:rsidRPr="00DC6642" w:rsidRDefault="00B54C7D" w:rsidP="00BB2D64">
            <w:pPr>
              <w:pStyle w:val="TabNumeri"/>
            </w:pPr>
          </w:p>
        </w:tc>
        <w:tc>
          <w:tcPr>
            <w:tcW w:w="510" w:type="dxa"/>
            <w:noWrap/>
          </w:tcPr>
          <w:p w14:paraId="4DAE0156" w14:textId="77777777" w:rsidR="00B54C7D" w:rsidRPr="00986A4F" w:rsidRDefault="00B54C7D" w:rsidP="00BB2D64">
            <w:pPr>
              <w:pStyle w:val="TabNumeri"/>
            </w:pPr>
            <w:r w:rsidRPr="00AA7C7D">
              <w:t>5,0</w:t>
            </w:r>
          </w:p>
        </w:tc>
        <w:tc>
          <w:tcPr>
            <w:tcW w:w="397" w:type="dxa"/>
            <w:noWrap/>
          </w:tcPr>
          <w:p w14:paraId="27761237" w14:textId="77777777" w:rsidR="00B54C7D" w:rsidRPr="00986A4F" w:rsidRDefault="00B54C7D" w:rsidP="00BB2D64">
            <w:pPr>
              <w:pStyle w:val="TabNumeri"/>
            </w:pPr>
            <w:r w:rsidRPr="00AA7C7D">
              <w:t>[7]</w:t>
            </w:r>
          </w:p>
        </w:tc>
        <w:tc>
          <w:tcPr>
            <w:tcW w:w="680" w:type="dxa"/>
            <w:noWrap/>
          </w:tcPr>
          <w:p w14:paraId="77A596E0" w14:textId="77777777" w:rsidR="00B54C7D" w:rsidRPr="00413582" w:rsidRDefault="00B54C7D" w:rsidP="00BB2D64">
            <w:pPr>
              <w:pStyle w:val="TabNumeri"/>
            </w:pPr>
            <w:r w:rsidRPr="00194795">
              <w:t>4,3</w:t>
            </w:r>
          </w:p>
        </w:tc>
        <w:tc>
          <w:tcPr>
            <w:tcW w:w="227" w:type="dxa"/>
            <w:noWrap/>
          </w:tcPr>
          <w:p w14:paraId="269A19D8" w14:textId="77777777" w:rsidR="00B54C7D" w:rsidRPr="00A319C0" w:rsidRDefault="00B54C7D" w:rsidP="00BB2D64">
            <w:pPr>
              <w:pStyle w:val="TabNumeri"/>
            </w:pPr>
          </w:p>
        </w:tc>
      </w:tr>
      <w:tr w:rsidR="00B54C7D" w14:paraId="6B04991F" w14:textId="77777777" w:rsidTr="00BB2D64">
        <w:trPr>
          <w:cantSplit/>
          <w:trHeight w:val="255"/>
        </w:trPr>
        <w:tc>
          <w:tcPr>
            <w:tcW w:w="1985" w:type="dxa"/>
            <w:shd w:val="clear" w:color="auto" w:fill="EAF1DD" w:themeFill="accent3" w:themeFillTint="33"/>
            <w:noWrap/>
          </w:tcPr>
          <w:p w14:paraId="6965B718" w14:textId="77777777" w:rsidR="00B54C7D" w:rsidRPr="00233F5C" w:rsidRDefault="00B54C7D" w:rsidP="00BB2D64">
            <w:pPr>
              <w:pStyle w:val="TabEtichette"/>
            </w:pPr>
            <w:r w:rsidRPr="00233F5C">
              <w:t>Importazioni</w:t>
            </w:r>
          </w:p>
        </w:tc>
        <w:tc>
          <w:tcPr>
            <w:tcW w:w="680" w:type="dxa"/>
            <w:shd w:val="clear" w:color="auto" w:fill="EAF1DD" w:themeFill="accent3" w:themeFillTint="33"/>
            <w:noWrap/>
          </w:tcPr>
          <w:p w14:paraId="7E2E1544" w14:textId="77777777" w:rsidR="00B54C7D" w:rsidRPr="00F86988" w:rsidRDefault="00B54C7D" w:rsidP="00BB2D64">
            <w:pPr>
              <w:pStyle w:val="TabNumeri"/>
            </w:pPr>
            <w:r w:rsidRPr="005779FC">
              <w:t>-19,0</w:t>
            </w:r>
          </w:p>
        </w:tc>
        <w:tc>
          <w:tcPr>
            <w:tcW w:w="228" w:type="dxa"/>
            <w:shd w:val="clear" w:color="auto" w:fill="EAF1DD" w:themeFill="accent3" w:themeFillTint="33"/>
            <w:noWrap/>
          </w:tcPr>
          <w:p w14:paraId="48F2DF8B" w14:textId="77777777" w:rsidR="00B54C7D" w:rsidRPr="00B64650" w:rsidRDefault="00B54C7D" w:rsidP="00BB2D64">
            <w:pPr>
              <w:pStyle w:val="TabNumeri"/>
            </w:pPr>
          </w:p>
        </w:tc>
        <w:tc>
          <w:tcPr>
            <w:tcW w:w="680" w:type="dxa"/>
            <w:shd w:val="clear" w:color="auto" w:fill="EAF1DD" w:themeFill="accent3" w:themeFillTint="33"/>
            <w:noWrap/>
          </w:tcPr>
          <w:p w14:paraId="2876AB7E" w14:textId="77777777" w:rsidR="00B54C7D" w:rsidRPr="00D65A6F" w:rsidRDefault="00B54C7D" w:rsidP="00BB2D64">
            <w:pPr>
              <w:pStyle w:val="TabNumeri"/>
            </w:pPr>
            <w:r w:rsidRPr="005779FC">
              <w:t>-14,1</w:t>
            </w:r>
          </w:p>
        </w:tc>
        <w:tc>
          <w:tcPr>
            <w:tcW w:w="228" w:type="dxa"/>
            <w:shd w:val="clear" w:color="auto" w:fill="EAF1DD" w:themeFill="accent3" w:themeFillTint="33"/>
            <w:noWrap/>
          </w:tcPr>
          <w:p w14:paraId="6B9DCC00" w14:textId="77777777" w:rsidR="00B54C7D" w:rsidRPr="00C32B54" w:rsidRDefault="00B54C7D" w:rsidP="00BB2D64">
            <w:pPr>
              <w:pStyle w:val="TabNumeri"/>
            </w:pPr>
          </w:p>
        </w:tc>
        <w:tc>
          <w:tcPr>
            <w:tcW w:w="510" w:type="dxa"/>
            <w:shd w:val="clear" w:color="auto" w:fill="EAF1DD" w:themeFill="accent3" w:themeFillTint="33"/>
            <w:noWrap/>
          </w:tcPr>
          <w:p w14:paraId="1FA803EE" w14:textId="77777777" w:rsidR="00B54C7D" w:rsidRPr="00904DA8" w:rsidRDefault="00B54C7D" w:rsidP="00BB2D64">
            <w:pPr>
              <w:pStyle w:val="TabNumeri"/>
            </w:pPr>
            <w:r w:rsidRPr="00C8485A">
              <w:t>-14,3</w:t>
            </w:r>
          </w:p>
        </w:tc>
        <w:tc>
          <w:tcPr>
            <w:tcW w:w="397" w:type="dxa"/>
            <w:shd w:val="clear" w:color="auto" w:fill="EAF1DD" w:themeFill="accent3" w:themeFillTint="33"/>
            <w:noWrap/>
          </w:tcPr>
          <w:p w14:paraId="0BAB728B" w14:textId="77777777" w:rsidR="00B54C7D" w:rsidRPr="00904DA8" w:rsidRDefault="00B54C7D" w:rsidP="00BB2D64">
            <w:pPr>
              <w:pStyle w:val="TabNumeri"/>
            </w:pPr>
            <w:r w:rsidRPr="00C8485A">
              <w:t>[7]</w:t>
            </w:r>
          </w:p>
        </w:tc>
        <w:tc>
          <w:tcPr>
            <w:tcW w:w="680" w:type="dxa"/>
            <w:shd w:val="clear" w:color="auto" w:fill="EAF1DD" w:themeFill="accent3" w:themeFillTint="33"/>
            <w:noWrap/>
          </w:tcPr>
          <w:p w14:paraId="4B55F0FF" w14:textId="77777777" w:rsidR="00B54C7D" w:rsidRPr="003C782D" w:rsidRDefault="00B54C7D" w:rsidP="00BB2D64">
            <w:pPr>
              <w:pStyle w:val="TabNumeri"/>
            </w:pPr>
            <w:r w:rsidRPr="00535D6A">
              <w:t>-15,0</w:t>
            </w:r>
          </w:p>
        </w:tc>
        <w:tc>
          <w:tcPr>
            <w:tcW w:w="228" w:type="dxa"/>
            <w:shd w:val="clear" w:color="auto" w:fill="EAF1DD" w:themeFill="accent3" w:themeFillTint="33"/>
          </w:tcPr>
          <w:p w14:paraId="3B0B50D0" w14:textId="77777777" w:rsidR="00B54C7D" w:rsidRPr="00AA375C" w:rsidRDefault="00B54C7D" w:rsidP="00BB2D64">
            <w:pPr>
              <w:pStyle w:val="TabNumeri"/>
            </w:pPr>
          </w:p>
        </w:tc>
        <w:tc>
          <w:tcPr>
            <w:tcW w:w="113" w:type="dxa"/>
            <w:shd w:val="clear" w:color="auto" w:fill="EAF1DD" w:themeFill="accent3" w:themeFillTint="33"/>
            <w:noWrap/>
          </w:tcPr>
          <w:p w14:paraId="3C27FDCD" w14:textId="77777777" w:rsidR="00B54C7D" w:rsidRPr="00B64650" w:rsidRDefault="00B54C7D" w:rsidP="00BB2D64">
            <w:pPr>
              <w:pStyle w:val="TabNumeri"/>
            </w:pPr>
          </w:p>
        </w:tc>
        <w:tc>
          <w:tcPr>
            <w:tcW w:w="680" w:type="dxa"/>
            <w:shd w:val="clear" w:color="auto" w:fill="EAF1DD" w:themeFill="accent3" w:themeFillTint="33"/>
          </w:tcPr>
          <w:p w14:paraId="65406AD3" w14:textId="77777777" w:rsidR="00B54C7D" w:rsidRPr="009E61ED" w:rsidRDefault="00B54C7D" w:rsidP="00BB2D64">
            <w:pPr>
              <w:pStyle w:val="TabNumeri"/>
            </w:pPr>
            <w:r w:rsidRPr="00B74D44">
              <w:t>11,8</w:t>
            </w:r>
          </w:p>
        </w:tc>
        <w:tc>
          <w:tcPr>
            <w:tcW w:w="228" w:type="dxa"/>
            <w:shd w:val="clear" w:color="auto" w:fill="EAF1DD" w:themeFill="accent3" w:themeFillTint="33"/>
            <w:noWrap/>
          </w:tcPr>
          <w:p w14:paraId="734F1A2F" w14:textId="77777777" w:rsidR="00B54C7D" w:rsidRPr="00811B57" w:rsidRDefault="00B54C7D" w:rsidP="00BB2D64">
            <w:pPr>
              <w:pStyle w:val="TabNumeri"/>
            </w:pPr>
          </w:p>
        </w:tc>
        <w:tc>
          <w:tcPr>
            <w:tcW w:w="680" w:type="dxa"/>
            <w:shd w:val="clear" w:color="auto" w:fill="EAF1DD" w:themeFill="accent3" w:themeFillTint="33"/>
            <w:noWrap/>
          </w:tcPr>
          <w:p w14:paraId="3CAC6EBE" w14:textId="77777777" w:rsidR="00B54C7D" w:rsidRPr="00A27A0A" w:rsidRDefault="00B54C7D" w:rsidP="00BB2D64">
            <w:pPr>
              <w:pStyle w:val="TabNumeri"/>
            </w:pPr>
            <w:r w:rsidRPr="00B74D44">
              <w:t>9,9</w:t>
            </w:r>
          </w:p>
        </w:tc>
        <w:tc>
          <w:tcPr>
            <w:tcW w:w="228" w:type="dxa"/>
            <w:shd w:val="clear" w:color="auto" w:fill="EAF1DD" w:themeFill="accent3" w:themeFillTint="33"/>
            <w:noWrap/>
          </w:tcPr>
          <w:p w14:paraId="3E2137A1" w14:textId="77777777" w:rsidR="00B54C7D" w:rsidRPr="00DC6642" w:rsidRDefault="00B54C7D" w:rsidP="00BB2D64">
            <w:pPr>
              <w:pStyle w:val="TabNumeri"/>
            </w:pPr>
          </w:p>
        </w:tc>
        <w:tc>
          <w:tcPr>
            <w:tcW w:w="510" w:type="dxa"/>
            <w:shd w:val="clear" w:color="auto" w:fill="EAF1DD" w:themeFill="accent3" w:themeFillTint="33"/>
            <w:noWrap/>
          </w:tcPr>
          <w:p w14:paraId="1B5FF5B4" w14:textId="77777777" w:rsidR="00B54C7D" w:rsidRPr="00986A4F" w:rsidRDefault="00B54C7D" w:rsidP="00BB2D64">
            <w:pPr>
              <w:pStyle w:val="TabNumeri"/>
            </w:pPr>
            <w:r w:rsidRPr="00AA7C7D">
              <w:t>10,1</w:t>
            </w:r>
          </w:p>
        </w:tc>
        <w:tc>
          <w:tcPr>
            <w:tcW w:w="397" w:type="dxa"/>
            <w:shd w:val="clear" w:color="auto" w:fill="EAF1DD" w:themeFill="accent3" w:themeFillTint="33"/>
            <w:noWrap/>
          </w:tcPr>
          <w:p w14:paraId="4B61C88A" w14:textId="77777777" w:rsidR="00B54C7D" w:rsidRPr="00986A4F" w:rsidRDefault="00B54C7D" w:rsidP="00BB2D64">
            <w:pPr>
              <w:pStyle w:val="TabNumeri"/>
            </w:pPr>
            <w:r w:rsidRPr="00AA7C7D">
              <w:t>[7]</w:t>
            </w:r>
          </w:p>
        </w:tc>
        <w:tc>
          <w:tcPr>
            <w:tcW w:w="680" w:type="dxa"/>
            <w:shd w:val="clear" w:color="auto" w:fill="EAF1DD" w:themeFill="accent3" w:themeFillTint="33"/>
            <w:noWrap/>
          </w:tcPr>
          <w:p w14:paraId="01574149" w14:textId="77777777" w:rsidR="00B54C7D" w:rsidRPr="00413582" w:rsidRDefault="00B54C7D" w:rsidP="00BB2D64">
            <w:pPr>
              <w:pStyle w:val="TabNumeri"/>
            </w:pPr>
            <w:r w:rsidRPr="00194795">
              <w:t>4,2</w:t>
            </w:r>
          </w:p>
        </w:tc>
        <w:tc>
          <w:tcPr>
            <w:tcW w:w="227" w:type="dxa"/>
            <w:shd w:val="clear" w:color="auto" w:fill="EAF1DD" w:themeFill="accent3" w:themeFillTint="33"/>
            <w:noWrap/>
          </w:tcPr>
          <w:p w14:paraId="0B703742" w14:textId="77777777" w:rsidR="00B54C7D" w:rsidRPr="00A319C0" w:rsidRDefault="00B54C7D" w:rsidP="00BB2D64">
            <w:pPr>
              <w:pStyle w:val="TabNumeri"/>
            </w:pPr>
          </w:p>
        </w:tc>
      </w:tr>
      <w:tr w:rsidR="00B54C7D" w14:paraId="0B42B23A" w14:textId="77777777" w:rsidTr="00BB2D64">
        <w:trPr>
          <w:cantSplit/>
          <w:trHeight w:val="255"/>
        </w:trPr>
        <w:tc>
          <w:tcPr>
            <w:tcW w:w="1985" w:type="dxa"/>
            <w:noWrap/>
          </w:tcPr>
          <w:p w14:paraId="2A731DCE" w14:textId="77777777" w:rsidR="00B54C7D" w:rsidRPr="00233F5C" w:rsidRDefault="00B54C7D" w:rsidP="00BB2D64">
            <w:pPr>
              <w:pStyle w:val="TabEtichette"/>
            </w:pPr>
            <w:r w:rsidRPr="00233F5C">
              <w:t>Esportazioni</w:t>
            </w:r>
          </w:p>
        </w:tc>
        <w:tc>
          <w:tcPr>
            <w:tcW w:w="680" w:type="dxa"/>
            <w:noWrap/>
          </w:tcPr>
          <w:p w14:paraId="1D4B3A7C" w14:textId="77777777" w:rsidR="00B54C7D" w:rsidRPr="00F86988" w:rsidRDefault="00B54C7D" w:rsidP="00BB2D64">
            <w:pPr>
              <w:pStyle w:val="TabNumeri"/>
            </w:pPr>
            <w:r w:rsidRPr="005779FC">
              <w:t>-17,8</w:t>
            </w:r>
          </w:p>
        </w:tc>
        <w:tc>
          <w:tcPr>
            <w:tcW w:w="228" w:type="dxa"/>
            <w:noWrap/>
          </w:tcPr>
          <w:p w14:paraId="6A0F67EF" w14:textId="77777777" w:rsidR="00B54C7D" w:rsidRPr="00B64650" w:rsidRDefault="00B54C7D" w:rsidP="00BB2D64">
            <w:pPr>
              <w:pStyle w:val="TabNumeri"/>
            </w:pPr>
          </w:p>
        </w:tc>
        <w:tc>
          <w:tcPr>
            <w:tcW w:w="680" w:type="dxa"/>
            <w:noWrap/>
          </w:tcPr>
          <w:p w14:paraId="6C132133" w14:textId="77777777" w:rsidR="00B54C7D" w:rsidRPr="00D65A6F" w:rsidRDefault="00B54C7D" w:rsidP="00BB2D64">
            <w:pPr>
              <w:pStyle w:val="TabNumeri"/>
            </w:pPr>
            <w:r w:rsidRPr="005779FC">
              <w:t>-16,7</w:t>
            </w:r>
          </w:p>
        </w:tc>
        <w:tc>
          <w:tcPr>
            <w:tcW w:w="228" w:type="dxa"/>
            <w:noWrap/>
          </w:tcPr>
          <w:p w14:paraId="34ED9884" w14:textId="77777777" w:rsidR="00B54C7D" w:rsidRPr="00C32B54" w:rsidRDefault="00B54C7D" w:rsidP="00BB2D64">
            <w:pPr>
              <w:pStyle w:val="TabNumeri"/>
            </w:pPr>
          </w:p>
        </w:tc>
        <w:tc>
          <w:tcPr>
            <w:tcW w:w="510" w:type="dxa"/>
            <w:noWrap/>
          </w:tcPr>
          <w:p w14:paraId="1A00C484" w14:textId="77777777" w:rsidR="00B54C7D" w:rsidRPr="00904DA8" w:rsidRDefault="00B54C7D" w:rsidP="00BB2D64">
            <w:pPr>
              <w:pStyle w:val="TabNumeri"/>
            </w:pPr>
            <w:r w:rsidRPr="00C8485A">
              <w:t>-16,5</w:t>
            </w:r>
          </w:p>
        </w:tc>
        <w:tc>
          <w:tcPr>
            <w:tcW w:w="397" w:type="dxa"/>
            <w:noWrap/>
          </w:tcPr>
          <w:p w14:paraId="2A7FB726" w14:textId="77777777" w:rsidR="00B54C7D" w:rsidRPr="00904DA8" w:rsidRDefault="00B54C7D" w:rsidP="00BB2D64">
            <w:pPr>
              <w:pStyle w:val="TabNumeri"/>
            </w:pPr>
            <w:r w:rsidRPr="00C8485A">
              <w:t>[7]</w:t>
            </w:r>
          </w:p>
        </w:tc>
        <w:tc>
          <w:tcPr>
            <w:tcW w:w="680" w:type="dxa"/>
            <w:noWrap/>
          </w:tcPr>
          <w:p w14:paraId="00A1F351" w14:textId="77777777" w:rsidR="00B54C7D" w:rsidRPr="003C782D" w:rsidRDefault="00B54C7D" w:rsidP="00BB2D64">
            <w:pPr>
              <w:pStyle w:val="TabNumeri"/>
            </w:pPr>
            <w:r w:rsidRPr="00535D6A">
              <w:t>-17,8</w:t>
            </w:r>
          </w:p>
        </w:tc>
        <w:tc>
          <w:tcPr>
            <w:tcW w:w="228" w:type="dxa"/>
          </w:tcPr>
          <w:p w14:paraId="60001AFA" w14:textId="77777777" w:rsidR="00B54C7D" w:rsidRPr="00AA375C" w:rsidRDefault="00B54C7D" w:rsidP="00BB2D64">
            <w:pPr>
              <w:pStyle w:val="TabNumeri"/>
            </w:pPr>
          </w:p>
        </w:tc>
        <w:tc>
          <w:tcPr>
            <w:tcW w:w="113" w:type="dxa"/>
            <w:noWrap/>
          </w:tcPr>
          <w:p w14:paraId="7F17DDA2" w14:textId="77777777" w:rsidR="00B54C7D" w:rsidRPr="00B64650" w:rsidRDefault="00B54C7D" w:rsidP="00BB2D64">
            <w:pPr>
              <w:pStyle w:val="TabNumeri"/>
            </w:pPr>
          </w:p>
        </w:tc>
        <w:tc>
          <w:tcPr>
            <w:tcW w:w="680" w:type="dxa"/>
          </w:tcPr>
          <w:p w14:paraId="519E7BF9" w14:textId="77777777" w:rsidR="00B54C7D" w:rsidRPr="009E61ED" w:rsidRDefault="00B54C7D" w:rsidP="00BB2D64">
            <w:pPr>
              <w:pStyle w:val="TabNumeri"/>
            </w:pPr>
            <w:r w:rsidRPr="00B74D44">
              <w:t>11,5</w:t>
            </w:r>
          </w:p>
        </w:tc>
        <w:tc>
          <w:tcPr>
            <w:tcW w:w="228" w:type="dxa"/>
            <w:noWrap/>
          </w:tcPr>
          <w:p w14:paraId="4806DD7E" w14:textId="77777777" w:rsidR="00B54C7D" w:rsidRPr="00811B57" w:rsidRDefault="00B54C7D" w:rsidP="00BB2D64">
            <w:pPr>
              <w:pStyle w:val="TabNumeri"/>
            </w:pPr>
          </w:p>
        </w:tc>
        <w:tc>
          <w:tcPr>
            <w:tcW w:w="680" w:type="dxa"/>
            <w:noWrap/>
          </w:tcPr>
          <w:p w14:paraId="4A6C030A" w14:textId="77777777" w:rsidR="00B54C7D" w:rsidRPr="00A27A0A" w:rsidRDefault="00B54C7D" w:rsidP="00BB2D64">
            <w:pPr>
              <w:pStyle w:val="TabNumeri"/>
            </w:pPr>
            <w:r w:rsidRPr="00B74D44">
              <w:t>10,3</w:t>
            </w:r>
          </w:p>
        </w:tc>
        <w:tc>
          <w:tcPr>
            <w:tcW w:w="228" w:type="dxa"/>
            <w:noWrap/>
          </w:tcPr>
          <w:p w14:paraId="2CBD6F6D" w14:textId="77777777" w:rsidR="00B54C7D" w:rsidRPr="00DC6642" w:rsidRDefault="00B54C7D" w:rsidP="00BB2D64">
            <w:pPr>
              <w:pStyle w:val="TabNumeri"/>
            </w:pPr>
          </w:p>
        </w:tc>
        <w:tc>
          <w:tcPr>
            <w:tcW w:w="510" w:type="dxa"/>
            <w:noWrap/>
          </w:tcPr>
          <w:p w14:paraId="7A686570" w14:textId="77777777" w:rsidR="00B54C7D" w:rsidRPr="00986A4F" w:rsidRDefault="00B54C7D" w:rsidP="00BB2D64">
            <w:pPr>
              <w:pStyle w:val="TabNumeri"/>
            </w:pPr>
            <w:r w:rsidRPr="00AA7C7D">
              <w:t>10,0</w:t>
            </w:r>
          </w:p>
        </w:tc>
        <w:tc>
          <w:tcPr>
            <w:tcW w:w="397" w:type="dxa"/>
            <w:noWrap/>
          </w:tcPr>
          <w:p w14:paraId="12086669" w14:textId="77777777" w:rsidR="00B54C7D" w:rsidRPr="00986A4F" w:rsidRDefault="00B54C7D" w:rsidP="00BB2D64">
            <w:pPr>
              <w:pStyle w:val="TabNumeri"/>
            </w:pPr>
            <w:r w:rsidRPr="00AA7C7D">
              <w:t>[7]</w:t>
            </w:r>
          </w:p>
        </w:tc>
        <w:tc>
          <w:tcPr>
            <w:tcW w:w="680" w:type="dxa"/>
            <w:noWrap/>
          </w:tcPr>
          <w:p w14:paraId="674D9333" w14:textId="77777777" w:rsidR="00B54C7D" w:rsidRPr="00413582" w:rsidRDefault="00B54C7D" w:rsidP="00BB2D64">
            <w:pPr>
              <w:pStyle w:val="TabNumeri"/>
            </w:pPr>
            <w:r w:rsidRPr="00194795">
              <w:t>5,4</w:t>
            </w:r>
          </w:p>
        </w:tc>
        <w:tc>
          <w:tcPr>
            <w:tcW w:w="227" w:type="dxa"/>
            <w:noWrap/>
          </w:tcPr>
          <w:p w14:paraId="2614E931" w14:textId="77777777" w:rsidR="00B54C7D" w:rsidRPr="00A319C0" w:rsidRDefault="00B54C7D" w:rsidP="00BB2D64">
            <w:pPr>
              <w:pStyle w:val="TabNumeri"/>
            </w:pPr>
          </w:p>
        </w:tc>
      </w:tr>
      <w:tr w:rsidR="00B54C7D" w14:paraId="3D4543C2" w14:textId="77777777" w:rsidTr="00BB2D64">
        <w:trPr>
          <w:cantSplit/>
          <w:trHeight w:val="255"/>
        </w:trPr>
        <w:tc>
          <w:tcPr>
            <w:tcW w:w="1985" w:type="dxa"/>
            <w:shd w:val="clear" w:color="auto" w:fill="EAF1DD" w:themeFill="accent3" w:themeFillTint="33"/>
            <w:noWrap/>
          </w:tcPr>
          <w:p w14:paraId="18BC221B" w14:textId="77777777" w:rsidR="00B54C7D" w:rsidRPr="00233F5C" w:rsidRDefault="00B54C7D" w:rsidP="00BB2D64">
            <w:pPr>
              <w:pStyle w:val="TabEtichette"/>
            </w:pPr>
            <w:r w:rsidRPr="00233F5C">
              <w:t>Domanda interna</w:t>
            </w:r>
          </w:p>
        </w:tc>
        <w:tc>
          <w:tcPr>
            <w:tcW w:w="680" w:type="dxa"/>
            <w:shd w:val="clear" w:color="auto" w:fill="EAF1DD" w:themeFill="accent3" w:themeFillTint="33"/>
            <w:noWrap/>
          </w:tcPr>
          <w:p w14:paraId="047520C8" w14:textId="77777777" w:rsidR="00B54C7D" w:rsidRPr="00F86988" w:rsidRDefault="00B54C7D" w:rsidP="00BB2D64">
            <w:pPr>
              <w:pStyle w:val="TabNumeri"/>
            </w:pPr>
            <w:r w:rsidRPr="005779FC">
              <w:t>-10,6</w:t>
            </w:r>
          </w:p>
        </w:tc>
        <w:tc>
          <w:tcPr>
            <w:tcW w:w="228" w:type="dxa"/>
            <w:shd w:val="clear" w:color="auto" w:fill="EAF1DD" w:themeFill="accent3" w:themeFillTint="33"/>
            <w:noWrap/>
          </w:tcPr>
          <w:p w14:paraId="1C774A43" w14:textId="77777777" w:rsidR="00B54C7D" w:rsidRPr="00B64650" w:rsidRDefault="00B54C7D" w:rsidP="00BB2D64">
            <w:pPr>
              <w:pStyle w:val="TabNumeri"/>
            </w:pPr>
          </w:p>
        </w:tc>
        <w:tc>
          <w:tcPr>
            <w:tcW w:w="680" w:type="dxa"/>
            <w:shd w:val="clear" w:color="auto" w:fill="EAF1DD" w:themeFill="accent3" w:themeFillTint="33"/>
            <w:noWrap/>
          </w:tcPr>
          <w:p w14:paraId="2768A942" w14:textId="77777777" w:rsidR="00B54C7D" w:rsidRPr="00D65A6F" w:rsidRDefault="00B54C7D" w:rsidP="00BB2D64">
            <w:pPr>
              <w:pStyle w:val="TabNumeri"/>
            </w:pPr>
            <w:r w:rsidRPr="005779FC">
              <w:t>-10,8</w:t>
            </w:r>
          </w:p>
        </w:tc>
        <w:tc>
          <w:tcPr>
            <w:tcW w:w="228" w:type="dxa"/>
            <w:shd w:val="clear" w:color="auto" w:fill="EAF1DD" w:themeFill="accent3" w:themeFillTint="33"/>
            <w:noWrap/>
          </w:tcPr>
          <w:p w14:paraId="7532164D" w14:textId="77777777" w:rsidR="00B54C7D" w:rsidRPr="00C32B54" w:rsidRDefault="00B54C7D" w:rsidP="00BB2D64">
            <w:pPr>
              <w:pStyle w:val="TabNumeri"/>
            </w:pPr>
          </w:p>
        </w:tc>
        <w:tc>
          <w:tcPr>
            <w:tcW w:w="510" w:type="dxa"/>
            <w:shd w:val="clear" w:color="auto" w:fill="EAF1DD" w:themeFill="accent3" w:themeFillTint="33"/>
            <w:noWrap/>
          </w:tcPr>
          <w:p w14:paraId="1D8E7333" w14:textId="77777777" w:rsidR="00B54C7D" w:rsidRPr="00904DA8" w:rsidRDefault="00B54C7D" w:rsidP="00BB2D64">
            <w:pPr>
              <w:pStyle w:val="TabNumeri"/>
            </w:pPr>
            <w:r w:rsidRPr="00C8485A">
              <w:t>-8,1</w:t>
            </w:r>
          </w:p>
        </w:tc>
        <w:tc>
          <w:tcPr>
            <w:tcW w:w="397" w:type="dxa"/>
            <w:shd w:val="clear" w:color="auto" w:fill="EAF1DD" w:themeFill="accent3" w:themeFillTint="33"/>
            <w:noWrap/>
          </w:tcPr>
          <w:p w14:paraId="7CE61C4D" w14:textId="77777777" w:rsidR="00B54C7D" w:rsidRPr="00904DA8" w:rsidRDefault="00B54C7D" w:rsidP="00BB2D64">
            <w:pPr>
              <w:pStyle w:val="TabNumeri"/>
            </w:pPr>
            <w:r w:rsidRPr="00C8485A">
              <w:t>[7]</w:t>
            </w:r>
          </w:p>
        </w:tc>
        <w:tc>
          <w:tcPr>
            <w:tcW w:w="680" w:type="dxa"/>
            <w:shd w:val="clear" w:color="auto" w:fill="EAF1DD" w:themeFill="accent3" w:themeFillTint="33"/>
            <w:noWrap/>
          </w:tcPr>
          <w:p w14:paraId="22D8BFB1" w14:textId="77777777" w:rsidR="00B54C7D" w:rsidRPr="003C782D" w:rsidRDefault="00B54C7D" w:rsidP="00BB2D64">
            <w:pPr>
              <w:pStyle w:val="TabNumeri"/>
            </w:pPr>
            <w:r w:rsidRPr="00535D6A">
              <w:t>-7,9</w:t>
            </w:r>
          </w:p>
        </w:tc>
        <w:tc>
          <w:tcPr>
            <w:tcW w:w="228" w:type="dxa"/>
            <w:shd w:val="clear" w:color="auto" w:fill="EAF1DD" w:themeFill="accent3" w:themeFillTint="33"/>
          </w:tcPr>
          <w:p w14:paraId="703EBDBE" w14:textId="77777777" w:rsidR="00B54C7D" w:rsidRPr="00AA375C" w:rsidRDefault="00B54C7D" w:rsidP="00BB2D64">
            <w:pPr>
              <w:pStyle w:val="TabNumeri"/>
            </w:pPr>
          </w:p>
        </w:tc>
        <w:tc>
          <w:tcPr>
            <w:tcW w:w="113" w:type="dxa"/>
            <w:shd w:val="clear" w:color="auto" w:fill="EAF1DD" w:themeFill="accent3" w:themeFillTint="33"/>
            <w:noWrap/>
          </w:tcPr>
          <w:p w14:paraId="32021710" w14:textId="77777777" w:rsidR="00B54C7D" w:rsidRPr="00B64650" w:rsidRDefault="00B54C7D" w:rsidP="00BB2D64">
            <w:pPr>
              <w:pStyle w:val="TabNumeri"/>
            </w:pPr>
          </w:p>
        </w:tc>
        <w:tc>
          <w:tcPr>
            <w:tcW w:w="680" w:type="dxa"/>
            <w:shd w:val="clear" w:color="auto" w:fill="EAF1DD" w:themeFill="accent3" w:themeFillTint="33"/>
          </w:tcPr>
          <w:p w14:paraId="153B902A" w14:textId="77777777" w:rsidR="00B54C7D" w:rsidRPr="009E61ED" w:rsidRDefault="00B54C7D" w:rsidP="00BB2D64">
            <w:pPr>
              <w:pStyle w:val="TabNumeri"/>
            </w:pPr>
            <w:r w:rsidRPr="00B74D44">
              <w:t>5,2</w:t>
            </w:r>
          </w:p>
        </w:tc>
        <w:tc>
          <w:tcPr>
            <w:tcW w:w="228" w:type="dxa"/>
            <w:shd w:val="clear" w:color="auto" w:fill="EAF1DD" w:themeFill="accent3" w:themeFillTint="33"/>
            <w:noWrap/>
          </w:tcPr>
          <w:p w14:paraId="29165C72" w14:textId="77777777" w:rsidR="00B54C7D" w:rsidRPr="00811B57" w:rsidRDefault="00B54C7D" w:rsidP="00BB2D64">
            <w:pPr>
              <w:pStyle w:val="TabNumeri"/>
            </w:pPr>
          </w:p>
        </w:tc>
        <w:tc>
          <w:tcPr>
            <w:tcW w:w="680" w:type="dxa"/>
            <w:shd w:val="clear" w:color="auto" w:fill="EAF1DD" w:themeFill="accent3" w:themeFillTint="33"/>
            <w:noWrap/>
          </w:tcPr>
          <w:p w14:paraId="59E55C4D" w14:textId="77777777" w:rsidR="00B54C7D" w:rsidRPr="00A27A0A" w:rsidRDefault="00B54C7D" w:rsidP="00BB2D64">
            <w:pPr>
              <w:pStyle w:val="TabNumeri"/>
            </w:pPr>
            <w:r w:rsidRPr="00B74D44">
              <w:t>5,2</w:t>
            </w:r>
          </w:p>
        </w:tc>
        <w:tc>
          <w:tcPr>
            <w:tcW w:w="228" w:type="dxa"/>
            <w:shd w:val="clear" w:color="auto" w:fill="EAF1DD" w:themeFill="accent3" w:themeFillTint="33"/>
            <w:noWrap/>
          </w:tcPr>
          <w:p w14:paraId="4F12DC79" w14:textId="77777777" w:rsidR="00B54C7D" w:rsidRPr="00DC6642" w:rsidRDefault="00B54C7D" w:rsidP="00BB2D64">
            <w:pPr>
              <w:pStyle w:val="TabNumeri"/>
            </w:pPr>
          </w:p>
        </w:tc>
        <w:tc>
          <w:tcPr>
            <w:tcW w:w="510" w:type="dxa"/>
            <w:shd w:val="clear" w:color="auto" w:fill="EAF1DD" w:themeFill="accent3" w:themeFillTint="33"/>
            <w:noWrap/>
          </w:tcPr>
          <w:p w14:paraId="21A0FA61" w14:textId="77777777" w:rsidR="00B54C7D" w:rsidRPr="00986A4F" w:rsidRDefault="00B54C7D" w:rsidP="00BB2D64">
            <w:pPr>
              <w:pStyle w:val="TabNumeri"/>
            </w:pPr>
            <w:r w:rsidRPr="00AA7C7D">
              <w:t>4,9</w:t>
            </w:r>
          </w:p>
        </w:tc>
        <w:tc>
          <w:tcPr>
            <w:tcW w:w="397" w:type="dxa"/>
            <w:shd w:val="clear" w:color="auto" w:fill="EAF1DD" w:themeFill="accent3" w:themeFillTint="33"/>
            <w:noWrap/>
          </w:tcPr>
          <w:p w14:paraId="37B22EB6" w14:textId="77777777" w:rsidR="00B54C7D" w:rsidRPr="00986A4F" w:rsidRDefault="00B54C7D" w:rsidP="00BB2D64">
            <w:pPr>
              <w:pStyle w:val="TabNumeri"/>
            </w:pPr>
            <w:r w:rsidRPr="00AA7C7D">
              <w:t>[7]</w:t>
            </w:r>
          </w:p>
        </w:tc>
        <w:tc>
          <w:tcPr>
            <w:tcW w:w="680" w:type="dxa"/>
            <w:shd w:val="clear" w:color="auto" w:fill="EAF1DD" w:themeFill="accent3" w:themeFillTint="33"/>
            <w:noWrap/>
          </w:tcPr>
          <w:p w14:paraId="49B6BCEE" w14:textId="77777777" w:rsidR="00B54C7D" w:rsidRPr="00413582" w:rsidRDefault="00B54C7D" w:rsidP="00BB2D64">
            <w:pPr>
              <w:pStyle w:val="TabNumeri"/>
            </w:pPr>
            <w:r w:rsidRPr="00194795">
              <w:t>4,0</w:t>
            </w:r>
          </w:p>
        </w:tc>
        <w:tc>
          <w:tcPr>
            <w:tcW w:w="227" w:type="dxa"/>
            <w:shd w:val="clear" w:color="auto" w:fill="EAF1DD" w:themeFill="accent3" w:themeFillTint="33"/>
            <w:noWrap/>
          </w:tcPr>
          <w:p w14:paraId="027AD4E0" w14:textId="77777777" w:rsidR="00B54C7D" w:rsidRPr="00A319C0" w:rsidRDefault="00B54C7D" w:rsidP="00BB2D64">
            <w:pPr>
              <w:pStyle w:val="TabNumeri"/>
            </w:pPr>
          </w:p>
        </w:tc>
      </w:tr>
      <w:tr w:rsidR="00B54C7D" w14:paraId="1E91D0D5" w14:textId="77777777" w:rsidTr="00BB2D64">
        <w:trPr>
          <w:cantSplit/>
          <w:trHeight w:val="255"/>
        </w:trPr>
        <w:tc>
          <w:tcPr>
            <w:tcW w:w="1985" w:type="dxa"/>
            <w:noWrap/>
          </w:tcPr>
          <w:p w14:paraId="25452DAA" w14:textId="77777777" w:rsidR="00B54C7D" w:rsidRPr="00233F5C" w:rsidRDefault="00B54C7D" w:rsidP="00BB2D64">
            <w:pPr>
              <w:pStyle w:val="TabEtichette"/>
            </w:pPr>
            <w:r w:rsidRPr="00233F5C">
              <w:t xml:space="preserve">Consumi </w:t>
            </w:r>
            <w:r>
              <w:t xml:space="preserve">delle </w:t>
            </w:r>
            <w:r w:rsidRPr="00233F5C">
              <w:t>famiglie</w:t>
            </w:r>
          </w:p>
        </w:tc>
        <w:tc>
          <w:tcPr>
            <w:tcW w:w="680" w:type="dxa"/>
            <w:noWrap/>
          </w:tcPr>
          <w:p w14:paraId="69F5A879" w14:textId="77777777" w:rsidR="00B54C7D" w:rsidRPr="00F86988" w:rsidRDefault="00B54C7D" w:rsidP="00BB2D64">
            <w:pPr>
              <w:pStyle w:val="TabNumeri"/>
            </w:pPr>
            <w:r w:rsidRPr="005779FC">
              <w:t>-11,8</w:t>
            </w:r>
          </w:p>
        </w:tc>
        <w:tc>
          <w:tcPr>
            <w:tcW w:w="228" w:type="dxa"/>
            <w:noWrap/>
          </w:tcPr>
          <w:p w14:paraId="104D225F" w14:textId="77777777" w:rsidR="00B54C7D" w:rsidRPr="00B64650" w:rsidRDefault="00B54C7D" w:rsidP="00BB2D64">
            <w:pPr>
              <w:pStyle w:val="TabNumeri"/>
            </w:pPr>
          </w:p>
        </w:tc>
        <w:tc>
          <w:tcPr>
            <w:tcW w:w="680" w:type="dxa"/>
            <w:noWrap/>
          </w:tcPr>
          <w:p w14:paraId="7A2C4603" w14:textId="77777777" w:rsidR="00B54C7D" w:rsidRPr="00D65A6F" w:rsidRDefault="00B54C7D" w:rsidP="00BB2D64">
            <w:pPr>
              <w:pStyle w:val="TabNumeri"/>
            </w:pPr>
            <w:r w:rsidRPr="005779FC">
              <w:t>-10,5</w:t>
            </w:r>
          </w:p>
        </w:tc>
        <w:tc>
          <w:tcPr>
            <w:tcW w:w="228" w:type="dxa"/>
            <w:noWrap/>
          </w:tcPr>
          <w:p w14:paraId="0F86E771" w14:textId="77777777" w:rsidR="00B54C7D" w:rsidRPr="00C32B54" w:rsidRDefault="00B54C7D" w:rsidP="00BB2D64">
            <w:pPr>
              <w:pStyle w:val="TabNumeri"/>
            </w:pPr>
          </w:p>
        </w:tc>
        <w:tc>
          <w:tcPr>
            <w:tcW w:w="510" w:type="dxa"/>
            <w:noWrap/>
          </w:tcPr>
          <w:p w14:paraId="45698163" w14:textId="77777777" w:rsidR="00B54C7D" w:rsidRPr="00904DA8" w:rsidRDefault="00B54C7D" w:rsidP="00BB2D64">
            <w:pPr>
              <w:pStyle w:val="TabNumeri"/>
            </w:pPr>
            <w:r w:rsidRPr="00C8485A">
              <w:t>-10,0</w:t>
            </w:r>
          </w:p>
        </w:tc>
        <w:tc>
          <w:tcPr>
            <w:tcW w:w="397" w:type="dxa"/>
            <w:noWrap/>
          </w:tcPr>
          <w:p w14:paraId="7B959AAA" w14:textId="77777777" w:rsidR="00B54C7D" w:rsidRPr="00904DA8" w:rsidRDefault="00B54C7D" w:rsidP="00BB2D64">
            <w:pPr>
              <w:pStyle w:val="TabNumeri"/>
            </w:pPr>
            <w:r w:rsidRPr="00C8485A">
              <w:t>[7]</w:t>
            </w:r>
          </w:p>
        </w:tc>
        <w:tc>
          <w:tcPr>
            <w:tcW w:w="680" w:type="dxa"/>
            <w:noWrap/>
          </w:tcPr>
          <w:p w14:paraId="355B5495" w14:textId="77777777" w:rsidR="00B54C7D" w:rsidRPr="003C782D" w:rsidRDefault="00B54C7D" w:rsidP="00BB2D64">
            <w:pPr>
              <w:pStyle w:val="TabNumeri"/>
            </w:pPr>
            <w:r w:rsidRPr="00535D6A">
              <w:t>-9,2</w:t>
            </w:r>
          </w:p>
        </w:tc>
        <w:tc>
          <w:tcPr>
            <w:tcW w:w="228" w:type="dxa"/>
          </w:tcPr>
          <w:p w14:paraId="0BC8B678" w14:textId="77777777" w:rsidR="00B54C7D" w:rsidRPr="00AA375C" w:rsidRDefault="00B54C7D" w:rsidP="00BB2D64">
            <w:pPr>
              <w:pStyle w:val="TabNumeri"/>
            </w:pPr>
          </w:p>
        </w:tc>
        <w:tc>
          <w:tcPr>
            <w:tcW w:w="113" w:type="dxa"/>
            <w:noWrap/>
          </w:tcPr>
          <w:p w14:paraId="2E0CC102" w14:textId="77777777" w:rsidR="00B54C7D" w:rsidRPr="00B64650" w:rsidRDefault="00B54C7D" w:rsidP="00BB2D64">
            <w:pPr>
              <w:pStyle w:val="TabNumeri"/>
            </w:pPr>
          </w:p>
        </w:tc>
        <w:tc>
          <w:tcPr>
            <w:tcW w:w="680" w:type="dxa"/>
          </w:tcPr>
          <w:p w14:paraId="3A553208" w14:textId="77777777" w:rsidR="00B54C7D" w:rsidRPr="009E61ED" w:rsidRDefault="00B54C7D" w:rsidP="00BB2D64">
            <w:pPr>
              <w:pStyle w:val="TabNumeri"/>
            </w:pPr>
            <w:r w:rsidRPr="00B74D44">
              <w:t>4,9</w:t>
            </w:r>
          </w:p>
        </w:tc>
        <w:tc>
          <w:tcPr>
            <w:tcW w:w="228" w:type="dxa"/>
            <w:noWrap/>
          </w:tcPr>
          <w:p w14:paraId="716D419B" w14:textId="77777777" w:rsidR="00B54C7D" w:rsidRPr="00811B57" w:rsidRDefault="00B54C7D" w:rsidP="00BB2D64">
            <w:pPr>
              <w:pStyle w:val="TabNumeri"/>
            </w:pPr>
          </w:p>
        </w:tc>
        <w:tc>
          <w:tcPr>
            <w:tcW w:w="680" w:type="dxa"/>
            <w:noWrap/>
          </w:tcPr>
          <w:p w14:paraId="077ADC4F" w14:textId="77777777" w:rsidR="00B54C7D" w:rsidRPr="00A27A0A" w:rsidRDefault="00B54C7D" w:rsidP="00BB2D64">
            <w:pPr>
              <w:pStyle w:val="TabNumeri"/>
            </w:pPr>
            <w:r w:rsidRPr="00B74D44">
              <w:t>3,8</w:t>
            </w:r>
          </w:p>
        </w:tc>
        <w:tc>
          <w:tcPr>
            <w:tcW w:w="228" w:type="dxa"/>
            <w:noWrap/>
          </w:tcPr>
          <w:p w14:paraId="0F628610" w14:textId="77777777" w:rsidR="00B54C7D" w:rsidRPr="00DC6642" w:rsidRDefault="00B54C7D" w:rsidP="00BB2D64">
            <w:pPr>
              <w:pStyle w:val="TabNumeri"/>
            </w:pPr>
          </w:p>
        </w:tc>
        <w:tc>
          <w:tcPr>
            <w:tcW w:w="510" w:type="dxa"/>
            <w:noWrap/>
          </w:tcPr>
          <w:p w14:paraId="51BDD29A" w14:textId="77777777" w:rsidR="00B54C7D" w:rsidRPr="00986A4F" w:rsidRDefault="00B54C7D" w:rsidP="00BB2D64">
            <w:pPr>
              <w:pStyle w:val="TabNumeri"/>
            </w:pPr>
            <w:r w:rsidRPr="00AA7C7D">
              <w:t>3,8</w:t>
            </w:r>
          </w:p>
        </w:tc>
        <w:tc>
          <w:tcPr>
            <w:tcW w:w="397" w:type="dxa"/>
            <w:noWrap/>
          </w:tcPr>
          <w:p w14:paraId="7A454006" w14:textId="77777777" w:rsidR="00B54C7D" w:rsidRPr="00986A4F" w:rsidRDefault="00B54C7D" w:rsidP="00BB2D64">
            <w:pPr>
              <w:pStyle w:val="TabNumeri"/>
            </w:pPr>
            <w:r w:rsidRPr="00AA7C7D">
              <w:t>[7]</w:t>
            </w:r>
          </w:p>
        </w:tc>
        <w:tc>
          <w:tcPr>
            <w:tcW w:w="680" w:type="dxa"/>
            <w:noWrap/>
          </w:tcPr>
          <w:p w14:paraId="4DB61D77" w14:textId="77777777" w:rsidR="00B54C7D" w:rsidRPr="00413582" w:rsidRDefault="00B54C7D" w:rsidP="00BB2D64">
            <w:pPr>
              <w:pStyle w:val="TabNumeri"/>
            </w:pPr>
            <w:r w:rsidRPr="00194795">
              <w:t>4,9</w:t>
            </w:r>
          </w:p>
        </w:tc>
        <w:tc>
          <w:tcPr>
            <w:tcW w:w="227" w:type="dxa"/>
            <w:noWrap/>
          </w:tcPr>
          <w:p w14:paraId="5E953EA9" w14:textId="77777777" w:rsidR="00B54C7D" w:rsidRPr="00A319C0" w:rsidRDefault="00B54C7D" w:rsidP="00BB2D64">
            <w:pPr>
              <w:pStyle w:val="TabNumeri"/>
            </w:pPr>
          </w:p>
        </w:tc>
      </w:tr>
      <w:tr w:rsidR="00B54C7D" w14:paraId="5F3FC792" w14:textId="77777777" w:rsidTr="00BB2D64">
        <w:trPr>
          <w:cantSplit/>
          <w:trHeight w:val="255"/>
        </w:trPr>
        <w:tc>
          <w:tcPr>
            <w:tcW w:w="1985" w:type="dxa"/>
            <w:shd w:val="clear" w:color="auto" w:fill="EAF1DD" w:themeFill="accent3" w:themeFillTint="33"/>
            <w:noWrap/>
          </w:tcPr>
          <w:p w14:paraId="5B054362" w14:textId="77777777" w:rsidR="00B54C7D" w:rsidRPr="00233F5C" w:rsidRDefault="00B54C7D" w:rsidP="00BB2D64">
            <w:pPr>
              <w:pStyle w:val="TabEtichette"/>
            </w:pPr>
            <w:r w:rsidRPr="00233F5C">
              <w:t>Consumi collettivi</w:t>
            </w:r>
          </w:p>
        </w:tc>
        <w:tc>
          <w:tcPr>
            <w:tcW w:w="680" w:type="dxa"/>
            <w:shd w:val="clear" w:color="auto" w:fill="EAF1DD" w:themeFill="accent3" w:themeFillTint="33"/>
            <w:noWrap/>
          </w:tcPr>
          <w:p w14:paraId="73F6F5CB" w14:textId="77777777" w:rsidR="00B54C7D" w:rsidRPr="00F86988" w:rsidRDefault="00B54C7D" w:rsidP="00BB2D64">
            <w:pPr>
              <w:pStyle w:val="TabNumeri"/>
            </w:pPr>
            <w:r w:rsidRPr="005779FC">
              <w:t>3,1</w:t>
            </w:r>
          </w:p>
        </w:tc>
        <w:tc>
          <w:tcPr>
            <w:tcW w:w="228" w:type="dxa"/>
            <w:shd w:val="clear" w:color="auto" w:fill="EAF1DD" w:themeFill="accent3" w:themeFillTint="33"/>
            <w:noWrap/>
          </w:tcPr>
          <w:p w14:paraId="64405BDD" w14:textId="77777777" w:rsidR="00B54C7D" w:rsidRPr="00B64650" w:rsidRDefault="00B54C7D" w:rsidP="00BB2D64">
            <w:pPr>
              <w:pStyle w:val="TabNumeri"/>
            </w:pPr>
          </w:p>
        </w:tc>
        <w:tc>
          <w:tcPr>
            <w:tcW w:w="680" w:type="dxa"/>
            <w:shd w:val="clear" w:color="auto" w:fill="EAF1DD" w:themeFill="accent3" w:themeFillTint="33"/>
            <w:noWrap/>
          </w:tcPr>
          <w:p w14:paraId="14111583" w14:textId="77777777" w:rsidR="00B54C7D" w:rsidRPr="00D65A6F" w:rsidRDefault="00B54C7D" w:rsidP="00BB2D64">
            <w:pPr>
              <w:pStyle w:val="TabNumeri"/>
            </w:pPr>
            <w:r w:rsidRPr="005779FC">
              <w:t>2,1</w:t>
            </w:r>
          </w:p>
        </w:tc>
        <w:tc>
          <w:tcPr>
            <w:tcW w:w="228" w:type="dxa"/>
            <w:shd w:val="clear" w:color="auto" w:fill="EAF1DD" w:themeFill="accent3" w:themeFillTint="33"/>
            <w:noWrap/>
          </w:tcPr>
          <w:p w14:paraId="6E730F77" w14:textId="77777777" w:rsidR="00B54C7D" w:rsidRPr="00C32B54" w:rsidRDefault="00B54C7D" w:rsidP="00BB2D64">
            <w:pPr>
              <w:pStyle w:val="TabNumeri"/>
            </w:pPr>
          </w:p>
        </w:tc>
        <w:tc>
          <w:tcPr>
            <w:tcW w:w="510" w:type="dxa"/>
            <w:shd w:val="clear" w:color="auto" w:fill="EAF1DD" w:themeFill="accent3" w:themeFillTint="33"/>
            <w:noWrap/>
          </w:tcPr>
          <w:p w14:paraId="4F253001" w14:textId="77777777" w:rsidR="00B54C7D" w:rsidRPr="00904DA8" w:rsidRDefault="00B54C7D" w:rsidP="00BB2D64">
            <w:pPr>
              <w:pStyle w:val="TabNumeri"/>
            </w:pPr>
            <w:r w:rsidRPr="00C8485A">
              <w:t>0,7</w:t>
            </w:r>
          </w:p>
        </w:tc>
        <w:tc>
          <w:tcPr>
            <w:tcW w:w="397" w:type="dxa"/>
            <w:shd w:val="clear" w:color="auto" w:fill="EAF1DD" w:themeFill="accent3" w:themeFillTint="33"/>
            <w:noWrap/>
          </w:tcPr>
          <w:p w14:paraId="60AF863B" w14:textId="77777777" w:rsidR="00B54C7D" w:rsidRPr="00904DA8" w:rsidRDefault="00B54C7D" w:rsidP="00BB2D64">
            <w:pPr>
              <w:pStyle w:val="TabNumeri"/>
            </w:pPr>
            <w:r w:rsidRPr="00C8485A">
              <w:t>[7]</w:t>
            </w:r>
          </w:p>
        </w:tc>
        <w:tc>
          <w:tcPr>
            <w:tcW w:w="680" w:type="dxa"/>
            <w:shd w:val="clear" w:color="auto" w:fill="EAF1DD" w:themeFill="accent3" w:themeFillTint="33"/>
            <w:noWrap/>
          </w:tcPr>
          <w:p w14:paraId="48BD668A" w14:textId="77777777" w:rsidR="00B54C7D" w:rsidRPr="003C782D" w:rsidRDefault="00B54C7D" w:rsidP="00BB2D64">
            <w:pPr>
              <w:pStyle w:val="TabNumeri"/>
            </w:pPr>
            <w:r w:rsidRPr="00535D6A">
              <w:t>2,1</w:t>
            </w:r>
          </w:p>
        </w:tc>
        <w:tc>
          <w:tcPr>
            <w:tcW w:w="228" w:type="dxa"/>
            <w:shd w:val="clear" w:color="auto" w:fill="EAF1DD" w:themeFill="accent3" w:themeFillTint="33"/>
          </w:tcPr>
          <w:p w14:paraId="2513A58F" w14:textId="77777777" w:rsidR="00B54C7D" w:rsidRPr="00AA375C" w:rsidRDefault="00B54C7D" w:rsidP="00BB2D64">
            <w:pPr>
              <w:pStyle w:val="TabNumeri"/>
            </w:pPr>
          </w:p>
        </w:tc>
        <w:tc>
          <w:tcPr>
            <w:tcW w:w="113" w:type="dxa"/>
            <w:shd w:val="clear" w:color="auto" w:fill="EAF1DD" w:themeFill="accent3" w:themeFillTint="33"/>
            <w:noWrap/>
          </w:tcPr>
          <w:p w14:paraId="7DC3283A" w14:textId="77777777" w:rsidR="00B54C7D" w:rsidRPr="00B64650" w:rsidRDefault="00B54C7D" w:rsidP="00BB2D64">
            <w:pPr>
              <w:pStyle w:val="TabNumeri"/>
            </w:pPr>
          </w:p>
        </w:tc>
        <w:tc>
          <w:tcPr>
            <w:tcW w:w="680" w:type="dxa"/>
            <w:shd w:val="clear" w:color="auto" w:fill="EAF1DD" w:themeFill="accent3" w:themeFillTint="33"/>
          </w:tcPr>
          <w:p w14:paraId="42EB2BA3" w14:textId="77777777" w:rsidR="00B54C7D" w:rsidRPr="009E61ED" w:rsidRDefault="00B54C7D" w:rsidP="00BB2D64">
            <w:pPr>
              <w:pStyle w:val="TabNumeri"/>
            </w:pPr>
            <w:r w:rsidRPr="00B74D44">
              <w:t>-1,0</w:t>
            </w:r>
          </w:p>
        </w:tc>
        <w:tc>
          <w:tcPr>
            <w:tcW w:w="228" w:type="dxa"/>
            <w:shd w:val="clear" w:color="auto" w:fill="EAF1DD" w:themeFill="accent3" w:themeFillTint="33"/>
            <w:noWrap/>
          </w:tcPr>
          <w:p w14:paraId="52F5DBB7" w14:textId="77777777" w:rsidR="00B54C7D" w:rsidRPr="00811B57" w:rsidRDefault="00B54C7D" w:rsidP="00BB2D64">
            <w:pPr>
              <w:pStyle w:val="TabNumeri"/>
            </w:pPr>
          </w:p>
        </w:tc>
        <w:tc>
          <w:tcPr>
            <w:tcW w:w="680" w:type="dxa"/>
            <w:shd w:val="clear" w:color="auto" w:fill="EAF1DD" w:themeFill="accent3" w:themeFillTint="33"/>
            <w:noWrap/>
          </w:tcPr>
          <w:p w14:paraId="3CFACA9B" w14:textId="77777777" w:rsidR="00B54C7D" w:rsidRPr="00A27A0A" w:rsidRDefault="00B54C7D" w:rsidP="00BB2D64">
            <w:pPr>
              <w:pStyle w:val="TabNumeri"/>
            </w:pPr>
            <w:r w:rsidRPr="00B74D44">
              <w:t>0,1</w:t>
            </w:r>
          </w:p>
        </w:tc>
        <w:tc>
          <w:tcPr>
            <w:tcW w:w="228" w:type="dxa"/>
            <w:shd w:val="clear" w:color="auto" w:fill="EAF1DD" w:themeFill="accent3" w:themeFillTint="33"/>
            <w:noWrap/>
          </w:tcPr>
          <w:p w14:paraId="7C3B6EF3" w14:textId="77777777" w:rsidR="00B54C7D" w:rsidRPr="00DC6642" w:rsidRDefault="00B54C7D" w:rsidP="00BB2D64">
            <w:pPr>
              <w:pStyle w:val="TabNumeri"/>
            </w:pPr>
          </w:p>
        </w:tc>
        <w:tc>
          <w:tcPr>
            <w:tcW w:w="510" w:type="dxa"/>
            <w:shd w:val="clear" w:color="auto" w:fill="EAF1DD" w:themeFill="accent3" w:themeFillTint="33"/>
            <w:noWrap/>
          </w:tcPr>
          <w:p w14:paraId="0F1C6DE5" w14:textId="77777777" w:rsidR="00B54C7D" w:rsidRPr="00986A4F" w:rsidRDefault="00B54C7D" w:rsidP="00BB2D64">
            <w:pPr>
              <w:pStyle w:val="TabNumeri"/>
            </w:pPr>
            <w:r w:rsidRPr="00AA7C7D">
              <w:t>2,7</w:t>
            </w:r>
          </w:p>
        </w:tc>
        <w:tc>
          <w:tcPr>
            <w:tcW w:w="397" w:type="dxa"/>
            <w:shd w:val="clear" w:color="auto" w:fill="EAF1DD" w:themeFill="accent3" w:themeFillTint="33"/>
            <w:noWrap/>
          </w:tcPr>
          <w:p w14:paraId="50B0A95B" w14:textId="77777777" w:rsidR="00B54C7D" w:rsidRPr="00986A4F" w:rsidRDefault="00B54C7D" w:rsidP="00BB2D64">
            <w:pPr>
              <w:pStyle w:val="TabNumeri"/>
            </w:pPr>
            <w:r w:rsidRPr="00AA7C7D">
              <w:t>[7]</w:t>
            </w:r>
          </w:p>
        </w:tc>
        <w:tc>
          <w:tcPr>
            <w:tcW w:w="680" w:type="dxa"/>
            <w:shd w:val="clear" w:color="auto" w:fill="EAF1DD" w:themeFill="accent3" w:themeFillTint="33"/>
            <w:noWrap/>
          </w:tcPr>
          <w:p w14:paraId="245DE69F" w14:textId="77777777" w:rsidR="00B54C7D" w:rsidRPr="00413582" w:rsidRDefault="00B54C7D" w:rsidP="00BB2D64">
            <w:pPr>
              <w:pStyle w:val="TabNumeri"/>
            </w:pPr>
            <w:r w:rsidRPr="00194795">
              <w:t>1,0</w:t>
            </w:r>
          </w:p>
        </w:tc>
        <w:tc>
          <w:tcPr>
            <w:tcW w:w="227" w:type="dxa"/>
            <w:shd w:val="clear" w:color="auto" w:fill="EAF1DD" w:themeFill="accent3" w:themeFillTint="33"/>
            <w:noWrap/>
          </w:tcPr>
          <w:p w14:paraId="41651E14" w14:textId="77777777" w:rsidR="00B54C7D" w:rsidRPr="00A319C0" w:rsidRDefault="00B54C7D" w:rsidP="00BB2D64">
            <w:pPr>
              <w:pStyle w:val="TabNumeri"/>
            </w:pPr>
          </w:p>
        </w:tc>
      </w:tr>
      <w:tr w:rsidR="00B54C7D" w14:paraId="24C7240E" w14:textId="77777777" w:rsidTr="00BB2D64">
        <w:trPr>
          <w:cantSplit/>
          <w:trHeight w:val="255"/>
        </w:trPr>
        <w:tc>
          <w:tcPr>
            <w:tcW w:w="1985" w:type="dxa"/>
            <w:noWrap/>
          </w:tcPr>
          <w:p w14:paraId="2CD811DE" w14:textId="77777777" w:rsidR="00B54C7D" w:rsidRPr="00233F5C" w:rsidRDefault="00B54C7D" w:rsidP="00BB2D64">
            <w:pPr>
              <w:pStyle w:val="TabEtichette"/>
            </w:pPr>
            <w:r w:rsidRPr="00233F5C">
              <w:t>Investimenti fissi lordi</w:t>
            </w:r>
          </w:p>
        </w:tc>
        <w:tc>
          <w:tcPr>
            <w:tcW w:w="680" w:type="dxa"/>
            <w:noWrap/>
          </w:tcPr>
          <w:p w14:paraId="783245B7" w14:textId="77777777" w:rsidR="00B54C7D" w:rsidRPr="00F86988" w:rsidRDefault="00B54C7D" w:rsidP="00BB2D64">
            <w:pPr>
              <w:pStyle w:val="TabNumeri"/>
            </w:pPr>
            <w:r w:rsidRPr="005779FC">
              <w:t>-15,1</w:t>
            </w:r>
          </w:p>
        </w:tc>
        <w:tc>
          <w:tcPr>
            <w:tcW w:w="228" w:type="dxa"/>
            <w:noWrap/>
          </w:tcPr>
          <w:p w14:paraId="3BA9760A" w14:textId="77777777" w:rsidR="00B54C7D" w:rsidRPr="00B64650" w:rsidRDefault="00B54C7D" w:rsidP="00BB2D64">
            <w:pPr>
              <w:pStyle w:val="TabNumeri"/>
            </w:pPr>
          </w:p>
        </w:tc>
        <w:tc>
          <w:tcPr>
            <w:tcW w:w="680" w:type="dxa"/>
            <w:noWrap/>
          </w:tcPr>
          <w:p w14:paraId="6F224182" w14:textId="77777777" w:rsidR="00B54C7D" w:rsidRPr="00D65A6F" w:rsidRDefault="00B54C7D" w:rsidP="00BB2D64">
            <w:pPr>
              <w:pStyle w:val="TabNumeri"/>
            </w:pPr>
            <w:r w:rsidRPr="005779FC">
              <w:t>-13,6</w:t>
            </w:r>
          </w:p>
        </w:tc>
        <w:tc>
          <w:tcPr>
            <w:tcW w:w="228" w:type="dxa"/>
            <w:noWrap/>
          </w:tcPr>
          <w:p w14:paraId="10381D4D" w14:textId="77777777" w:rsidR="00B54C7D" w:rsidRPr="00C32B54" w:rsidRDefault="00B54C7D" w:rsidP="00BB2D64">
            <w:pPr>
              <w:pStyle w:val="TabNumeri"/>
            </w:pPr>
          </w:p>
        </w:tc>
        <w:tc>
          <w:tcPr>
            <w:tcW w:w="510" w:type="dxa"/>
            <w:noWrap/>
          </w:tcPr>
          <w:p w14:paraId="53C8DD3A" w14:textId="77777777" w:rsidR="00B54C7D" w:rsidRPr="00904DA8" w:rsidRDefault="00B54C7D" w:rsidP="00BB2D64">
            <w:pPr>
              <w:pStyle w:val="TabNumeri"/>
            </w:pPr>
            <w:r w:rsidRPr="00C8485A">
              <w:t>-12,3</w:t>
            </w:r>
          </w:p>
        </w:tc>
        <w:tc>
          <w:tcPr>
            <w:tcW w:w="397" w:type="dxa"/>
            <w:noWrap/>
          </w:tcPr>
          <w:p w14:paraId="5BDBD422" w14:textId="77777777" w:rsidR="00B54C7D" w:rsidRPr="00904DA8" w:rsidRDefault="00B54C7D" w:rsidP="00BB2D64">
            <w:pPr>
              <w:pStyle w:val="TabNumeri"/>
            </w:pPr>
            <w:r w:rsidRPr="00C8485A">
              <w:t>[7]</w:t>
            </w:r>
          </w:p>
        </w:tc>
        <w:tc>
          <w:tcPr>
            <w:tcW w:w="680" w:type="dxa"/>
            <w:noWrap/>
          </w:tcPr>
          <w:p w14:paraId="1B6602EE" w14:textId="77777777" w:rsidR="00B54C7D" w:rsidRPr="003C782D" w:rsidRDefault="00B54C7D" w:rsidP="00BB2D64">
            <w:pPr>
              <w:pStyle w:val="TabNumeri"/>
            </w:pPr>
            <w:r w:rsidRPr="00535D6A">
              <w:t>-14,6</w:t>
            </w:r>
          </w:p>
        </w:tc>
        <w:tc>
          <w:tcPr>
            <w:tcW w:w="228" w:type="dxa"/>
          </w:tcPr>
          <w:p w14:paraId="338B317D" w14:textId="77777777" w:rsidR="00B54C7D" w:rsidRPr="00AA375C" w:rsidRDefault="00B54C7D" w:rsidP="00BB2D64">
            <w:pPr>
              <w:pStyle w:val="TabNumeri"/>
            </w:pPr>
          </w:p>
        </w:tc>
        <w:tc>
          <w:tcPr>
            <w:tcW w:w="113" w:type="dxa"/>
            <w:noWrap/>
          </w:tcPr>
          <w:p w14:paraId="7DF657C1" w14:textId="77777777" w:rsidR="00B54C7D" w:rsidRPr="00B64650" w:rsidRDefault="00B54C7D" w:rsidP="00BB2D64">
            <w:pPr>
              <w:pStyle w:val="TabNumeri"/>
            </w:pPr>
          </w:p>
        </w:tc>
        <w:tc>
          <w:tcPr>
            <w:tcW w:w="680" w:type="dxa"/>
          </w:tcPr>
          <w:p w14:paraId="6E919506" w14:textId="77777777" w:rsidR="00B54C7D" w:rsidRPr="009E61ED" w:rsidRDefault="00B54C7D" w:rsidP="00BB2D64">
            <w:pPr>
              <w:pStyle w:val="TabNumeri"/>
            </w:pPr>
            <w:r w:rsidRPr="00B74D44">
              <w:t>12,6</w:t>
            </w:r>
          </w:p>
        </w:tc>
        <w:tc>
          <w:tcPr>
            <w:tcW w:w="228" w:type="dxa"/>
            <w:noWrap/>
          </w:tcPr>
          <w:p w14:paraId="620F0894" w14:textId="77777777" w:rsidR="00B54C7D" w:rsidRPr="00811B57" w:rsidRDefault="00B54C7D" w:rsidP="00BB2D64">
            <w:pPr>
              <w:pStyle w:val="TabNumeri"/>
            </w:pPr>
          </w:p>
        </w:tc>
        <w:tc>
          <w:tcPr>
            <w:tcW w:w="680" w:type="dxa"/>
            <w:noWrap/>
          </w:tcPr>
          <w:p w14:paraId="75C90A47" w14:textId="77777777" w:rsidR="00B54C7D" w:rsidRPr="00A27A0A" w:rsidRDefault="00B54C7D" w:rsidP="00BB2D64">
            <w:pPr>
              <w:pStyle w:val="TabNumeri"/>
            </w:pPr>
            <w:r w:rsidRPr="00B74D44">
              <w:t>7,2</w:t>
            </w:r>
          </w:p>
        </w:tc>
        <w:tc>
          <w:tcPr>
            <w:tcW w:w="228" w:type="dxa"/>
            <w:noWrap/>
          </w:tcPr>
          <w:p w14:paraId="3C9C30F1" w14:textId="77777777" w:rsidR="00B54C7D" w:rsidRPr="00DC6642" w:rsidRDefault="00B54C7D" w:rsidP="00BB2D64">
            <w:pPr>
              <w:pStyle w:val="TabNumeri"/>
            </w:pPr>
          </w:p>
        </w:tc>
        <w:tc>
          <w:tcPr>
            <w:tcW w:w="510" w:type="dxa"/>
            <w:noWrap/>
          </w:tcPr>
          <w:p w14:paraId="4F0E5DCC" w14:textId="77777777" w:rsidR="00B54C7D" w:rsidRPr="00986A4F" w:rsidRDefault="00B54C7D" w:rsidP="00BB2D64">
            <w:pPr>
              <w:pStyle w:val="TabNumeri"/>
            </w:pPr>
            <w:r w:rsidRPr="00AA7C7D">
              <w:t>8,1</w:t>
            </w:r>
          </w:p>
        </w:tc>
        <w:tc>
          <w:tcPr>
            <w:tcW w:w="397" w:type="dxa"/>
            <w:noWrap/>
          </w:tcPr>
          <w:p w14:paraId="7531498D" w14:textId="77777777" w:rsidR="00B54C7D" w:rsidRPr="00986A4F" w:rsidRDefault="00B54C7D" w:rsidP="00BB2D64">
            <w:pPr>
              <w:pStyle w:val="TabNumeri"/>
            </w:pPr>
            <w:r w:rsidRPr="00AA7C7D">
              <w:t>[7]</w:t>
            </w:r>
          </w:p>
        </w:tc>
        <w:tc>
          <w:tcPr>
            <w:tcW w:w="680" w:type="dxa"/>
            <w:noWrap/>
          </w:tcPr>
          <w:p w14:paraId="7EDF9C62" w14:textId="77777777" w:rsidR="00B54C7D" w:rsidRPr="00413582" w:rsidRDefault="00B54C7D" w:rsidP="00BB2D64">
            <w:pPr>
              <w:pStyle w:val="TabNumeri"/>
            </w:pPr>
            <w:r w:rsidRPr="00194795">
              <w:t>4,3</w:t>
            </w:r>
          </w:p>
        </w:tc>
        <w:tc>
          <w:tcPr>
            <w:tcW w:w="227" w:type="dxa"/>
            <w:noWrap/>
          </w:tcPr>
          <w:p w14:paraId="637F46AC" w14:textId="77777777" w:rsidR="00B54C7D" w:rsidRPr="00A319C0" w:rsidRDefault="00B54C7D" w:rsidP="00BB2D64">
            <w:pPr>
              <w:pStyle w:val="TabNumeri"/>
            </w:pPr>
          </w:p>
        </w:tc>
      </w:tr>
      <w:tr w:rsidR="00B54C7D" w14:paraId="44152111" w14:textId="77777777" w:rsidTr="00BB2D64">
        <w:trPr>
          <w:cantSplit/>
          <w:trHeight w:val="255"/>
        </w:trPr>
        <w:tc>
          <w:tcPr>
            <w:tcW w:w="1985" w:type="dxa"/>
            <w:shd w:val="clear" w:color="auto" w:fill="EAF1DD" w:themeFill="accent3" w:themeFillTint="33"/>
            <w:noWrap/>
          </w:tcPr>
          <w:p w14:paraId="06BEF253" w14:textId="77777777" w:rsidR="00B54C7D" w:rsidRPr="00233F5C" w:rsidRDefault="00B54C7D" w:rsidP="00BB2D64">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680" w:type="dxa"/>
            <w:shd w:val="clear" w:color="auto" w:fill="EAF1DD" w:themeFill="accent3" w:themeFillTint="33"/>
            <w:noWrap/>
          </w:tcPr>
          <w:p w14:paraId="66630755" w14:textId="77777777" w:rsidR="00B54C7D" w:rsidRPr="00F86988" w:rsidRDefault="00B54C7D" w:rsidP="00BB2D64">
            <w:pPr>
              <w:pStyle w:val="TabNumeri"/>
            </w:pPr>
            <w:proofErr w:type="spellStart"/>
            <w:r w:rsidRPr="005779FC">
              <w:t>n.d.</w:t>
            </w:r>
            <w:proofErr w:type="spellEnd"/>
          </w:p>
        </w:tc>
        <w:tc>
          <w:tcPr>
            <w:tcW w:w="228" w:type="dxa"/>
            <w:shd w:val="clear" w:color="auto" w:fill="EAF1DD" w:themeFill="accent3" w:themeFillTint="33"/>
            <w:noWrap/>
          </w:tcPr>
          <w:p w14:paraId="001D3607" w14:textId="77777777" w:rsidR="00B54C7D" w:rsidRPr="00B64650" w:rsidRDefault="00B54C7D" w:rsidP="00BB2D64">
            <w:pPr>
              <w:pStyle w:val="TabNumeri"/>
            </w:pPr>
          </w:p>
        </w:tc>
        <w:tc>
          <w:tcPr>
            <w:tcW w:w="680" w:type="dxa"/>
            <w:shd w:val="clear" w:color="auto" w:fill="EAF1DD" w:themeFill="accent3" w:themeFillTint="33"/>
            <w:noWrap/>
          </w:tcPr>
          <w:p w14:paraId="7BAE5E77" w14:textId="77777777" w:rsidR="00B54C7D" w:rsidRPr="00D65A6F" w:rsidRDefault="00B54C7D" w:rsidP="00BB2D64">
            <w:pPr>
              <w:pStyle w:val="TabNumeri"/>
            </w:pPr>
            <w:r w:rsidRPr="005779FC">
              <w:t>-18,8</w:t>
            </w:r>
          </w:p>
        </w:tc>
        <w:tc>
          <w:tcPr>
            <w:tcW w:w="228" w:type="dxa"/>
            <w:shd w:val="clear" w:color="auto" w:fill="EAF1DD" w:themeFill="accent3" w:themeFillTint="33"/>
            <w:noWrap/>
          </w:tcPr>
          <w:p w14:paraId="6B6AF6B6" w14:textId="77777777" w:rsidR="00B54C7D" w:rsidRPr="00C32B54" w:rsidRDefault="00B54C7D" w:rsidP="00BB2D64">
            <w:pPr>
              <w:pStyle w:val="TabNumeri"/>
            </w:pPr>
            <w:r w:rsidRPr="005779FC">
              <w:t>[2]</w:t>
            </w:r>
          </w:p>
        </w:tc>
        <w:tc>
          <w:tcPr>
            <w:tcW w:w="510" w:type="dxa"/>
            <w:shd w:val="clear" w:color="auto" w:fill="EAF1DD" w:themeFill="accent3" w:themeFillTint="33"/>
            <w:noWrap/>
          </w:tcPr>
          <w:p w14:paraId="01879989" w14:textId="77777777" w:rsidR="00B54C7D" w:rsidRPr="00904DA8" w:rsidRDefault="00B54C7D" w:rsidP="00BB2D64">
            <w:pPr>
              <w:pStyle w:val="TabNumeri"/>
            </w:pPr>
            <w:r w:rsidRPr="00C8485A">
              <w:t>-14,0</w:t>
            </w:r>
          </w:p>
        </w:tc>
        <w:tc>
          <w:tcPr>
            <w:tcW w:w="397" w:type="dxa"/>
            <w:shd w:val="clear" w:color="auto" w:fill="EAF1DD" w:themeFill="accent3" w:themeFillTint="33"/>
            <w:noWrap/>
          </w:tcPr>
          <w:p w14:paraId="4A19C229" w14:textId="77777777" w:rsidR="00B54C7D" w:rsidRPr="00904DA8" w:rsidRDefault="00B54C7D" w:rsidP="00BB2D64">
            <w:pPr>
              <w:pStyle w:val="TabNumeri"/>
            </w:pPr>
            <w:r w:rsidRPr="00C8485A">
              <w:t>[7]</w:t>
            </w:r>
          </w:p>
        </w:tc>
        <w:tc>
          <w:tcPr>
            <w:tcW w:w="680" w:type="dxa"/>
            <w:shd w:val="clear" w:color="auto" w:fill="EAF1DD" w:themeFill="accent3" w:themeFillTint="33"/>
            <w:noWrap/>
          </w:tcPr>
          <w:p w14:paraId="593A6ADF" w14:textId="77777777" w:rsidR="00B54C7D" w:rsidRPr="003C782D" w:rsidRDefault="00B54C7D" w:rsidP="00BB2D64">
            <w:pPr>
              <w:pStyle w:val="TabNumeri"/>
            </w:pPr>
            <w:proofErr w:type="spellStart"/>
            <w:r w:rsidRPr="00535D6A">
              <w:t>n.d.</w:t>
            </w:r>
            <w:proofErr w:type="spellEnd"/>
          </w:p>
        </w:tc>
        <w:tc>
          <w:tcPr>
            <w:tcW w:w="228" w:type="dxa"/>
            <w:shd w:val="clear" w:color="auto" w:fill="EAF1DD" w:themeFill="accent3" w:themeFillTint="33"/>
          </w:tcPr>
          <w:p w14:paraId="3122D95C" w14:textId="77777777" w:rsidR="00B54C7D" w:rsidRPr="00AA375C" w:rsidRDefault="00B54C7D" w:rsidP="00BB2D64">
            <w:pPr>
              <w:pStyle w:val="TabNumeri"/>
            </w:pPr>
          </w:p>
        </w:tc>
        <w:tc>
          <w:tcPr>
            <w:tcW w:w="113" w:type="dxa"/>
            <w:shd w:val="clear" w:color="auto" w:fill="EAF1DD" w:themeFill="accent3" w:themeFillTint="33"/>
            <w:noWrap/>
          </w:tcPr>
          <w:p w14:paraId="20F96AED" w14:textId="77777777" w:rsidR="00B54C7D" w:rsidRPr="00B64650" w:rsidRDefault="00B54C7D" w:rsidP="00BB2D64">
            <w:pPr>
              <w:pStyle w:val="TabNumeri"/>
            </w:pPr>
          </w:p>
        </w:tc>
        <w:tc>
          <w:tcPr>
            <w:tcW w:w="680" w:type="dxa"/>
            <w:shd w:val="clear" w:color="auto" w:fill="EAF1DD" w:themeFill="accent3" w:themeFillTint="33"/>
          </w:tcPr>
          <w:p w14:paraId="1B87CB09" w14:textId="77777777" w:rsidR="00B54C7D" w:rsidRPr="009E61ED" w:rsidRDefault="00B54C7D" w:rsidP="00BB2D64">
            <w:pPr>
              <w:pStyle w:val="TabNumeri"/>
            </w:pPr>
            <w:proofErr w:type="spellStart"/>
            <w:r w:rsidRPr="00B74D44">
              <w:t>n.d.</w:t>
            </w:r>
            <w:proofErr w:type="spellEnd"/>
          </w:p>
        </w:tc>
        <w:tc>
          <w:tcPr>
            <w:tcW w:w="228" w:type="dxa"/>
            <w:shd w:val="clear" w:color="auto" w:fill="EAF1DD" w:themeFill="accent3" w:themeFillTint="33"/>
            <w:noWrap/>
          </w:tcPr>
          <w:p w14:paraId="4384CFF1" w14:textId="77777777" w:rsidR="00B54C7D" w:rsidRPr="00811B57" w:rsidRDefault="00B54C7D" w:rsidP="00BB2D64">
            <w:pPr>
              <w:pStyle w:val="TabNumeri"/>
            </w:pPr>
          </w:p>
        </w:tc>
        <w:tc>
          <w:tcPr>
            <w:tcW w:w="680" w:type="dxa"/>
            <w:shd w:val="clear" w:color="auto" w:fill="EAF1DD" w:themeFill="accent3" w:themeFillTint="33"/>
            <w:noWrap/>
          </w:tcPr>
          <w:p w14:paraId="592A28D1" w14:textId="77777777" w:rsidR="00B54C7D" w:rsidRPr="00A27A0A" w:rsidRDefault="00B54C7D" w:rsidP="00BB2D64">
            <w:pPr>
              <w:pStyle w:val="TabNumeri"/>
            </w:pPr>
            <w:r w:rsidRPr="00B74D44">
              <w:t>9,4</w:t>
            </w:r>
          </w:p>
        </w:tc>
        <w:tc>
          <w:tcPr>
            <w:tcW w:w="228" w:type="dxa"/>
            <w:shd w:val="clear" w:color="auto" w:fill="EAF1DD" w:themeFill="accent3" w:themeFillTint="33"/>
            <w:noWrap/>
          </w:tcPr>
          <w:p w14:paraId="416CB2B7" w14:textId="77777777" w:rsidR="00B54C7D" w:rsidRPr="00DC6642" w:rsidRDefault="00B54C7D" w:rsidP="00BB2D64">
            <w:pPr>
              <w:pStyle w:val="TabNumeri"/>
            </w:pPr>
            <w:r w:rsidRPr="00B74D44">
              <w:t>[2]</w:t>
            </w:r>
          </w:p>
        </w:tc>
        <w:tc>
          <w:tcPr>
            <w:tcW w:w="510" w:type="dxa"/>
            <w:shd w:val="clear" w:color="auto" w:fill="EAF1DD" w:themeFill="accent3" w:themeFillTint="33"/>
            <w:noWrap/>
          </w:tcPr>
          <w:p w14:paraId="0210F9B1" w14:textId="77777777" w:rsidR="00B54C7D" w:rsidRPr="00986A4F" w:rsidRDefault="00B54C7D" w:rsidP="00BB2D64">
            <w:pPr>
              <w:pStyle w:val="TabNumeri"/>
            </w:pPr>
            <w:r w:rsidRPr="00AA7C7D">
              <w:t>4,9</w:t>
            </w:r>
          </w:p>
        </w:tc>
        <w:tc>
          <w:tcPr>
            <w:tcW w:w="397" w:type="dxa"/>
            <w:shd w:val="clear" w:color="auto" w:fill="EAF1DD" w:themeFill="accent3" w:themeFillTint="33"/>
            <w:noWrap/>
          </w:tcPr>
          <w:p w14:paraId="60479B4B" w14:textId="77777777" w:rsidR="00B54C7D" w:rsidRPr="00986A4F" w:rsidRDefault="00B54C7D" w:rsidP="00BB2D64">
            <w:pPr>
              <w:pStyle w:val="TabNumeri"/>
            </w:pPr>
            <w:r w:rsidRPr="00AA7C7D">
              <w:t>[7]</w:t>
            </w:r>
          </w:p>
        </w:tc>
        <w:tc>
          <w:tcPr>
            <w:tcW w:w="680" w:type="dxa"/>
            <w:shd w:val="clear" w:color="auto" w:fill="EAF1DD" w:themeFill="accent3" w:themeFillTint="33"/>
            <w:noWrap/>
          </w:tcPr>
          <w:p w14:paraId="361D7B98" w14:textId="77777777" w:rsidR="00B54C7D" w:rsidRPr="00413582" w:rsidRDefault="00B54C7D" w:rsidP="00BB2D64">
            <w:pPr>
              <w:pStyle w:val="TabNumeri"/>
            </w:pPr>
            <w:proofErr w:type="spellStart"/>
            <w:r w:rsidRPr="00194795">
              <w:t>n.d.</w:t>
            </w:r>
            <w:proofErr w:type="spellEnd"/>
          </w:p>
        </w:tc>
        <w:tc>
          <w:tcPr>
            <w:tcW w:w="227" w:type="dxa"/>
            <w:shd w:val="clear" w:color="auto" w:fill="EAF1DD" w:themeFill="accent3" w:themeFillTint="33"/>
            <w:noWrap/>
          </w:tcPr>
          <w:p w14:paraId="241B3D8D" w14:textId="77777777" w:rsidR="00B54C7D" w:rsidRPr="00A319C0" w:rsidRDefault="00B54C7D" w:rsidP="00BB2D64">
            <w:pPr>
              <w:pStyle w:val="TabNumeri"/>
            </w:pPr>
          </w:p>
        </w:tc>
      </w:tr>
      <w:tr w:rsidR="00B54C7D" w14:paraId="16FDA7F3" w14:textId="77777777" w:rsidTr="00BB2D64">
        <w:trPr>
          <w:cantSplit/>
          <w:trHeight w:val="255"/>
        </w:trPr>
        <w:tc>
          <w:tcPr>
            <w:tcW w:w="1985" w:type="dxa"/>
            <w:noWrap/>
          </w:tcPr>
          <w:p w14:paraId="79A250A7" w14:textId="77777777" w:rsidR="00B54C7D" w:rsidRPr="00233F5C" w:rsidRDefault="00B54C7D" w:rsidP="00BB2D64">
            <w:pPr>
              <w:pStyle w:val="TabEtichette"/>
            </w:pPr>
            <w:r w:rsidRPr="00233F5C">
              <w:t>- costruzioni</w:t>
            </w:r>
          </w:p>
        </w:tc>
        <w:tc>
          <w:tcPr>
            <w:tcW w:w="680" w:type="dxa"/>
            <w:noWrap/>
          </w:tcPr>
          <w:p w14:paraId="62FD21CF" w14:textId="77777777" w:rsidR="00B54C7D" w:rsidRPr="00F86988" w:rsidRDefault="00B54C7D" w:rsidP="00BB2D64">
            <w:pPr>
              <w:pStyle w:val="TabNumeri"/>
            </w:pPr>
            <w:proofErr w:type="spellStart"/>
            <w:r w:rsidRPr="005779FC">
              <w:t>n.d.</w:t>
            </w:r>
            <w:proofErr w:type="spellEnd"/>
          </w:p>
        </w:tc>
        <w:tc>
          <w:tcPr>
            <w:tcW w:w="228" w:type="dxa"/>
            <w:noWrap/>
          </w:tcPr>
          <w:p w14:paraId="2406E7E1" w14:textId="77777777" w:rsidR="00B54C7D" w:rsidRPr="00B64650" w:rsidRDefault="00B54C7D" w:rsidP="00BB2D64">
            <w:pPr>
              <w:pStyle w:val="TabNumeri"/>
            </w:pPr>
          </w:p>
        </w:tc>
        <w:tc>
          <w:tcPr>
            <w:tcW w:w="680" w:type="dxa"/>
            <w:noWrap/>
          </w:tcPr>
          <w:p w14:paraId="37FA68DF" w14:textId="77777777" w:rsidR="00B54C7D" w:rsidRPr="00D65A6F" w:rsidRDefault="00B54C7D" w:rsidP="00BB2D64">
            <w:pPr>
              <w:pStyle w:val="TabNumeri"/>
            </w:pPr>
            <w:r w:rsidRPr="005779FC">
              <w:t>-14,1</w:t>
            </w:r>
          </w:p>
        </w:tc>
        <w:tc>
          <w:tcPr>
            <w:tcW w:w="228" w:type="dxa"/>
            <w:noWrap/>
          </w:tcPr>
          <w:p w14:paraId="1C960D74" w14:textId="77777777" w:rsidR="00B54C7D" w:rsidRPr="00C32B54" w:rsidRDefault="00B54C7D" w:rsidP="00BB2D64">
            <w:pPr>
              <w:pStyle w:val="TabNumeri"/>
            </w:pPr>
          </w:p>
        </w:tc>
        <w:tc>
          <w:tcPr>
            <w:tcW w:w="510" w:type="dxa"/>
            <w:noWrap/>
          </w:tcPr>
          <w:p w14:paraId="438ED7D5" w14:textId="77777777" w:rsidR="00B54C7D" w:rsidRPr="00904DA8" w:rsidRDefault="00B54C7D" w:rsidP="00BB2D64">
            <w:pPr>
              <w:pStyle w:val="TabNumeri"/>
            </w:pPr>
            <w:r w:rsidRPr="00C8485A">
              <w:t>-10,1</w:t>
            </w:r>
          </w:p>
        </w:tc>
        <w:tc>
          <w:tcPr>
            <w:tcW w:w="397" w:type="dxa"/>
            <w:noWrap/>
          </w:tcPr>
          <w:p w14:paraId="59FAE529" w14:textId="77777777" w:rsidR="00B54C7D" w:rsidRPr="00904DA8" w:rsidRDefault="00B54C7D" w:rsidP="00BB2D64">
            <w:pPr>
              <w:pStyle w:val="TabNumeri"/>
            </w:pPr>
            <w:r w:rsidRPr="00C8485A">
              <w:t>[7]</w:t>
            </w:r>
          </w:p>
        </w:tc>
        <w:tc>
          <w:tcPr>
            <w:tcW w:w="680" w:type="dxa"/>
            <w:noWrap/>
          </w:tcPr>
          <w:p w14:paraId="09364D7C" w14:textId="77777777" w:rsidR="00B54C7D" w:rsidRPr="003C782D" w:rsidRDefault="00B54C7D" w:rsidP="00BB2D64">
            <w:pPr>
              <w:pStyle w:val="TabNumeri"/>
            </w:pPr>
            <w:proofErr w:type="spellStart"/>
            <w:r w:rsidRPr="00535D6A">
              <w:t>n.d.</w:t>
            </w:r>
            <w:proofErr w:type="spellEnd"/>
          </w:p>
        </w:tc>
        <w:tc>
          <w:tcPr>
            <w:tcW w:w="228" w:type="dxa"/>
          </w:tcPr>
          <w:p w14:paraId="03473DA1" w14:textId="77777777" w:rsidR="00B54C7D" w:rsidRPr="00AA375C" w:rsidRDefault="00B54C7D" w:rsidP="00BB2D64">
            <w:pPr>
              <w:pStyle w:val="TabNumeri"/>
            </w:pPr>
          </w:p>
        </w:tc>
        <w:tc>
          <w:tcPr>
            <w:tcW w:w="113" w:type="dxa"/>
            <w:noWrap/>
          </w:tcPr>
          <w:p w14:paraId="5F140A13" w14:textId="77777777" w:rsidR="00B54C7D" w:rsidRPr="00B64650" w:rsidRDefault="00B54C7D" w:rsidP="00BB2D64">
            <w:pPr>
              <w:pStyle w:val="TabNumeri"/>
            </w:pPr>
          </w:p>
        </w:tc>
        <w:tc>
          <w:tcPr>
            <w:tcW w:w="680" w:type="dxa"/>
          </w:tcPr>
          <w:p w14:paraId="1ED36AC6" w14:textId="77777777" w:rsidR="00B54C7D" w:rsidRPr="009E61ED" w:rsidRDefault="00B54C7D" w:rsidP="00BB2D64">
            <w:pPr>
              <w:pStyle w:val="TabNumeri"/>
            </w:pPr>
            <w:proofErr w:type="spellStart"/>
            <w:r w:rsidRPr="00B74D44">
              <w:t>n.d.</w:t>
            </w:r>
            <w:proofErr w:type="spellEnd"/>
          </w:p>
        </w:tc>
        <w:tc>
          <w:tcPr>
            <w:tcW w:w="228" w:type="dxa"/>
            <w:noWrap/>
          </w:tcPr>
          <w:p w14:paraId="2FB3FFAE" w14:textId="77777777" w:rsidR="00B54C7D" w:rsidRPr="00811B57" w:rsidRDefault="00B54C7D" w:rsidP="00BB2D64">
            <w:pPr>
              <w:pStyle w:val="TabNumeri"/>
            </w:pPr>
          </w:p>
        </w:tc>
        <w:tc>
          <w:tcPr>
            <w:tcW w:w="680" w:type="dxa"/>
            <w:noWrap/>
          </w:tcPr>
          <w:p w14:paraId="27647035" w14:textId="77777777" w:rsidR="00B54C7D" w:rsidRPr="00A27A0A" w:rsidRDefault="00B54C7D" w:rsidP="00BB2D64">
            <w:pPr>
              <w:pStyle w:val="TabNumeri"/>
            </w:pPr>
            <w:r w:rsidRPr="00B74D44">
              <w:t>7,5</w:t>
            </w:r>
          </w:p>
        </w:tc>
        <w:tc>
          <w:tcPr>
            <w:tcW w:w="228" w:type="dxa"/>
            <w:noWrap/>
          </w:tcPr>
          <w:p w14:paraId="53316B5B" w14:textId="77777777" w:rsidR="00B54C7D" w:rsidRPr="00DC6642" w:rsidRDefault="00B54C7D" w:rsidP="00BB2D64">
            <w:pPr>
              <w:pStyle w:val="TabNumeri"/>
            </w:pPr>
          </w:p>
        </w:tc>
        <w:tc>
          <w:tcPr>
            <w:tcW w:w="510" w:type="dxa"/>
            <w:noWrap/>
          </w:tcPr>
          <w:p w14:paraId="29F0748D" w14:textId="77777777" w:rsidR="00B54C7D" w:rsidRPr="00986A4F" w:rsidRDefault="00B54C7D" w:rsidP="00BB2D64">
            <w:pPr>
              <w:pStyle w:val="TabNumeri"/>
            </w:pPr>
            <w:r w:rsidRPr="00AA7C7D">
              <w:t>12,0</w:t>
            </w:r>
          </w:p>
        </w:tc>
        <w:tc>
          <w:tcPr>
            <w:tcW w:w="397" w:type="dxa"/>
            <w:noWrap/>
          </w:tcPr>
          <w:p w14:paraId="08B40DAF" w14:textId="77777777" w:rsidR="00B54C7D" w:rsidRPr="00986A4F" w:rsidRDefault="00B54C7D" w:rsidP="00BB2D64">
            <w:pPr>
              <w:pStyle w:val="TabNumeri"/>
            </w:pPr>
            <w:r w:rsidRPr="00AA7C7D">
              <w:t>[7]</w:t>
            </w:r>
          </w:p>
        </w:tc>
        <w:tc>
          <w:tcPr>
            <w:tcW w:w="680" w:type="dxa"/>
            <w:noWrap/>
          </w:tcPr>
          <w:p w14:paraId="7E7D987C" w14:textId="77777777" w:rsidR="00B54C7D" w:rsidRPr="00413582" w:rsidRDefault="00B54C7D" w:rsidP="00BB2D64">
            <w:pPr>
              <w:pStyle w:val="TabNumeri"/>
            </w:pPr>
            <w:proofErr w:type="spellStart"/>
            <w:r w:rsidRPr="00194795">
              <w:t>n.d.</w:t>
            </w:r>
            <w:proofErr w:type="spellEnd"/>
          </w:p>
        </w:tc>
        <w:tc>
          <w:tcPr>
            <w:tcW w:w="227" w:type="dxa"/>
            <w:noWrap/>
          </w:tcPr>
          <w:p w14:paraId="334FC9CE" w14:textId="77777777" w:rsidR="00B54C7D" w:rsidRPr="00A319C0" w:rsidRDefault="00B54C7D" w:rsidP="00BB2D64">
            <w:pPr>
              <w:pStyle w:val="TabNumeri"/>
            </w:pPr>
          </w:p>
        </w:tc>
      </w:tr>
      <w:tr w:rsidR="00B54C7D" w14:paraId="0EBD6618" w14:textId="77777777" w:rsidTr="00BB2D64">
        <w:trPr>
          <w:cantSplit/>
          <w:trHeight w:val="255"/>
        </w:trPr>
        <w:tc>
          <w:tcPr>
            <w:tcW w:w="1985" w:type="dxa"/>
            <w:shd w:val="clear" w:color="auto" w:fill="EAF1DD" w:themeFill="accent3" w:themeFillTint="33"/>
            <w:noWrap/>
          </w:tcPr>
          <w:p w14:paraId="1C20CD07" w14:textId="77777777" w:rsidR="00B54C7D" w:rsidRPr="00233F5C" w:rsidRDefault="00B54C7D" w:rsidP="00BB2D64">
            <w:pPr>
              <w:pStyle w:val="TabEtichette"/>
            </w:pPr>
            <w:r>
              <w:t>Occupazione</w:t>
            </w:r>
          </w:p>
        </w:tc>
        <w:tc>
          <w:tcPr>
            <w:tcW w:w="680" w:type="dxa"/>
            <w:shd w:val="clear" w:color="auto" w:fill="EAF1DD" w:themeFill="accent3" w:themeFillTint="33"/>
            <w:noWrap/>
          </w:tcPr>
          <w:p w14:paraId="31663E6A" w14:textId="77777777" w:rsidR="00B54C7D" w:rsidRPr="00F86988" w:rsidRDefault="00B54C7D" w:rsidP="00BB2D64">
            <w:pPr>
              <w:pStyle w:val="TabNumeri"/>
            </w:pPr>
            <w:r w:rsidRPr="005779FC">
              <w:t>-2,7</w:t>
            </w:r>
          </w:p>
        </w:tc>
        <w:tc>
          <w:tcPr>
            <w:tcW w:w="228" w:type="dxa"/>
            <w:shd w:val="clear" w:color="auto" w:fill="EAF1DD" w:themeFill="accent3" w:themeFillTint="33"/>
            <w:noWrap/>
          </w:tcPr>
          <w:p w14:paraId="3A753D2D" w14:textId="77777777" w:rsidR="00B54C7D" w:rsidRPr="00B64650" w:rsidRDefault="00B54C7D" w:rsidP="00BB2D64">
            <w:pPr>
              <w:pStyle w:val="TabNumeri"/>
            </w:pPr>
            <w:r w:rsidRPr="005779FC">
              <w:t>[3]</w:t>
            </w:r>
          </w:p>
        </w:tc>
        <w:tc>
          <w:tcPr>
            <w:tcW w:w="680" w:type="dxa"/>
            <w:shd w:val="clear" w:color="auto" w:fill="EAF1DD" w:themeFill="accent3" w:themeFillTint="33"/>
            <w:noWrap/>
          </w:tcPr>
          <w:p w14:paraId="3EB8CAEE" w14:textId="77777777" w:rsidR="00B54C7D" w:rsidRPr="00D65A6F" w:rsidRDefault="00B54C7D" w:rsidP="00BB2D64">
            <w:pPr>
              <w:pStyle w:val="TabNumeri"/>
            </w:pPr>
            <w:r w:rsidRPr="005779FC">
              <w:t>-10,3</w:t>
            </w:r>
          </w:p>
        </w:tc>
        <w:tc>
          <w:tcPr>
            <w:tcW w:w="228" w:type="dxa"/>
            <w:shd w:val="clear" w:color="auto" w:fill="EAF1DD" w:themeFill="accent3" w:themeFillTint="33"/>
            <w:noWrap/>
          </w:tcPr>
          <w:p w14:paraId="524DCF4C" w14:textId="77777777" w:rsidR="00B54C7D" w:rsidRPr="00C32B54" w:rsidRDefault="00B54C7D" w:rsidP="00BB2D64">
            <w:pPr>
              <w:pStyle w:val="TabNumeri"/>
            </w:pPr>
          </w:p>
        </w:tc>
        <w:tc>
          <w:tcPr>
            <w:tcW w:w="510" w:type="dxa"/>
            <w:shd w:val="clear" w:color="auto" w:fill="EAF1DD" w:themeFill="accent3" w:themeFillTint="33"/>
            <w:noWrap/>
          </w:tcPr>
          <w:p w14:paraId="0E16715A" w14:textId="77777777" w:rsidR="00B54C7D" w:rsidRPr="00904DA8" w:rsidRDefault="00B54C7D" w:rsidP="00BB2D64">
            <w:pPr>
              <w:pStyle w:val="TabNumeri"/>
            </w:pPr>
            <w:r w:rsidRPr="00C8485A">
              <w:t>-11,7</w:t>
            </w:r>
          </w:p>
        </w:tc>
        <w:tc>
          <w:tcPr>
            <w:tcW w:w="397" w:type="dxa"/>
            <w:shd w:val="clear" w:color="auto" w:fill="EAF1DD" w:themeFill="accent3" w:themeFillTint="33"/>
            <w:noWrap/>
          </w:tcPr>
          <w:p w14:paraId="0E073BE7" w14:textId="77777777" w:rsidR="00B54C7D" w:rsidRPr="00904DA8" w:rsidRDefault="00B54C7D" w:rsidP="00BB2D64">
            <w:pPr>
              <w:pStyle w:val="TabNumeri"/>
            </w:pPr>
            <w:r w:rsidRPr="00C8485A">
              <w:t>[4 7]</w:t>
            </w:r>
          </w:p>
        </w:tc>
        <w:tc>
          <w:tcPr>
            <w:tcW w:w="680" w:type="dxa"/>
            <w:shd w:val="clear" w:color="auto" w:fill="EAF1DD" w:themeFill="accent3" w:themeFillTint="33"/>
            <w:noWrap/>
          </w:tcPr>
          <w:p w14:paraId="4691B4DB" w14:textId="77777777" w:rsidR="00B54C7D" w:rsidRPr="003C782D" w:rsidRDefault="00B54C7D" w:rsidP="00BB2D64">
            <w:pPr>
              <w:pStyle w:val="TabNumeri"/>
            </w:pPr>
            <w:proofErr w:type="spellStart"/>
            <w:r w:rsidRPr="00535D6A">
              <w:t>n.d.</w:t>
            </w:r>
            <w:proofErr w:type="spellEnd"/>
          </w:p>
        </w:tc>
        <w:tc>
          <w:tcPr>
            <w:tcW w:w="228" w:type="dxa"/>
            <w:shd w:val="clear" w:color="auto" w:fill="EAF1DD" w:themeFill="accent3" w:themeFillTint="33"/>
          </w:tcPr>
          <w:p w14:paraId="5ED40847" w14:textId="77777777" w:rsidR="00B54C7D" w:rsidRPr="00AA375C" w:rsidRDefault="00B54C7D" w:rsidP="00BB2D64">
            <w:pPr>
              <w:pStyle w:val="TabNumeri"/>
            </w:pPr>
            <w:r w:rsidRPr="00535D6A">
              <w:t>[3]</w:t>
            </w:r>
          </w:p>
        </w:tc>
        <w:tc>
          <w:tcPr>
            <w:tcW w:w="113" w:type="dxa"/>
            <w:shd w:val="clear" w:color="auto" w:fill="EAF1DD" w:themeFill="accent3" w:themeFillTint="33"/>
            <w:noWrap/>
          </w:tcPr>
          <w:p w14:paraId="074E7A04" w14:textId="77777777" w:rsidR="00B54C7D" w:rsidRPr="00B64650" w:rsidRDefault="00B54C7D" w:rsidP="00BB2D64">
            <w:pPr>
              <w:pStyle w:val="TabNumeri"/>
            </w:pPr>
          </w:p>
        </w:tc>
        <w:tc>
          <w:tcPr>
            <w:tcW w:w="680" w:type="dxa"/>
            <w:shd w:val="clear" w:color="auto" w:fill="EAF1DD" w:themeFill="accent3" w:themeFillTint="33"/>
          </w:tcPr>
          <w:p w14:paraId="68ABA658" w14:textId="77777777" w:rsidR="00B54C7D" w:rsidRPr="009E61ED" w:rsidRDefault="00B54C7D" w:rsidP="00BB2D64">
            <w:pPr>
              <w:pStyle w:val="TabNumeri"/>
            </w:pPr>
            <w:r w:rsidRPr="00B74D44">
              <w:t>1,3</w:t>
            </w:r>
          </w:p>
        </w:tc>
        <w:tc>
          <w:tcPr>
            <w:tcW w:w="228" w:type="dxa"/>
            <w:shd w:val="clear" w:color="auto" w:fill="EAF1DD" w:themeFill="accent3" w:themeFillTint="33"/>
            <w:noWrap/>
          </w:tcPr>
          <w:p w14:paraId="1C197555" w14:textId="77777777" w:rsidR="00B54C7D" w:rsidRPr="00811B57" w:rsidRDefault="00B54C7D" w:rsidP="00BB2D64">
            <w:pPr>
              <w:pStyle w:val="TabNumeri"/>
            </w:pPr>
            <w:r w:rsidRPr="00B74D44">
              <w:t>[3]</w:t>
            </w:r>
          </w:p>
        </w:tc>
        <w:tc>
          <w:tcPr>
            <w:tcW w:w="680" w:type="dxa"/>
            <w:shd w:val="clear" w:color="auto" w:fill="EAF1DD" w:themeFill="accent3" w:themeFillTint="33"/>
            <w:noWrap/>
          </w:tcPr>
          <w:p w14:paraId="17B6FEEB" w14:textId="77777777" w:rsidR="00B54C7D" w:rsidRPr="00A27A0A" w:rsidRDefault="00B54C7D" w:rsidP="00BB2D64">
            <w:pPr>
              <w:pStyle w:val="TabNumeri"/>
            </w:pPr>
            <w:r w:rsidRPr="00B74D44">
              <w:t>6,1</w:t>
            </w:r>
          </w:p>
        </w:tc>
        <w:tc>
          <w:tcPr>
            <w:tcW w:w="228" w:type="dxa"/>
            <w:shd w:val="clear" w:color="auto" w:fill="EAF1DD" w:themeFill="accent3" w:themeFillTint="33"/>
            <w:noWrap/>
          </w:tcPr>
          <w:p w14:paraId="625E4A52" w14:textId="77777777" w:rsidR="00B54C7D" w:rsidRPr="00DC6642" w:rsidRDefault="00B54C7D" w:rsidP="00BB2D64">
            <w:pPr>
              <w:pStyle w:val="TabNumeri"/>
            </w:pPr>
          </w:p>
        </w:tc>
        <w:tc>
          <w:tcPr>
            <w:tcW w:w="510" w:type="dxa"/>
            <w:shd w:val="clear" w:color="auto" w:fill="EAF1DD" w:themeFill="accent3" w:themeFillTint="33"/>
            <w:noWrap/>
          </w:tcPr>
          <w:p w14:paraId="56561A88" w14:textId="77777777" w:rsidR="00B54C7D" w:rsidRPr="00986A4F" w:rsidRDefault="00B54C7D" w:rsidP="00BB2D64">
            <w:pPr>
              <w:pStyle w:val="TabNumeri"/>
            </w:pPr>
            <w:r w:rsidRPr="00AA7C7D">
              <w:t>4,2</w:t>
            </w:r>
          </w:p>
        </w:tc>
        <w:tc>
          <w:tcPr>
            <w:tcW w:w="397" w:type="dxa"/>
            <w:shd w:val="clear" w:color="auto" w:fill="EAF1DD" w:themeFill="accent3" w:themeFillTint="33"/>
            <w:noWrap/>
          </w:tcPr>
          <w:p w14:paraId="4044BF14" w14:textId="77777777" w:rsidR="00B54C7D" w:rsidRPr="00986A4F" w:rsidRDefault="00B54C7D" w:rsidP="00BB2D64">
            <w:pPr>
              <w:pStyle w:val="TabNumeri"/>
            </w:pPr>
            <w:r w:rsidRPr="00AA7C7D">
              <w:t>[4 7]</w:t>
            </w:r>
          </w:p>
        </w:tc>
        <w:tc>
          <w:tcPr>
            <w:tcW w:w="680" w:type="dxa"/>
            <w:shd w:val="clear" w:color="auto" w:fill="EAF1DD" w:themeFill="accent3" w:themeFillTint="33"/>
            <w:noWrap/>
          </w:tcPr>
          <w:p w14:paraId="28633CC8" w14:textId="77777777" w:rsidR="00B54C7D" w:rsidRPr="00413582" w:rsidRDefault="00B54C7D" w:rsidP="00BB2D64">
            <w:pPr>
              <w:pStyle w:val="TabNumeri"/>
            </w:pPr>
            <w:proofErr w:type="spellStart"/>
            <w:r w:rsidRPr="00194795">
              <w:t>n.d.</w:t>
            </w:r>
            <w:proofErr w:type="spellEnd"/>
          </w:p>
        </w:tc>
        <w:tc>
          <w:tcPr>
            <w:tcW w:w="227" w:type="dxa"/>
            <w:shd w:val="clear" w:color="auto" w:fill="EAF1DD" w:themeFill="accent3" w:themeFillTint="33"/>
            <w:noWrap/>
          </w:tcPr>
          <w:p w14:paraId="021F8852" w14:textId="77777777" w:rsidR="00B54C7D" w:rsidRPr="00A319C0" w:rsidRDefault="00B54C7D" w:rsidP="00BB2D64">
            <w:pPr>
              <w:pStyle w:val="TabNumeri"/>
            </w:pPr>
            <w:r w:rsidRPr="00194795">
              <w:t>[3]</w:t>
            </w:r>
          </w:p>
        </w:tc>
      </w:tr>
      <w:tr w:rsidR="00B54C7D" w14:paraId="4C6CDE6B" w14:textId="77777777" w:rsidTr="00BB2D64">
        <w:trPr>
          <w:cantSplit/>
          <w:trHeight w:val="255"/>
        </w:trPr>
        <w:tc>
          <w:tcPr>
            <w:tcW w:w="1985" w:type="dxa"/>
            <w:noWrap/>
          </w:tcPr>
          <w:p w14:paraId="130251F5" w14:textId="77777777" w:rsidR="00B54C7D" w:rsidRPr="00233F5C" w:rsidRDefault="00B54C7D" w:rsidP="00BB2D64">
            <w:pPr>
              <w:pStyle w:val="TabEtichette"/>
            </w:pPr>
            <w:r w:rsidRPr="00233F5C">
              <w:t>Disoccupazione [</w:t>
            </w:r>
            <w:r>
              <w:t>a</w:t>
            </w:r>
            <w:r w:rsidRPr="00233F5C">
              <w:t>]</w:t>
            </w:r>
          </w:p>
        </w:tc>
        <w:tc>
          <w:tcPr>
            <w:tcW w:w="680" w:type="dxa"/>
            <w:noWrap/>
          </w:tcPr>
          <w:p w14:paraId="5B0EE710" w14:textId="77777777" w:rsidR="00B54C7D" w:rsidRPr="00F86988" w:rsidRDefault="00B54C7D" w:rsidP="00BB2D64">
            <w:pPr>
              <w:pStyle w:val="TabNumeri"/>
            </w:pPr>
            <w:r w:rsidRPr="005779FC">
              <w:t>11,0</w:t>
            </w:r>
          </w:p>
        </w:tc>
        <w:tc>
          <w:tcPr>
            <w:tcW w:w="228" w:type="dxa"/>
            <w:noWrap/>
          </w:tcPr>
          <w:p w14:paraId="65C34074" w14:textId="77777777" w:rsidR="00B54C7D" w:rsidRPr="00B64650" w:rsidRDefault="00B54C7D" w:rsidP="00BB2D64">
            <w:pPr>
              <w:pStyle w:val="TabNumeri"/>
            </w:pPr>
          </w:p>
        </w:tc>
        <w:tc>
          <w:tcPr>
            <w:tcW w:w="680" w:type="dxa"/>
            <w:noWrap/>
          </w:tcPr>
          <w:p w14:paraId="0E8C94B6" w14:textId="77777777" w:rsidR="00B54C7D" w:rsidRPr="00D65A6F" w:rsidRDefault="00B54C7D" w:rsidP="00BB2D64">
            <w:pPr>
              <w:pStyle w:val="TabNumeri"/>
            </w:pPr>
            <w:r w:rsidRPr="005779FC">
              <w:t>9,9</w:t>
            </w:r>
          </w:p>
        </w:tc>
        <w:tc>
          <w:tcPr>
            <w:tcW w:w="228" w:type="dxa"/>
            <w:noWrap/>
          </w:tcPr>
          <w:p w14:paraId="4231B32E" w14:textId="77777777" w:rsidR="00B54C7D" w:rsidRPr="00C32B54" w:rsidRDefault="00B54C7D" w:rsidP="00BB2D64">
            <w:pPr>
              <w:pStyle w:val="TabNumeri"/>
            </w:pPr>
          </w:p>
        </w:tc>
        <w:tc>
          <w:tcPr>
            <w:tcW w:w="510" w:type="dxa"/>
            <w:noWrap/>
          </w:tcPr>
          <w:p w14:paraId="07B3B3DF" w14:textId="77777777" w:rsidR="00B54C7D" w:rsidRPr="00904DA8" w:rsidRDefault="00B54C7D" w:rsidP="00BB2D64">
            <w:pPr>
              <w:pStyle w:val="TabNumeri"/>
            </w:pPr>
            <w:r w:rsidRPr="00C8485A">
              <w:t>9,8</w:t>
            </w:r>
          </w:p>
        </w:tc>
        <w:tc>
          <w:tcPr>
            <w:tcW w:w="397" w:type="dxa"/>
            <w:noWrap/>
          </w:tcPr>
          <w:p w14:paraId="1408226B" w14:textId="77777777" w:rsidR="00B54C7D" w:rsidRPr="00904DA8" w:rsidRDefault="00B54C7D" w:rsidP="00BB2D64">
            <w:pPr>
              <w:pStyle w:val="TabNumeri"/>
            </w:pPr>
            <w:r w:rsidRPr="00C8485A">
              <w:t>[8]</w:t>
            </w:r>
          </w:p>
        </w:tc>
        <w:tc>
          <w:tcPr>
            <w:tcW w:w="680" w:type="dxa"/>
            <w:noWrap/>
          </w:tcPr>
          <w:p w14:paraId="171D2363" w14:textId="77777777" w:rsidR="00B54C7D" w:rsidRPr="003C782D" w:rsidRDefault="00B54C7D" w:rsidP="00BB2D64">
            <w:pPr>
              <w:pStyle w:val="TabNumeri"/>
            </w:pPr>
            <w:r w:rsidRPr="00535D6A">
              <w:t>9,4</w:t>
            </w:r>
          </w:p>
        </w:tc>
        <w:tc>
          <w:tcPr>
            <w:tcW w:w="228" w:type="dxa"/>
          </w:tcPr>
          <w:p w14:paraId="53E34F80" w14:textId="77777777" w:rsidR="00B54C7D" w:rsidRPr="00AA375C" w:rsidRDefault="00B54C7D" w:rsidP="00BB2D64">
            <w:pPr>
              <w:pStyle w:val="TabNumeri"/>
            </w:pPr>
          </w:p>
        </w:tc>
        <w:tc>
          <w:tcPr>
            <w:tcW w:w="113" w:type="dxa"/>
            <w:noWrap/>
          </w:tcPr>
          <w:p w14:paraId="526DC6BA" w14:textId="77777777" w:rsidR="00B54C7D" w:rsidRPr="00B64650" w:rsidRDefault="00B54C7D" w:rsidP="00BB2D64">
            <w:pPr>
              <w:pStyle w:val="TabNumeri"/>
            </w:pPr>
          </w:p>
        </w:tc>
        <w:tc>
          <w:tcPr>
            <w:tcW w:w="680" w:type="dxa"/>
          </w:tcPr>
          <w:p w14:paraId="586DB69E" w14:textId="77777777" w:rsidR="00B54C7D" w:rsidRPr="009E61ED" w:rsidRDefault="00B54C7D" w:rsidP="00BB2D64">
            <w:pPr>
              <w:pStyle w:val="TabNumeri"/>
            </w:pPr>
            <w:r w:rsidRPr="00B74D44">
              <w:t>11,8</w:t>
            </w:r>
          </w:p>
        </w:tc>
        <w:tc>
          <w:tcPr>
            <w:tcW w:w="228" w:type="dxa"/>
            <w:noWrap/>
          </w:tcPr>
          <w:p w14:paraId="0403BE91" w14:textId="77777777" w:rsidR="00B54C7D" w:rsidRPr="00811B57" w:rsidRDefault="00B54C7D" w:rsidP="00BB2D64">
            <w:pPr>
              <w:pStyle w:val="TabNumeri"/>
            </w:pPr>
          </w:p>
        </w:tc>
        <w:tc>
          <w:tcPr>
            <w:tcW w:w="680" w:type="dxa"/>
            <w:noWrap/>
          </w:tcPr>
          <w:p w14:paraId="1EB27B1F" w14:textId="77777777" w:rsidR="00B54C7D" w:rsidRPr="00A27A0A" w:rsidRDefault="00B54C7D" w:rsidP="00BB2D64">
            <w:pPr>
              <w:pStyle w:val="TabNumeri"/>
            </w:pPr>
            <w:r w:rsidRPr="00B74D44">
              <w:t>11,6</w:t>
            </w:r>
          </w:p>
        </w:tc>
        <w:tc>
          <w:tcPr>
            <w:tcW w:w="228" w:type="dxa"/>
            <w:noWrap/>
          </w:tcPr>
          <w:p w14:paraId="402A21D0" w14:textId="77777777" w:rsidR="00B54C7D" w:rsidRPr="00DC6642" w:rsidRDefault="00B54C7D" w:rsidP="00BB2D64">
            <w:pPr>
              <w:pStyle w:val="TabNumeri"/>
            </w:pPr>
          </w:p>
        </w:tc>
        <w:tc>
          <w:tcPr>
            <w:tcW w:w="510" w:type="dxa"/>
            <w:noWrap/>
          </w:tcPr>
          <w:p w14:paraId="2B600254" w14:textId="77777777" w:rsidR="00B54C7D" w:rsidRPr="00986A4F" w:rsidRDefault="00B54C7D" w:rsidP="00BB2D64">
            <w:pPr>
              <w:pStyle w:val="TabNumeri"/>
            </w:pPr>
            <w:r w:rsidRPr="00AA7C7D">
              <w:t>11,3</w:t>
            </w:r>
          </w:p>
        </w:tc>
        <w:tc>
          <w:tcPr>
            <w:tcW w:w="397" w:type="dxa"/>
            <w:noWrap/>
          </w:tcPr>
          <w:p w14:paraId="1D461B39" w14:textId="77777777" w:rsidR="00B54C7D" w:rsidRPr="00986A4F" w:rsidRDefault="00B54C7D" w:rsidP="00BB2D64">
            <w:pPr>
              <w:pStyle w:val="TabNumeri"/>
            </w:pPr>
            <w:r w:rsidRPr="00AA7C7D">
              <w:t>[8]</w:t>
            </w:r>
          </w:p>
        </w:tc>
        <w:tc>
          <w:tcPr>
            <w:tcW w:w="680" w:type="dxa"/>
            <w:noWrap/>
          </w:tcPr>
          <w:p w14:paraId="258F10DB" w14:textId="77777777" w:rsidR="00B54C7D" w:rsidRPr="00413582" w:rsidRDefault="00B54C7D" w:rsidP="00BB2D64">
            <w:pPr>
              <w:pStyle w:val="TabNumeri"/>
            </w:pPr>
            <w:r w:rsidRPr="00194795">
              <w:t>11,0</w:t>
            </w:r>
          </w:p>
        </w:tc>
        <w:tc>
          <w:tcPr>
            <w:tcW w:w="227" w:type="dxa"/>
            <w:noWrap/>
          </w:tcPr>
          <w:p w14:paraId="7C866F68" w14:textId="77777777" w:rsidR="00B54C7D" w:rsidRPr="00A319C0" w:rsidRDefault="00B54C7D" w:rsidP="00BB2D64">
            <w:pPr>
              <w:pStyle w:val="TabNumeri"/>
            </w:pPr>
          </w:p>
        </w:tc>
      </w:tr>
      <w:tr w:rsidR="00B54C7D" w14:paraId="23240AEC" w14:textId="77777777" w:rsidTr="00BB2D64">
        <w:trPr>
          <w:cantSplit/>
          <w:trHeight w:val="255"/>
        </w:trPr>
        <w:tc>
          <w:tcPr>
            <w:tcW w:w="1985" w:type="dxa"/>
            <w:shd w:val="clear" w:color="auto" w:fill="EAF1DD" w:themeFill="accent3" w:themeFillTint="33"/>
            <w:noWrap/>
          </w:tcPr>
          <w:p w14:paraId="079D8F9B" w14:textId="77777777" w:rsidR="00B54C7D" w:rsidRPr="00233F5C" w:rsidRDefault="00B54C7D" w:rsidP="00BB2D64">
            <w:pPr>
              <w:pStyle w:val="TabEtichette"/>
            </w:pPr>
            <w:r w:rsidRPr="00233F5C">
              <w:t>Prezzi al consumo</w:t>
            </w:r>
          </w:p>
        </w:tc>
        <w:tc>
          <w:tcPr>
            <w:tcW w:w="680" w:type="dxa"/>
            <w:shd w:val="clear" w:color="auto" w:fill="EAF1DD" w:themeFill="accent3" w:themeFillTint="33"/>
            <w:noWrap/>
          </w:tcPr>
          <w:p w14:paraId="429AF3E4" w14:textId="77777777" w:rsidR="00B54C7D" w:rsidRPr="00F86988" w:rsidRDefault="00B54C7D" w:rsidP="00BB2D64">
            <w:pPr>
              <w:pStyle w:val="TabNumeri"/>
            </w:pPr>
            <w:r w:rsidRPr="005779FC">
              <w:t>0,1</w:t>
            </w:r>
          </w:p>
        </w:tc>
        <w:tc>
          <w:tcPr>
            <w:tcW w:w="228" w:type="dxa"/>
            <w:shd w:val="clear" w:color="auto" w:fill="EAF1DD" w:themeFill="accent3" w:themeFillTint="33"/>
            <w:noWrap/>
          </w:tcPr>
          <w:p w14:paraId="4D8B4FB6" w14:textId="77777777" w:rsidR="00B54C7D" w:rsidRPr="00B64650" w:rsidRDefault="00B54C7D" w:rsidP="00BB2D64">
            <w:pPr>
              <w:pStyle w:val="TabNumeri"/>
            </w:pPr>
          </w:p>
        </w:tc>
        <w:tc>
          <w:tcPr>
            <w:tcW w:w="680" w:type="dxa"/>
            <w:shd w:val="clear" w:color="auto" w:fill="EAF1DD" w:themeFill="accent3" w:themeFillTint="33"/>
            <w:noWrap/>
          </w:tcPr>
          <w:p w14:paraId="747DE9CE" w14:textId="77777777" w:rsidR="00B54C7D" w:rsidRPr="00D65A6F" w:rsidRDefault="00B54C7D" w:rsidP="00BB2D64">
            <w:pPr>
              <w:pStyle w:val="TabNumeri"/>
            </w:pPr>
            <w:r w:rsidRPr="005779FC">
              <w:t>-0,1</w:t>
            </w:r>
          </w:p>
        </w:tc>
        <w:tc>
          <w:tcPr>
            <w:tcW w:w="228" w:type="dxa"/>
            <w:shd w:val="clear" w:color="auto" w:fill="EAF1DD" w:themeFill="accent3" w:themeFillTint="33"/>
            <w:noWrap/>
          </w:tcPr>
          <w:p w14:paraId="1D7F8B3C" w14:textId="77777777" w:rsidR="00B54C7D" w:rsidRPr="00C32B54" w:rsidRDefault="00B54C7D" w:rsidP="00BB2D64">
            <w:pPr>
              <w:pStyle w:val="TabNumeri"/>
            </w:pPr>
            <w:r w:rsidRPr="005779FC">
              <w:t>[5]</w:t>
            </w:r>
          </w:p>
        </w:tc>
        <w:tc>
          <w:tcPr>
            <w:tcW w:w="510" w:type="dxa"/>
            <w:shd w:val="clear" w:color="auto" w:fill="EAF1DD" w:themeFill="accent3" w:themeFillTint="33"/>
            <w:noWrap/>
          </w:tcPr>
          <w:p w14:paraId="410D38F7" w14:textId="77777777" w:rsidR="00B54C7D" w:rsidRPr="00904DA8" w:rsidRDefault="00B54C7D" w:rsidP="00BB2D64">
            <w:pPr>
              <w:pStyle w:val="TabNumeri"/>
            </w:pPr>
            <w:r w:rsidRPr="00C8485A">
              <w:t>-0,2</w:t>
            </w:r>
          </w:p>
        </w:tc>
        <w:tc>
          <w:tcPr>
            <w:tcW w:w="397" w:type="dxa"/>
            <w:shd w:val="clear" w:color="auto" w:fill="EAF1DD" w:themeFill="accent3" w:themeFillTint="33"/>
            <w:noWrap/>
          </w:tcPr>
          <w:p w14:paraId="334F301A" w14:textId="77777777" w:rsidR="00B54C7D" w:rsidRPr="00904DA8" w:rsidRDefault="00B54C7D" w:rsidP="00BB2D64">
            <w:pPr>
              <w:pStyle w:val="TabNumeri"/>
            </w:pPr>
            <w:r w:rsidRPr="00C8485A">
              <w:t>[7]</w:t>
            </w:r>
          </w:p>
        </w:tc>
        <w:tc>
          <w:tcPr>
            <w:tcW w:w="680" w:type="dxa"/>
            <w:shd w:val="clear" w:color="auto" w:fill="EAF1DD" w:themeFill="accent3" w:themeFillTint="33"/>
            <w:noWrap/>
          </w:tcPr>
          <w:p w14:paraId="7FF51D26" w14:textId="77777777" w:rsidR="00B54C7D" w:rsidRPr="003C782D" w:rsidRDefault="00B54C7D" w:rsidP="00BB2D64">
            <w:pPr>
              <w:pStyle w:val="TabNumeri"/>
            </w:pPr>
            <w:r w:rsidRPr="00535D6A">
              <w:t>-0,1</w:t>
            </w:r>
          </w:p>
        </w:tc>
        <w:tc>
          <w:tcPr>
            <w:tcW w:w="228" w:type="dxa"/>
            <w:shd w:val="clear" w:color="auto" w:fill="EAF1DD" w:themeFill="accent3" w:themeFillTint="33"/>
          </w:tcPr>
          <w:p w14:paraId="796C347C" w14:textId="77777777" w:rsidR="00B54C7D" w:rsidRPr="00AA375C" w:rsidRDefault="00B54C7D" w:rsidP="00BB2D64">
            <w:pPr>
              <w:pStyle w:val="TabNumeri"/>
            </w:pPr>
            <w:r w:rsidRPr="00535D6A">
              <w:t>[5]</w:t>
            </w:r>
          </w:p>
        </w:tc>
        <w:tc>
          <w:tcPr>
            <w:tcW w:w="113" w:type="dxa"/>
            <w:shd w:val="clear" w:color="auto" w:fill="EAF1DD" w:themeFill="accent3" w:themeFillTint="33"/>
            <w:noWrap/>
          </w:tcPr>
          <w:p w14:paraId="472678A6" w14:textId="77777777" w:rsidR="00B54C7D" w:rsidRPr="00B64650" w:rsidRDefault="00B54C7D" w:rsidP="00BB2D64">
            <w:pPr>
              <w:pStyle w:val="TabNumeri"/>
            </w:pPr>
          </w:p>
        </w:tc>
        <w:tc>
          <w:tcPr>
            <w:tcW w:w="680" w:type="dxa"/>
            <w:shd w:val="clear" w:color="auto" w:fill="EAF1DD" w:themeFill="accent3" w:themeFillTint="33"/>
          </w:tcPr>
          <w:p w14:paraId="29EF5F08" w14:textId="77777777" w:rsidR="00B54C7D" w:rsidRPr="009E61ED" w:rsidRDefault="00B54C7D" w:rsidP="00BB2D64">
            <w:pPr>
              <w:pStyle w:val="TabNumeri"/>
            </w:pPr>
            <w:r w:rsidRPr="00B74D44">
              <w:t>0,6</w:t>
            </w:r>
          </w:p>
        </w:tc>
        <w:tc>
          <w:tcPr>
            <w:tcW w:w="228" w:type="dxa"/>
            <w:shd w:val="clear" w:color="auto" w:fill="EAF1DD" w:themeFill="accent3" w:themeFillTint="33"/>
            <w:noWrap/>
          </w:tcPr>
          <w:p w14:paraId="5F1D90DE" w14:textId="77777777" w:rsidR="00B54C7D" w:rsidRPr="00811B57" w:rsidRDefault="00B54C7D" w:rsidP="00BB2D64">
            <w:pPr>
              <w:pStyle w:val="TabNumeri"/>
            </w:pPr>
          </w:p>
        </w:tc>
        <w:tc>
          <w:tcPr>
            <w:tcW w:w="680" w:type="dxa"/>
            <w:shd w:val="clear" w:color="auto" w:fill="EAF1DD" w:themeFill="accent3" w:themeFillTint="33"/>
            <w:noWrap/>
          </w:tcPr>
          <w:p w14:paraId="0C4B821F" w14:textId="77777777" w:rsidR="00B54C7D" w:rsidRPr="00A27A0A" w:rsidRDefault="00B54C7D" w:rsidP="00BB2D64">
            <w:pPr>
              <w:pStyle w:val="TabNumeri"/>
            </w:pPr>
            <w:r w:rsidRPr="00B74D44">
              <w:t>0,7</w:t>
            </w:r>
          </w:p>
        </w:tc>
        <w:tc>
          <w:tcPr>
            <w:tcW w:w="228" w:type="dxa"/>
            <w:shd w:val="clear" w:color="auto" w:fill="EAF1DD" w:themeFill="accent3" w:themeFillTint="33"/>
            <w:noWrap/>
          </w:tcPr>
          <w:p w14:paraId="47CBA133" w14:textId="77777777" w:rsidR="00B54C7D" w:rsidRPr="00DC6642" w:rsidRDefault="00B54C7D" w:rsidP="00BB2D64">
            <w:pPr>
              <w:pStyle w:val="TabNumeri"/>
            </w:pPr>
            <w:r w:rsidRPr="00B74D44">
              <w:t>[5]</w:t>
            </w:r>
          </w:p>
        </w:tc>
        <w:tc>
          <w:tcPr>
            <w:tcW w:w="510" w:type="dxa"/>
            <w:shd w:val="clear" w:color="auto" w:fill="EAF1DD" w:themeFill="accent3" w:themeFillTint="33"/>
            <w:noWrap/>
          </w:tcPr>
          <w:p w14:paraId="69F3F55F" w14:textId="77777777" w:rsidR="00B54C7D" w:rsidRPr="00986A4F" w:rsidRDefault="00B54C7D" w:rsidP="00BB2D64">
            <w:pPr>
              <w:pStyle w:val="TabNumeri"/>
            </w:pPr>
            <w:r w:rsidRPr="00AA7C7D">
              <w:t>0,5</w:t>
            </w:r>
          </w:p>
        </w:tc>
        <w:tc>
          <w:tcPr>
            <w:tcW w:w="397" w:type="dxa"/>
            <w:shd w:val="clear" w:color="auto" w:fill="EAF1DD" w:themeFill="accent3" w:themeFillTint="33"/>
            <w:noWrap/>
          </w:tcPr>
          <w:p w14:paraId="4F19212A" w14:textId="77777777" w:rsidR="00B54C7D" w:rsidRPr="00986A4F" w:rsidRDefault="00B54C7D" w:rsidP="00BB2D64">
            <w:pPr>
              <w:pStyle w:val="TabNumeri"/>
            </w:pPr>
            <w:r w:rsidRPr="00AA7C7D">
              <w:t>[7]</w:t>
            </w:r>
          </w:p>
        </w:tc>
        <w:tc>
          <w:tcPr>
            <w:tcW w:w="680" w:type="dxa"/>
            <w:shd w:val="clear" w:color="auto" w:fill="EAF1DD" w:themeFill="accent3" w:themeFillTint="33"/>
            <w:noWrap/>
          </w:tcPr>
          <w:p w14:paraId="121A386E" w14:textId="77777777" w:rsidR="00B54C7D" w:rsidRPr="00413582" w:rsidRDefault="00B54C7D" w:rsidP="00BB2D64">
            <w:pPr>
              <w:pStyle w:val="TabNumeri"/>
            </w:pPr>
            <w:r w:rsidRPr="00194795">
              <w:t>0,4</w:t>
            </w:r>
          </w:p>
        </w:tc>
        <w:tc>
          <w:tcPr>
            <w:tcW w:w="227" w:type="dxa"/>
            <w:shd w:val="clear" w:color="auto" w:fill="EAF1DD" w:themeFill="accent3" w:themeFillTint="33"/>
            <w:noWrap/>
          </w:tcPr>
          <w:p w14:paraId="12F38438" w14:textId="77777777" w:rsidR="00B54C7D" w:rsidRPr="00A319C0" w:rsidRDefault="00B54C7D" w:rsidP="00BB2D64">
            <w:pPr>
              <w:pStyle w:val="TabNumeri"/>
            </w:pPr>
            <w:r w:rsidRPr="00194795">
              <w:t>[5]</w:t>
            </w:r>
          </w:p>
        </w:tc>
      </w:tr>
      <w:tr w:rsidR="00B54C7D" w14:paraId="1BA1B883" w14:textId="77777777" w:rsidTr="00BB2D64">
        <w:trPr>
          <w:cantSplit/>
          <w:trHeight w:val="255"/>
        </w:trPr>
        <w:tc>
          <w:tcPr>
            <w:tcW w:w="1985" w:type="dxa"/>
            <w:noWrap/>
          </w:tcPr>
          <w:p w14:paraId="38C3CA83" w14:textId="77777777" w:rsidR="00B54C7D" w:rsidRPr="00233F5C" w:rsidRDefault="00B54C7D" w:rsidP="00BB2D64">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680" w:type="dxa"/>
            <w:noWrap/>
          </w:tcPr>
          <w:p w14:paraId="4A3CE812" w14:textId="77777777" w:rsidR="00B54C7D" w:rsidRPr="00F86988" w:rsidRDefault="00B54C7D" w:rsidP="00BB2D64">
            <w:pPr>
              <w:pStyle w:val="TabNumeri"/>
            </w:pPr>
            <w:r w:rsidRPr="005779FC">
              <w:t>3,2</w:t>
            </w:r>
          </w:p>
        </w:tc>
        <w:tc>
          <w:tcPr>
            <w:tcW w:w="228" w:type="dxa"/>
            <w:noWrap/>
          </w:tcPr>
          <w:p w14:paraId="1D9FC445" w14:textId="77777777" w:rsidR="00B54C7D" w:rsidRPr="00B64650" w:rsidRDefault="00B54C7D" w:rsidP="00BB2D64">
            <w:pPr>
              <w:pStyle w:val="TabNumeri"/>
            </w:pPr>
          </w:p>
        </w:tc>
        <w:tc>
          <w:tcPr>
            <w:tcW w:w="680" w:type="dxa"/>
            <w:noWrap/>
          </w:tcPr>
          <w:p w14:paraId="15395AB8" w14:textId="77777777" w:rsidR="00B54C7D" w:rsidRPr="00D65A6F" w:rsidRDefault="00B54C7D" w:rsidP="00BB2D64">
            <w:pPr>
              <w:pStyle w:val="TabNumeri"/>
            </w:pPr>
            <w:r w:rsidRPr="005779FC">
              <w:t>2,9</w:t>
            </w:r>
          </w:p>
        </w:tc>
        <w:tc>
          <w:tcPr>
            <w:tcW w:w="228" w:type="dxa"/>
            <w:noWrap/>
          </w:tcPr>
          <w:p w14:paraId="5459FB8A" w14:textId="77777777" w:rsidR="00B54C7D" w:rsidRPr="00C32B54" w:rsidRDefault="00B54C7D" w:rsidP="00BB2D64">
            <w:pPr>
              <w:pStyle w:val="TabNumeri"/>
            </w:pPr>
          </w:p>
        </w:tc>
        <w:tc>
          <w:tcPr>
            <w:tcW w:w="510" w:type="dxa"/>
            <w:noWrap/>
          </w:tcPr>
          <w:p w14:paraId="1B13CDE7" w14:textId="77777777" w:rsidR="00B54C7D" w:rsidRPr="00904DA8" w:rsidRDefault="00B54C7D" w:rsidP="00BB2D64">
            <w:pPr>
              <w:pStyle w:val="TabNumeri"/>
            </w:pPr>
            <w:r w:rsidRPr="00C8485A">
              <w:t>3,9</w:t>
            </w:r>
          </w:p>
        </w:tc>
        <w:tc>
          <w:tcPr>
            <w:tcW w:w="397" w:type="dxa"/>
            <w:noWrap/>
          </w:tcPr>
          <w:p w14:paraId="61CED88E" w14:textId="77777777" w:rsidR="00B54C7D" w:rsidRPr="00904DA8" w:rsidRDefault="00B54C7D" w:rsidP="00BB2D64">
            <w:pPr>
              <w:pStyle w:val="TabNumeri"/>
            </w:pPr>
            <w:r w:rsidRPr="00C8485A">
              <w:t>[6 7]</w:t>
            </w:r>
          </w:p>
        </w:tc>
        <w:tc>
          <w:tcPr>
            <w:tcW w:w="680" w:type="dxa"/>
            <w:noWrap/>
          </w:tcPr>
          <w:p w14:paraId="57569DEB" w14:textId="77777777" w:rsidR="00B54C7D" w:rsidRPr="003C782D" w:rsidRDefault="00B54C7D" w:rsidP="00BB2D64">
            <w:pPr>
              <w:pStyle w:val="TabNumeri"/>
            </w:pPr>
            <w:r w:rsidRPr="00535D6A">
              <w:t>2,8</w:t>
            </w:r>
          </w:p>
        </w:tc>
        <w:tc>
          <w:tcPr>
            <w:tcW w:w="228" w:type="dxa"/>
          </w:tcPr>
          <w:p w14:paraId="30F53483" w14:textId="77777777" w:rsidR="00B54C7D" w:rsidRPr="00AA375C" w:rsidRDefault="00B54C7D" w:rsidP="00BB2D64">
            <w:pPr>
              <w:pStyle w:val="TabNumeri"/>
            </w:pPr>
          </w:p>
        </w:tc>
        <w:tc>
          <w:tcPr>
            <w:tcW w:w="113" w:type="dxa"/>
            <w:noWrap/>
          </w:tcPr>
          <w:p w14:paraId="49EC4DE5" w14:textId="77777777" w:rsidR="00B54C7D" w:rsidRPr="00B64650" w:rsidRDefault="00B54C7D" w:rsidP="00BB2D64">
            <w:pPr>
              <w:pStyle w:val="TabNumeri"/>
            </w:pPr>
          </w:p>
        </w:tc>
        <w:tc>
          <w:tcPr>
            <w:tcW w:w="680" w:type="dxa"/>
          </w:tcPr>
          <w:p w14:paraId="09752EE6" w14:textId="77777777" w:rsidR="00B54C7D" w:rsidRPr="009E61ED" w:rsidRDefault="00B54C7D" w:rsidP="00BB2D64">
            <w:pPr>
              <w:pStyle w:val="TabNumeri"/>
            </w:pPr>
            <w:r w:rsidRPr="00B74D44">
              <w:t>3,0</w:t>
            </w:r>
          </w:p>
        </w:tc>
        <w:tc>
          <w:tcPr>
            <w:tcW w:w="228" w:type="dxa"/>
            <w:noWrap/>
          </w:tcPr>
          <w:p w14:paraId="6F94E5D3" w14:textId="77777777" w:rsidR="00B54C7D" w:rsidRPr="00811B57" w:rsidRDefault="00B54C7D" w:rsidP="00BB2D64">
            <w:pPr>
              <w:pStyle w:val="TabNumeri"/>
            </w:pPr>
          </w:p>
        </w:tc>
        <w:tc>
          <w:tcPr>
            <w:tcW w:w="680" w:type="dxa"/>
            <w:noWrap/>
          </w:tcPr>
          <w:p w14:paraId="3E41B94D" w14:textId="77777777" w:rsidR="00B54C7D" w:rsidRPr="00A27A0A" w:rsidRDefault="00B54C7D" w:rsidP="00BB2D64">
            <w:pPr>
              <w:pStyle w:val="TabNumeri"/>
            </w:pPr>
            <w:r w:rsidRPr="00B74D44">
              <w:t>3,1</w:t>
            </w:r>
          </w:p>
        </w:tc>
        <w:tc>
          <w:tcPr>
            <w:tcW w:w="228" w:type="dxa"/>
            <w:noWrap/>
          </w:tcPr>
          <w:p w14:paraId="7A6E9D4E" w14:textId="77777777" w:rsidR="00B54C7D" w:rsidRPr="00DC6642" w:rsidRDefault="00B54C7D" w:rsidP="00BB2D64">
            <w:pPr>
              <w:pStyle w:val="TabNumeri"/>
            </w:pPr>
          </w:p>
        </w:tc>
        <w:tc>
          <w:tcPr>
            <w:tcW w:w="510" w:type="dxa"/>
            <w:noWrap/>
          </w:tcPr>
          <w:p w14:paraId="0095AD7B" w14:textId="77777777" w:rsidR="00B54C7D" w:rsidRPr="00986A4F" w:rsidRDefault="00B54C7D" w:rsidP="00BB2D64">
            <w:pPr>
              <w:pStyle w:val="TabNumeri"/>
            </w:pPr>
            <w:r w:rsidRPr="00AA7C7D">
              <w:t>3,7</w:t>
            </w:r>
          </w:p>
        </w:tc>
        <w:tc>
          <w:tcPr>
            <w:tcW w:w="397" w:type="dxa"/>
            <w:noWrap/>
          </w:tcPr>
          <w:p w14:paraId="092CE9C8" w14:textId="77777777" w:rsidR="00B54C7D" w:rsidRPr="00986A4F" w:rsidRDefault="00B54C7D" w:rsidP="00BB2D64">
            <w:pPr>
              <w:pStyle w:val="TabNumeri"/>
            </w:pPr>
            <w:r w:rsidRPr="00AA7C7D">
              <w:t>[6 7]</w:t>
            </w:r>
          </w:p>
        </w:tc>
        <w:tc>
          <w:tcPr>
            <w:tcW w:w="680" w:type="dxa"/>
            <w:noWrap/>
          </w:tcPr>
          <w:p w14:paraId="1B114393" w14:textId="77777777" w:rsidR="00B54C7D" w:rsidRPr="00413582" w:rsidRDefault="00B54C7D" w:rsidP="00BB2D64">
            <w:pPr>
              <w:pStyle w:val="TabNumeri"/>
            </w:pPr>
            <w:r w:rsidRPr="00194795">
              <w:t>3,0</w:t>
            </w:r>
          </w:p>
        </w:tc>
        <w:tc>
          <w:tcPr>
            <w:tcW w:w="227" w:type="dxa"/>
            <w:noWrap/>
          </w:tcPr>
          <w:p w14:paraId="005A19F0" w14:textId="77777777" w:rsidR="00B54C7D" w:rsidRPr="00A319C0" w:rsidRDefault="00B54C7D" w:rsidP="00BB2D64">
            <w:pPr>
              <w:pStyle w:val="TabNumeri"/>
            </w:pPr>
          </w:p>
        </w:tc>
      </w:tr>
      <w:tr w:rsidR="00B54C7D" w14:paraId="6CACEA90" w14:textId="77777777" w:rsidTr="00BB2D64">
        <w:trPr>
          <w:cantSplit/>
          <w:trHeight w:val="255"/>
        </w:trPr>
        <w:tc>
          <w:tcPr>
            <w:tcW w:w="1985" w:type="dxa"/>
            <w:shd w:val="clear" w:color="auto" w:fill="EAF1DD" w:themeFill="accent3" w:themeFillTint="33"/>
            <w:noWrap/>
          </w:tcPr>
          <w:p w14:paraId="26302AC9" w14:textId="77777777" w:rsidR="00B54C7D" w:rsidRPr="00233F5C" w:rsidRDefault="00B54C7D" w:rsidP="00BB2D64">
            <w:pPr>
              <w:pStyle w:val="TabEtichette"/>
            </w:pPr>
            <w:r w:rsidRPr="00233F5C">
              <w:t>Avanzo primario [</w:t>
            </w:r>
            <w:r>
              <w:t>b</w:t>
            </w:r>
            <w:r w:rsidRPr="00233F5C">
              <w:t>]</w:t>
            </w:r>
          </w:p>
        </w:tc>
        <w:tc>
          <w:tcPr>
            <w:tcW w:w="680" w:type="dxa"/>
            <w:shd w:val="clear" w:color="auto" w:fill="EAF1DD" w:themeFill="accent3" w:themeFillTint="33"/>
            <w:noWrap/>
          </w:tcPr>
          <w:p w14:paraId="20E6192E" w14:textId="77777777" w:rsidR="00B54C7D" w:rsidRPr="00F86988" w:rsidRDefault="00B54C7D" w:rsidP="00BB2D64">
            <w:pPr>
              <w:pStyle w:val="TabNumeri"/>
            </w:pPr>
            <w:r w:rsidRPr="005779FC">
              <w:t>-9,4</w:t>
            </w:r>
          </w:p>
        </w:tc>
        <w:tc>
          <w:tcPr>
            <w:tcW w:w="228" w:type="dxa"/>
            <w:shd w:val="clear" w:color="auto" w:fill="EAF1DD" w:themeFill="accent3" w:themeFillTint="33"/>
            <w:noWrap/>
          </w:tcPr>
          <w:p w14:paraId="3660C5BA" w14:textId="77777777" w:rsidR="00B54C7D" w:rsidRPr="00B64650" w:rsidRDefault="00B54C7D" w:rsidP="00BB2D64">
            <w:pPr>
              <w:pStyle w:val="TabNumeri"/>
            </w:pPr>
          </w:p>
        </w:tc>
        <w:tc>
          <w:tcPr>
            <w:tcW w:w="680" w:type="dxa"/>
            <w:shd w:val="clear" w:color="auto" w:fill="EAF1DD" w:themeFill="accent3" w:themeFillTint="33"/>
            <w:noWrap/>
          </w:tcPr>
          <w:p w14:paraId="398E41C1" w14:textId="77777777" w:rsidR="00B54C7D" w:rsidRPr="00D65A6F" w:rsidRDefault="00B54C7D" w:rsidP="00BB2D64">
            <w:pPr>
              <w:pStyle w:val="TabNumeri"/>
            </w:pPr>
            <w:r w:rsidRPr="005779FC">
              <w:t>-7,2</w:t>
            </w:r>
          </w:p>
        </w:tc>
        <w:tc>
          <w:tcPr>
            <w:tcW w:w="228" w:type="dxa"/>
            <w:shd w:val="clear" w:color="auto" w:fill="EAF1DD" w:themeFill="accent3" w:themeFillTint="33"/>
            <w:noWrap/>
          </w:tcPr>
          <w:p w14:paraId="217D6EB8" w14:textId="77777777" w:rsidR="00B54C7D" w:rsidRPr="00C32B54" w:rsidRDefault="00B54C7D" w:rsidP="00BB2D64">
            <w:pPr>
              <w:pStyle w:val="TabNumeri"/>
            </w:pPr>
          </w:p>
        </w:tc>
        <w:tc>
          <w:tcPr>
            <w:tcW w:w="510" w:type="dxa"/>
            <w:shd w:val="clear" w:color="auto" w:fill="EAF1DD" w:themeFill="accent3" w:themeFillTint="33"/>
            <w:noWrap/>
          </w:tcPr>
          <w:p w14:paraId="640D4802" w14:textId="77777777" w:rsidR="00B54C7D" w:rsidRPr="00904DA8" w:rsidRDefault="00B54C7D" w:rsidP="00BB2D64">
            <w:pPr>
              <w:pStyle w:val="TabNumeri"/>
            </w:pPr>
            <w:r w:rsidRPr="00C8485A">
              <w:t>-7,3</w:t>
            </w:r>
          </w:p>
        </w:tc>
        <w:tc>
          <w:tcPr>
            <w:tcW w:w="397" w:type="dxa"/>
            <w:shd w:val="clear" w:color="auto" w:fill="EAF1DD" w:themeFill="accent3" w:themeFillTint="33"/>
            <w:noWrap/>
          </w:tcPr>
          <w:p w14:paraId="6C905349" w14:textId="77777777" w:rsidR="00B54C7D" w:rsidRPr="00904DA8" w:rsidRDefault="00B54C7D" w:rsidP="00BB2D64">
            <w:pPr>
              <w:pStyle w:val="TabNumeri"/>
            </w:pPr>
            <w:r w:rsidRPr="00C8485A">
              <w:t>[8]</w:t>
            </w:r>
          </w:p>
        </w:tc>
        <w:tc>
          <w:tcPr>
            <w:tcW w:w="680" w:type="dxa"/>
            <w:shd w:val="clear" w:color="auto" w:fill="EAF1DD" w:themeFill="accent3" w:themeFillTint="33"/>
            <w:noWrap/>
          </w:tcPr>
          <w:p w14:paraId="77D7FA32" w14:textId="77777777" w:rsidR="00B54C7D" w:rsidRPr="003C782D" w:rsidRDefault="00B54C7D" w:rsidP="00BB2D64">
            <w:pPr>
              <w:pStyle w:val="TabNumeri"/>
            </w:pPr>
            <w:proofErr w:type="spellStart"/>
            <w:r w:rsidRPr="00535D6A">
              <w:t>n.d.</w:t>
            </w:r>
            <w:proofErr w:type="spellEnd"/>
          </w:p>
        </w:tc>
        <w:tc>
          <w:tcPr>
            <w:tcW w:w="228" w:type="dxa"/>
            <w:shd w:val="clear" w:color="auto" w:fill="EAF1DD" w:themeFill="accent3" w:themeFillTint="33"/>
          </w:tcPr>
          <w:p w14:paraId="33A658E9" w14:textId="77777777" w:rsidR="00B54C7D" w:rsidRPr="00AA375C" w:rsidRDefault="00B54C7D" w:rsidP="00BB2D64">
            <w:pPr>
              <w:pStyle w:val="TabNumeri"/>
            </w:pPr>
          </w:p>
        </w:tc>
        <w:tc>
          <w:tcPr>
            <w:tcW w:w="113" w:type="dxa"/>
            <w:shd w:val="clear" w:color="auto" w:fill="EAF1DD" w:themeFill="accent3" w:themeFillTint="33"/>
            <w:noWrap/>
          </w:tcPr>
          <w:p w14:paraId="0FADA928" w14:textId="77777777" w:rsidR="00B54C7D" w:rsidRPr="00B64650" w:rsidRDefault="00B54C7D" w:rsidP="00BB2D64">
            <w:pPr>
              <w:pStyle w:val="TabNumeri"/>
            </w:pPr>
          </w:p>
        </w:tc>
        <w:tc>
          <w:tcPr>
            <w:tcW w:w="680" w:type="dxa"/>
            <w:shd w:val="clear" w:color="auto" w:fill="EAF1DD" w:themeFill="accent3" w:themeFillTint="33"/>
          </w:tcPr>
          <w:p w14:paraId="143F1416" w14:textId="77777777" w:rsidR="00B54C7D" w:rsidRPr="009E61ED" w:rsidRDefault="00B54C7D" w:rsidP="00BB2D64">
            <w:pPr>
              <w:pStyle w:val="TabNumeri"/>
            </w:pPr>
            <w:r w:rsidRPr="00B74D44">
              <w:t>-2,8</w:t>
            </w:r>
          </w:p>
        </w:tc>
        <w:tc>
          <w:tcPr>
            <w:tcW w:w="228" w:type="dxa"/>
            <w:shd w:val="clear" w:color="auto" w:fill="EAF1DD" w:themeFill="accent3" w:themeFillTint="33"/>
            <w:noWrap/>
          </w:tcPr>
          <w:p w14:paraId="52F25E71" w14:textId="77777777" w:rsidR="00B54C7D" w:rsidRPr="00811B57" w:rsidRDefault="00B54C7D" w:rsidP="00BB2D64">
            <w:pPr>
              <w:pStyle w:val="TabNumeri"/>
            </w:pPr>
          </w:p>
        </w:tc>
        <w:tc>
          <w:tcPr>
            <w:tcW w:w="680" w:type="dxa"/>
            <w:shd w:val="clear" w:color="auto" w:fill="EAF1DD" w:themeFill="accent3" w:themeFillTint="33"/>
            <w:noWrap/>
          </w:tcPr>
          <w:p w14:paraId="371DF5B6" w14:textId="77777777" w:rsidR="00B54C7D" w:rsidRPr="00A27A0A" w:rsidRDefault="00B54C7D" w:rsidP="00BB2D64">
            <w:pPr>
              <w:pStyle w:val="TabNumeri"/>
            </w:pPr>
            <w:r w:rsidRPr="00B74D44">
              <w:t>-4,4</w:t>
            </w:r>
          </w:p>
        </w:tc>
        <w:tc>
          <w:tcPr>
            <w:tcW w:w="228" w:type="dxa"/>
            <w:shd w:val="clear" w:color="auto" w:fill="EAF1DD" w:themeFill="accent3" w:themeFillTint="33"/>
            <w:noWrap/>
          </w:tcPr>
          <w:p w14:paraId="136806BC" w14:textId="77777777" w:rsidR="00B54C7D" w:rsidRPr="00DC6642" w:rsidRDefault="00B54C7D" w:rsidP="00BB2D64">
            <w:pPr>
              <w:pStyle w:val="TabNumeri"/>
            </w:pPr>
          </w:p>
        </w:tc>
        <w:tc>
          <w:tcPr>
            <w:tcW w:w="510" w:type="dxa"/>
            <w:shd w:val="clear" w:color="auto" w:fill="EAF1DD" w:themeFill="accent3" w:themeFillTint="33"/>
            <w:noWrap/>
          </w:tcPr>
          <w:p w14:paraId="18D715F1" w14:textId="77777777" w:rsidR="00B54C7D" w:rsidRPr="00986A4F" w:rsidRDefault="00B54C7D" w:rsidP="00BB2D64">
            <w:pPr>
              <w:pStyle w:val="TabNumeri"/>
            </w:pPr>
            <w:r w:rsidRPr="00AA7C7D">
              <w:t>-2,9</w:t>
            </w:r>
          </w:p>
        </w:tc>
        <w:tc>
          <w:tcPr>
            <w:tcW w:w="397" w:type="dxa"/>
            <w:shd w:val="clear" w:color="auto" w:fill="EAF1DD" w:themeFill="accent3" w:themeFillTint="33"/>
            <w:noWrap/>
          </w:tcPr>
          <w:p w14:paraId="0E718882" w14:textId="77777777" w:rsidR="00B54C7D" w:rsidRPr="00986A4F" w:rsidRDefault="00B54C7D" w:rsidP="00BB2D64">
            <w:pPr>
              <w:pStyle w:val="TabNumeri"/>
            </w:pPr>
            <w:r w:rsidRPr="00AA7C7D">
              <w:t>[8]</w:t>
            </w:r>
          </w:p>
        </w:tc>
        <w:tc>
          <w:tcPr>
            <w:tcW w:w="680" w:type="dxa"/>
            <w:shd w:val="clear" w:color="auto" w:fill="EAF1DD" w:themeFill="accent3" w:themeFillTint="33"/>
            <w:noWrap/>
          </w:tcPr>
          <w:p w14:paraId="348EA16B" w14:textId="77777777" w:rsidR="00B54C7D" w:rsidRPr="00413582" w:rsidRDefault="00B54C7D" w:rsidP="00BB2D64">
            <w:pPr>
              <w:pStyle w:val="TabNumeri"/>
            </w:pPr>
            <w:proofErr w:type="spellStart"/>
            <w:r w:rsidRPr="00194795">
              <w:t>n.d.</w:t>
            </w:r>
            <w:proofErr w:type="spellEnd"/>
          </w:p>
        </w:tc>
        <w:tc>
          <w:tcPr>
            <w:tcW w:w="227" w:type="dxa"/>
            <w:shd w:val="clear" w:color="auto" w:fill="EAF1DD" w:themeFill="accent3" w:themeFillTint="33"/>
            <w:noWrap/>
          </w:tcPr>
          <w:p w14:paraId="5ED35691" w14:textId="77777777" w:rsidR="00B54C7D" w:rsidRPr="00A319C0" w:rsidRDefault="00B54C7D" w:rsidP="00BB2D64">
            <w:pPr>
              <w:pStyle w:val="TabNumeri"/>
            </w:pPr>
          </w:p>
        </w:tc>
      </w:tr>
      <w:tr w:rsidR="00B54C7D" w14:paraId="40B43B32" w14:textId="77777777" w:rsidTr="00BB2D64">
        <w:trPr>
          <w:cantSplit/>
          <w:trHeight w:val="255"/>
        </w:trPr>
        <w:tc>
          <w:tcPr>
            <w:tcW w:w="1985" w:type="dxa"/>
            <w:noWrap/>
          </w:tcPr>
          <w:p w14:paraId="40AF9A1D" w14:textId="77777777" w:rsidR="00B54C7D" w:rsidRPr="00233F5C" w:rsidRDefault="00B54C7D" w:rsidP="00BB2D64">
            <w:pPr>
              <w:pStyle w:val="TabEtichette"/>
            </w:pPr>
            <w:r w:rsidRPr="00233F5C">
              <w:t>Ind</w:t>
            </w:r>
            <w:r>
              <w:t>ebitamento A. P. [b</w:t>
            </w:r>
            <w:r w:rsidRPr="00233F5C">
              <w:t>]</w:t>
            </w:r>
          </w:p>
        </w:tc>
        <w:tc>
          <w:tcPr>
            <w:tcW w:w="680" w:type="dxa"/>
            <w:noWrap/>
          </w:tcPr>
          <w:p w14:paraId="2BB8117E" w14:textId="77777777" w:rsidR="00B54C7D" w:rsidRPr="00F86988" w:rsidRDefault="00B54C7D" w:rsidP="00BB2D64">
            <w:pPr>
              <w:pStyle w:val="TabNumeri"/>
            </w:pPr>
            <w:r w:rsidRPr="005779FC">
              <w:t>13,0</w:t>
            </w:r>
          </w:p>
        </w:tc>
        <w:tc>
          <w:tcPr>
            <w:tcW w:w="228" w:type="dxa"/>
            <w:noWrap/>
          </w:tcPr>
          <w:p w14:paraId="4F83E923" w14:textId="77777777" w:rsidR="00B54C7D" w:rsidRPr="00B64650" w:rsidRDefault="00B54C7D" w:rsidP="00BB2D64">
            <w:pPr>
              <w:pStyle w:val="TabNumeri"/>
            </w:pPr>
          </w:p>
        </w:tc>
        <w:tc>
          <w:tcPr>
            <w:tcW w:w="680" w:type="dxa"/>
            <w:noWrap/>
          </w:tcPr>
          <w:p w14:paraId="1293BFCE" w14:textId="77777777" w:rsidR="00B54C7D" w:rsidRPr="00D65A6F" w:rsidRDefault="00B54C7D" w:rsidP="00BB2D64">
            <w:pPr>
              <w:pStyle w:val="TabNumeri"/>
            </w:pPr>
            <w:r w:rsidRPr="005779FC">
              <w:t>10,8</w:t>
            </w:r>
          </w:p>
        </w:tc>
        <w:tc>
          <w:tcPr>
            <w:tcW w:w="228" w:type="dxa"/>
            <w:noWrap/>
          </w:tcPr>
          <w:p w14:paraId="4931FE61" w14:textId="77777777" w:rsidR="00B54C7D" w:rsidRPr="00C32B54" w:rsidRDefault="00B54C7D" w:rsidP="00BB2D64">
            <w:pPr>
              <w:pStyle w:val="TabNumeri"/>
            </w:pPr>
          </w:p>
        </w:tc>
        <w:tc>
          <w:tcPr>
            <w:tcW w:w="510" w:type="dxa"/>
            <w:noWrap/>
          </w:tcPr>
          <w:p w14:paraId="1DF8A017" w14:textId="77777777" w:rsidR="00B54C7D" w:rsidRPr="00904DA8" w:rsidRDefault="00B54C7D" w:rsidP="00BB2D64">
            <w:pPr>
              <w:pStyle w:val="TabNumeri"/>
            </w:pPr>
            <w:r w:rsidRPr="00C8485A">
              <w:t>10,8</w:t>
            </w:r>
          </w:p>
        </w:tc>
        <w:tc>
          <w:tcPr>
            <w:tcW w:w="397" w:type="dxa"/>
            <w:noWrap/>
          </w:tcPr>
          <w:p w14:paraId="66224574" w14:textId="77777777" w:rsidR="00B54C7D" w:rsidRPr="00904DA8" w:rsidRDefault="00B54C7D" w:rsidP="00BB2D64">
            <w:pPr>
              <w:pStyle w:val="TabNumeri"/>
            </w:pPr>
            <w:r w:rsidRPr="00C8485A">
              <w:t>[7]</w:t>
            </w:r>
          </w:p>
        </w:tc>
        <w:tc>
          <w:tcPr>
            <w:tcW w:w="680" w:type="dxa"/>
            <w:noWrap/>
          </w:tcPr>
          <w:p w14:paraId="4BCF6EB2" w14:textId="77777777" w:rsidR="00B54C7D" w:rsidRPr="003C782D" w:rsidRDefault="00B54C7D" w:rsidP="00BB2D64">
            <w:pPr>
              <w:pStyle w:val="TabNumeri"/>
            </w:pPr>
            <w:r w:rsidRPr="00535D6A">
              <w:t>-10,7</w:t>
            </w:r>
          </w:p>
        </w:tc>
        <w:tc>
          <w:tcPr>
            <w:tcW w:w="228" w:type="dxa"/>
          </w:tcPr>
          <w:p w14:paraId="6FD690A8" w14:textId="77777777" w:rsidR="00B54C7D" w:rsidRPr="00AA375C" w:rsidRDefault="00B54C7D" w:rsidP="00BB2D64">
            <w:pPr>
              <w:pStyle w:val="TabNumeri"/>
            </w:pPr>
          </w:p>
        </w:tc>
        <w:tc>
          <w:tcPr>
            <w:tcW w:w="113" w:type="dxa"/>
            <w:noWrap/>
          </w:tcPr>
          <w:p w14:paraId="15786FC0" w14:textId="77777777" w:rsidR="00B54C7D" w:rsidRPr="00B64650" w:rsidRDefault="00B54C7D" w:rsidP="00BB2D64">
            <w:pPr>
              <w:pStyle w:val="TabNumeri"/>
            </w:pPr>
          </w:p>
        </w:tc>
        <w:tc>
          <w:tcPr>
            <w:tcW w:w="680" w:type="dxa"/>
          </w:tcPr>
          <w:p w14:paraId="4863CFD2" w14:textId="77777777" w:rsidR="00B54C7D" w:rsidRPr="009E61ED" w:rsidRDefault="00B54C7D" w:rsidP="00BB2D64">
            <w:pPr>
              <w:pStyle w:val="TabNumeri"/>
            </w:pPr>
            <w:r w:rsidRPr="00B74D44">
              <w:t>6,2</w:t>
            </w:r>
          </w:p>
        </w:tc>
        <w:tc>
          <w:tcPr>
            <w:tcW w:w="228" w:type="dxa"/>
            <w:noWrap/>
          </w:tcPr>
          <w:p w14:paraId="38289889" w14:textId="77777777" w:rsidR="00B54C7D" w:rsidRPr="00811B57" w:rsidRDefault="00B54C7D" w:rsidP="00BB2D64">
            <w:pPr>
              <w:pStyle w:val="TabNumeri"/>
            </w:pPr>
          </w:p>
        </w:tc>
        <w:tc>
          <w:tcPr>
            <w:tcW w:w="680" w:type="dxa"/>
            <w:noWrap/>
          </w:tcPr>
          <w:p w14:paraId="0870932B" w14:textId="77777777" w:rsidR="00B54C7D" w:rsidRPr="00A27A0A" w:rsidRDefault="00B54C7D" w:rsidP="00BB2D64">
            <w:pPr>
              <w:pStyle w:val="TabNumeri"/>
            </w:pPr>
            <w:r w:rsidRPr="00B74D44">
              <w:t>7,8</w:t>
            </w:r>
          </w:p>
        </w:tc>
        <w:tc>
          <w:tcPr>
            <w:tcW w:w="228" w:type="dxa"/>
            <w:noWrap/>
          </w:tcPr>
          <w:p w14:paraId="61CA9277" w14:textId="77777777" w:rsidR="00B54C7D" w:rsidRPr="00DC6642" w:rsidRDefault="00B54C7D" w:rsidP="00BB2D64">
            <w:pPr>
              <w:pStyle w:val="TabNumeri"/>
            </w:pPr>
          </w:p>
        </w:tc>
        <w:tc>
          <w:tcPr>
            <w:tcW w:w="510" w:type="dxa"/>
            <w:noWrap/>
          </w:tcPr>
          <w:p w14:paraId="3361C1C3" w14:textId="77777777" w:rsidR="00B54C7D" w:rsidRPr="00986A4F" w:rsidRDefault="00B54C7D" w:rsidP="00BB2D64">
            <w:pPr>
              <w:pStyle w:val="TabNumeri"/>
            </w:pPr>
            <w:r w:rsidRPr="00AA7C7D">
              <w:t>7,4</w:t>
            </w:r>
          </w:p>
        </w:tc>
        <w:tc>
          <w:tcPr>
            <w:tcW w:w="397" w:type="dxa"/>
            <w:noWrap/>
          </w:tcPr>
          <w:p w14:paraId="48532A35" w14:textId="77777777" w:rsidR="00B54C7D" w:rsidRPr="00986A4F" w:rsidRDefault="00B54C7D" w:rsidP="00BB2D64">
            <w:pPr>
              <w:pStyle w:val="TabNumeri"/>
            </w:pPr>
            <w:r w:rsidRPr="00AA7C7D">
              <w:t>[7]</w:t>
            </w:r>
          </w:p>
        </w:tc>
        <w:tc>
          <w:tcPr>
            <w:tcW w:w="680" w:type="dxa"/>
            <w:noWrap/>
          </w:tcPr>
          <w:p w14:paraId="39872153" w14:textId="77777777" w:rsidR="00B54C7D" w:rsidRPr="00413582" w:rsidRDefault="00B54C7D" w:rsidP="00BB2D64">
            <w:pPr>
              <w:pStyle w:val="TabNumeri"/>
            </w:pPr>
            <w:r w:rsidRPr="00194795">
              <w:t>-6,9</w:t>
            </w:r>
          </w:p>
        </w:tc>
        <w:tc>
          <w:tcPr>
            <w:tcW w:w="227" w:type="dxa"/>
            <w:noWrap/>
          </w:tcPr>
          <w:p w14:paraId="1016407A" w14:textId="77777777" w:rsidR="00B54C7D" w:rsidRPr="00A319C0" w:rsidRDefault="00B54C7D" w:rsidP="00BB2D64">
            <w:pPr>
              <w:pStyle w:val="TabNumeri"/>
            </w:pPr>
          </w:p>
        </w:tc>
      </w:tr>
      <w:tr w:rsidR="00B54C7D" w14:paraId="4BD48A8B" w14:textId="77777777" w:rsidTr="00BB2D64">
        <w:trPr>
          <w:cantSplit/>
          <w:trHeight w:val="255"/>
        </w:trPr>
        <w:tc>
          <w:tcPr>
            <w:tcW w:w="1985" w:type="dxa"/>
            <w:tcBorders>
              <w:bottom w:val="single" w:sz="4" w:space="0" w:color="632423" w:themeColor="accent2" w:themeShade="80"/>
            </w:tcBorders>
            <w:shd w:val="clear" w:color="auto" w:fill="EAF1DD" w:themeFill="accent3" w:themeFillTint="33"/>
            <w:noWrap/>
          </w:tcPr>
          <w:p w14:paraId="5D4FD3D0" w14:textId="77777777" w:rsidR="00B54C7D" w:rsidRDefault="00B54C7D" w:rsidP="00BB2D64">
            <w:pPr>
              <w:pStyle w:val="TabEtichette"/>
            </w:pPr>
            <w:r>
              <w:t>Debito A. Pubblica [b</w:t>
            </w:r>
            <w:r w:rsidRPr="00233F5C">
              <w:t>]</w:t>
            </w:r>
          </w:p>
        </w:tc>
        <w:tc>
          <w:tcPr>
            <w:tcW w:w="680" w:type="dxa"/>
            <w:tcBorders>
              <w:bottom w:val="single" w:sz="4" w:space="0" w:color="632423" w:themeColor="accent2" w:themeShade="80"/>
            </w:tcBorders>
            <w:shd w:val="clear" w:color="auto" w:fill="EAF1DD" w:themeFill="accent3" w:themeFillTint="33"/>
            <w:noWrap/>
          </w:tcPr>
          <w:p w14:paraId="5A7DCCEB" w14:textId="77777777" w:rsidR="00B54C7D" w:rsidRDefault="00B54C7D" w:rsidP="00BB2D64">
            <w:pPr>
              <w:pStyle w:val="TabNumeri"/>
            </w:pPr>
            <w:r w:rsidRPr="005779FC">
              <w:t>161,8</w:t>
            </w:r>
          </w:p>
        </w:tc>
        <w:tc>
          <w:tcPr>
            <w:tcW w:w="228" w:type="dxa"/>
            <w:tcBorders>
              <w:bottom w:val="single" w:sz="4" w:space="0" w:color="632423" w:themeColor="accent2" w:themeShade="80"/>
            </w:tcBorders>
            <w:shd w:val="clear" w:color="auto" w:fill="EAF1DD" w:themeFill="accent3" w:themeFillTint="33"/>
            <w:noWrap/>
          </w:tcPr>
          <w:p w14:paraId="272B44F7" w14:textId="77777777" w:rsidR="00B54C7D" w:rsidRPr="00B64650" w:rsidRDefault="00B54C7D" w:rsidP="00BB2D64">
            <w:pPr>
              <w:pStyle w:val="TabNumeri"/>
            </w:pPr>
          </w:p>
        </w:tc>
        <w:tc>
          <w:tcPr>
            <w:tcW w:w="680" w:type="dxa"/>
            <w:tcBorders>
              <w:bottom w:val="single" w:sz="4" w:space="0" w:color="632423" w:themeColor="accent2" w:themeShade="80"/>
            </w:tcBorders>
            <w:shd w:val="clear" w:color="auto" w:fill="EAF1DD" w:themeFill="accent3" w:themeFillTint="33"/>
            <w:noWrap/>
          </w:tcPr>
          <w:p w14:paraId="4201794B" w14:textId="77777777" w:rsidR="00B54C7D" w:rsidRDefault="00B54C7D" w:rsidP="00BB2D64">
            <w:pPr>
              <w:pStyle w:val="TabNumeri"/>
            </w:pPr>
            <w:r w:rsidRPr="005779FC">
              <w:t>159,6</w:t>
            </w:r>
          </w:p>
        </w:tc>
        <w:tc>
          <w:tcPr>
            <w:tcW w:w="228" w:type="dxa"/>
            <w:tcBorders>
              <w:bottom w:val="single" w:sz="4" w:space="0" w:color="632423" w:themeColor="accent2" w:themeShade="80"/>
            </w:tcBorders>
            <w:shd w:val="clear" w:color="auto" w:fill="EAF1DD" w:themeFill="accent3" w:themeFillTint="33"/>
            <w:noWrap/>
          </w:tcPr>
          <w:p w14:paraId="4D97099D" w14:textId="77777777" w:rsidR="00B54C7D" w:rsidRDefault="00B54C7D" w:rsidP="00BB2D64">
            <w:pPr>
              <w:pStyle w:val="TabNumeri"/>
            </w:pPr>
          </w:p>
        </w:tc>
        <w:tc>
          <w:tcPr>
            <w:tcW w:w="510" w:type="dxa"/>
            <w:tcBorders>
              <w:bottom w:val="single" w:sz="4" w:space="0" w:color="632423" w:themeColor="accent2" w:themeShade="80"/>
            </w:tcBorders>
            <w:shd w:val="clear" w:color="auto" w:fill="EAF1DD" w:themeFill="accent3" w:themeFillTint="33"/>
            <w:noWrap/>
          </w:tcPr>
          <w:p w14:paraId="36589DEF" w14:textId="77777777" w:rsidR="00B54C7D" w:rsidRPr="00904DA8" w:rsidRDefault="00B54C7D" w:rsidP="00BB2D64">
            <w:pPr>
              <w:pStyle w:val="TabNumeri"/>
            </w:pPr>
            <w:r w:rsidRPr="00C8485A">
              <w:t>158,1</w:t>
            </w:r>
          </w:p>
        </w:tc>
        <w:tc>
          <w:tcPr>
            <w:tcW w:w="397" w:type="dxa"/>
            <w:tcBorders>
              <w:bottom w:val="single" w:sz="4" w:space="0" w:color="632423" w:themeColor="accent2" w:themeShade="80"/>
            </w:tcBorders>
            <w:shd w:val="clear" w:color="auto" w:fill="EAF1DD" w:themeFill="accent3" w:themeFillTint="33"/>
            <w:noWrap/>
          </w:tcPr>
          <w:p w14:paraId="00AFA1C2" w14:textId="77777777" w:rsidR="00B54C7D" w:rsidRDefault="00B54C7D" w:rsidP="00BB2D64">
            <w:pPr>
              <w:pStyle w:val="TabNumeri"/>
            </w:pPr>
            <w:r w:rsidRPr="00C8485A">
              <w:t>[8]</w:t>
            </w:r>
          </w:p>
        </w:tc>
        <w:tc>
          <w:tcPr>
            <w:tcW w:w="680" w:type="dxa"/>
            <w:tcBorders>
              <w:bottom w:val="single" w:sz="4" w:space="0" w:color="632423" w:themeColor="accent2" w:themeShade="80"/>
            </w:tcBorders>
            <w:shd w:val="clear" w:color="auto" w:fill="EAF1DD" w:themeFill="accent3" w:themeFillTint="33"/>
            <w:noWrap/>
          </w:tcPr>
          <w:p w14:paraId="6CDD5156" w14:textId="77777777" w:rsidR="00B54C7D" w:rsidRDefault="00B54C7D" w:rsidP="00BB2D64">
            <w:pPr>
              <w:pStyle w:val="TabNumeri"/>
            </w:pPr>
            <w:r w:rsidRPr="00535D6A">
              <w:t>159,8</w:t>
            </w:r>
          </w:p>
        </w:tc>
        <w:tc>
          <w:tcPr>
            <w:tcW w:w="228" w:type="dxa"/>
            <w:tcBorders>
              <w:bottom w:val="single" w:sz="4" w:space="0" w:color="632423" w:themeColor="accent2" w:themeShade="80"/>
            </w:tcBorders>
            <w:shd w:val="clear" w:color="auto" w:fill="EAF1DD" w:themeFill="accent3" w:themeFillTint="33"/>
          </w:tcPr>
          <w:p w14:paraId="0186437D" w14:textId="77777777" w:rsidR="00B54C7D" w:rsidRDefault="00B54C7D" w:rsidP="00BB2D64">
            <w:pPr>
              <w:pStyle w:val="TabNumeri"/>
            </w:pPr>
          </w:p>
        </w:tc>
        <w:tc>
          <w:tcPr>
            <w:tcW w:w="113" w:type="dxa"/>
            <w:tcBorders>
              <w:bottom w:val="single" w:sz="4" w:space="0" w:color="632423" w:themeColor="accent2" w:themeShade="80"/>
            </w:tcBorders>
            <w:shd w:val="clear" w:color="auto" w:fill="EAF1DD" w:themeFill="accent3" w:themeFillTint="33"/>
            <w:noWrap/>
          </w:tcPr>
          <w:p w14:paraId="16D7B900" w14:textId="77777777" w:rsidR="00B54C7D" w:rsidRPr="00B64650" w:rsidRDefault="00B54C7D" w:rsidP="00BB2D64">
            <w:pPr>
              <w:pStyle w:val="TabNumeri"/>
            </w:pPr>
          </w:p>
        </w:tc>
        <w:tc>
          <w:tcPr>
            <w:tcW w:w="680" w:type="dxa"/>
            <w:tcBorders>
              <w:bottom w:val="single" w:sz="4" w:space="0" w:color="632423" w:themeColor="accent2" w:themeShade="80"/>
            </w:tcBorders>
            <w:shd w:val="clear" w:color="auto" w:fill="EAF1DD" w:themeFill="accent3" w:themeFillTint="33"/>
          </w:tcPr>
          <w:p w14:paraId="6CE0FD61" w14:textId="77777777" w:rsidR="00B54C7D" w:rsidRDefault="00B54C7D" w:rsidP="00BB2D64">
            <w:pPr>
              <w:pStyle w:val="TabNumeri"/>
            </w:pPr>
            <w:r w:rsidRPr="00B74D44">
              <w:t>158,3</w:t>
            </w:r>
          </w:p>
        </w:tc>
        <w:tc>
          <w:tcPr>
            <w:tcW w:w="228" w:type="dxa"/>
            <w:tcBorders>
              <w:bottom w:val="single" w:sz="4" w:space="0" w:color="632423" w:themeColor="accent2" w:themeShade="80"/>
            </w:tcBorders>
            <w:shd w:val="clear" w:color="auto" w:fill="EAF1DD" w:themeFill="accent3" w:themeFillTint="33"/>
            <w:noWrap/>
          </w:tcPr>
          <w:p w14:paraId="0E65696A" w14:textId="77777777" w:rsidR="00B54C7D" w:rsidRDefault="00B54C7D" w:rsidP="00BB2D64">
            <w:pPr>
              <w:pStyle w:val="TabNumeri"/>
            </w:pPr>
          </w:p>
        </w:tc>
        <w:tc>
          <w:tcPr>
            <w:tcW w:w="680" w:type="dxa"/>
            <w:tcBorders>
              <w:bottom w:val="single" w:sz="4" w:space="0" w:color="632423" w:themeColor="accent2" w:themeShade="80"/>
            </w:tcBorders>
            <w:shd w:val="clear" w:color="auto" w:fill="EAF1DD" w:themeFill="accent3" w:themeFillTint="33"/>
            <w:noWrap/>
          </w:tcPr>
          <w:p w14:paraId="6389CA6B" w14:textId="77777777" w:rsidR="00B54C7D" w:rsidRDefault="00B54C7D" w:rsidP="00BB2D64">
            <w:pPr>
              <w:pStyle w:val="TabNumeri"/>
            </w:pPr>
            <w:r w:rsidRPr="00B74D44">
              <w:t>159,5</w:t>
            </w:r>
          </w:p>
        </w:tc>
        <w:tc>
          <w:tcPr>
            <w:tcW w:w="228" w:type="dxa"/>
            <w:tcBorders>
              <w:bottom w:val="single" w:sz="4" w:space="0" w:color="632423" w:themeColor="accent2" w:themeShade="80"/>
            </w:tcBorders>
            <w:shd w:val="clear" w:color="auto" w:fill="EAF1DD" w:themeFill="accent3" w:themeFillTint="33"/>
            <w:noWrap/>
          </w:tcPr>
          <w:p w14:paraId="38274C94" w14:textId="77777777" w:rsidR="00B54C7D" w:rsidRDefault="00B54C7D" w:rsidP="00BB2D64">
            <w:pPr>
              <w:pStyle w:val="TabNumeri"/>
            </w:pPr>
          </w:p>
        </w:tc>
        <w:tc>
          <w:tcPr>
            <w:tcW w:w="510" w:type="dxa"/>
            <w:tcBorders>
              <w:bottom w:val="single" w:sz="4" w:space="0" w:color="632423" w:themeColor="accent2" w:themeShade="80"/>
            </w:tcBorders>
            <w:shd w:val="clear" w:color="auto" w:fill="EAF1DD" w:themeFill="accent3" w:themeFillTint="33"/>
            <w:noWrap/>
          </w:tcPr>
          <w:p w14:paraId="56B19E35" w14:textId="77777777" w:rsidR="00B54C7D" w:rsidRPr="00986A4F" w:rsidRDefault="00B54C7D" w:rsidP="00BB2D64">
            <w:pPr>
              <w:pStyle w:val="TabNumeri"/>
            </w:pPr>
            <w:r w:rsidRPr="00AA7C7D">
              <w:t>154,2</w:t>
            </w:r>
          </w:p>
        </w:tc>
        <w:tc>
          <w:tcPr>
            <w:tcW w:w="397" w:type="dxa"/>
            <w:tcBorders>
              <w:bottom w:val="single" w:sz="4" w:space="0" w:color="632423" w:themeColor="accent2" w:themeShade="80"/>
            </w:tcBorders>
            <w:shd w:val="clear" w:color="auto" w:fill="EAF1DD" w:themeFill="accent3" w:themeFillTint="33"/>
            <w:noWrap/>
          </w:tcPr>
          <w:p w14:paraId="770F4C4A" w14:textId="77777777" w:rsidR="00B54C7D" w:rsidRDefault="00B54C7D" w:rsidP="00BB2D64">
            <w:pPr>
              <w:pStyle w:val="TabNumeri"/>
            </w:pPr>
            <w:r w:rsidRPr="00AA7C7D">
              <w:t>[8]</w:t>
            </w:r>
          </w:p>
        </w:tc>
        <w:tc>
          <w:tcPr>
            <w:tcW w:w="680" w:type="dxa"/>
            <w:tcBorders>
              <w:bottom w:val="single" w:sz="4" w:space="0" w:color="632423" w:themeColor="accent2" w:themeShade="80"/>
            </w:tcBorders>
            <w:shd w:val="clear" w:color="auto" w:fill="EAF1DD" w:themeFill="accent3" w:themeFillTint="33"/>
            <w:noWrap/>
          </w:tcPr>
          <w:p w14:paraId="20EEA873" w14:textId="77777777" w:rsidR="00B54C7D" w:rsidRDefault="00B54C7D" w:rsidP="00BB2D64">
            <w:pPr>
              <w:pStyle w:val="TabNumeri"/>
            </w:pPr>
            <w:r w:rsidRPr="00194795">
              <w:t>158,3</w:t>
            </w:r>
          </w:p>
        </w:tc>
        <w:tc>
          <w:tcPr>
            <w:tcW w:w="227" w:type="dxa"/>
            <w:tcBorders>
              <w:bottom w:val="single" w:sz="4" w:space="0" w:color="632423" w:themeColor="accent2" w:themeShade="80"/>
            </w:tcBorders>
            <w:shd w:val="clear" w:color="auto" w:fill="EAF1DD" w:themeFill="accent3" w:themeFillTint="33"/>
            <w:noWrap/>
          </w:tcPr>
          <w:p w14:paraId="7EC0F71A" w14:textId="77777777" w:rsidR="00B54C7D" w:rsidRDefault="00B54C7D" w:rsidP="00BB2D64">
            <w:pPr>
              <w:pStyle w:val="TabNumeri"/>
            </w:pPr>
          </w:p>
        </w:tc>
      </w:tr>
      <w:tr w:rsidR="00B54C7D" w14:paraId="52B7A307" w14:textId="77777777" w:rsidTr="00BB2D64">
        <w:trPr>
          <w:cantSplit/>
          <w:trHeight w:val="255"/>
        </w:trPr>
        <w:tc>
          <w:tcPr>
            <w:tcW w:w="9359" w:type="dxa"/>
            <w:gridSpan w:val="18"/>
            <w:tcBorders>
              <w:top w:val="single" w:sz="4" w:space="0" w:color="632423" w:themeColor="accent2" w:themeShade="80"/>
            </w:tcBorders>
            <w:noWrap/>
          </w:tcPr>
          <w:p w14:paraId="33D3D821" w14:textId="77777777" w:rsidR="00B54C7D" w:rsidRPr="00D76DB6" w:rsidRDefault="00B54C7D" w:rsidP="00BB2D64">
            <w:pPr>
              <w:pStyle w:val="TabNoteSuperiori"/>
            </w:pPr>
            <w:r w:rsidRPr="00F661DA">
              <w:t xml:space="preserve">[a] Tasso percentuale. [b] Percentuale sul Pil. [1] Variazioni del PIL e delle sue componenti stimate su dati trimestrali destagionalizzati e corretti per il numero di giornate. [2] Investment in </w:t>
            </w:r>
            <w:proofErr w:type="spellStart"/>
            <w:r w:rsidRPr="00F661DA">
              <w:t>equipment</w:t>
            </w:r>
            <w:proofErr w:type="spellEnd"/>
            <w:r w:rsidRPr="00F661DA">
              <w:t xml:space="preserve">. [3] Persone. [4] Unità di lavoro standard. [5] Tasso di inflazione armonizzato Ue. [6] Bilancia commerciale (in % del Pil). [7] </w:t>
            </w:r>
            <w:proofErr w:type="spellStart"/>
            <w:r w:rsidRPr="00F661DA">
              <w:t>Promoteia</w:t>
            </w:r>
            <w:proofErr w:type="spellEnd"/>
            <w:r w:rsidRPr="00F661DA">
              <w:t xml:space="preserve"> Brief, novembre 2020. [8] Rapporto di previsione, settembre 2020.</w:t>
            </w:r>
          </w:p>
          <w:p w14:paraId="61173776" w14:textId="77777777" w:rsidR="00B54C7D" w:rsidRDefault="00B54C7D" w:rsidP="00BB2D64">
            <w:pPr>
              <w:pStyle w:val="TabNoteInferiori"/>
            </w:pPr>
            <w:r w:rsidRPr="00D76DB6">
              <w:t>Font</w:t>
            </w:r>
            <w:r>
              <w:t xml:space="preserve">e: </w:t>
            </w:r>
            <w:r w:rsidRPr="00D76DB6">
              <w:t xml:space="preserve">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Commission, </w:t>
            </w:r>
            <w:proofErr w:type="spellStart"/>
            <w:r w:rsidRPr="00D76DB6">
              <w:t>European</w:t>
            </w:r>
            <w:proofErr w:type="spellEnd"/>
            <w:r w:rsidRPr="00D76DB6">
              <w:t xml:space="preserve"> </w:t>
            </w:r>
            <w:proofErr w:type="spellStart"/>
            <w:r w:rsidRPr="00D76DB6">
              <w:t>Economic</w:t>
            </w:r>
            <w:proofErr w:type="spellEnd"/>
            <w:r w:rsidRPr="00D76DB6">
              <w:t xml:space="preserve"> Forecast; </w:t>
            </w:r>
            <w:proofErr w:type="spellStart"/>
            <w:r w:rsidRPr="00D76DB6">
              <w:t>Oecd</w:t>
            </w:r>
            <w:proofErr w:type="spellEnd"/>
            <w:r w:rsidRPr="00D76DB6">
              <w:t xml:space="preserve">, </w:t>
            </w:r>
            <w:proofErr w:type="spellStart"/>
            <w:r w:rsidRPr="00D76DB6">
              <w:t>Economic</w:t>
            </w:r>
            <w:proofErr w:type="spellEnd"/>
            <w:r w:rsidRPr="00D76DB6">
              <w:t xml:space="preserve"> Outlook; </w:t>
            </w:r>
            <w:r w:rsidRPr="006F4A37">
              <w:t>Prometeia, Rapporto di Previsione; Prometeia, Brief.</w:t>
            </w:r>
          </w:p>
        </w:tc>
      </w:tr>
    </w:tbl>
    <w:p w14:paraId="3D0688A0" w14:textId="77777777" w:rsidR="007F7962" w:rsidRDefault="007F7962" w:rsidP="007F7962">
      <w:r>
        <w:t xml:space="preserve">Nelle proiezioni di via Nazionale la recessione toccherà il 9,0 per cento nel 2020, nonostante il sostegno di ingenti interventi pubblici, e la ripresa non andrà oltre il 3,5 per cento nel 2021. I consumi delle famiglie sono sorretti dalle misure di sostegno al reddito e dalla bassa inflazione, ma risentono delle limitazioni conseguenti alla pandemia, della maggiore incertezza, delle condizioni del mercato del lavoro, della riduzione del reddito disponibile e di un maggiore risparmio precauzionale. Dovrebbero quindi seguire un’analoga dinamica, ridursi del 9,0 per cento nel 2020 (del 10,6 per cento per l’Ocse) e recuperare parzialmente nel 2021 (+3,6 per cento). </w:t>
      </w:r>
    </w:p>
    <w:p w14:paraId="3EB43C30" w14:textId="77777777" w:rsidR="007F7962" w:rsidRDefault="007F7962" w:rsidP="007F7962">
      <w:r>
        <w:t>Non è mai stata registrata in precedenza una caduta così rapida e in così breve tempo degli investimenti. Per l’Ocse, frenati dall’incertezza al termine del 2020 subiranno una perdita del 14,6 per cento e nel 2021 non saliranno più del 4,3 per cento. una vera ripresa potrà giungere solo nel 2022.</w:t>
      </w:r>
    </w:p>
    <w:p w14:paraId="2375E404" w14:textId="77777777" w:rsidR="007F7962" w:rsidRDefault="007F7962" w:rsidP="007F7962">
      <w:r>
        <w:lastRenderedPageBreak/>
        <w:t xml:space="preserve">Inoltre, la pandemia ha fortemente colpito le esportazioni di merci e servizi, in particolare il turismo. Per l’Ocse </w:t>
      </w:r>
      <w:proofErr w:type="spellStart"/>
      <w:r>
        <w:t>iI</w:t>
      </w:r>
      <w:proofErr w:type="spellEnd"/>
      <w:r>
        <w:t xml:space="preserve"> 2020 dovrebbe chiudersi con un calo complessivo del 17,8 per cento. Nel 2021 ci si attende comunque una ripresa dell’export complessivo molto contenuta (+5,4 per cento). </w:t>
      </w:r>
    </w:p>
    <w:p w14:paraId="7CB93A7A" w14:textId="77777777" w:rsidR="007F7962" w:rsidRDefault="007F7962" w:rsidP="007F7962">
      <w:r>
        <w:t>L’effetto della caduta della domanda ha superato quello della diminuzione dell’offerta. La variazione negativa dell’indice dei prezzi al consumo nel 2020 sarà negativa (-0,1 per cento) e una loro ripresa nel 2021 sarà contenuta al di sotto dell’uno per cento (+0,4 per cento).</w:t>
      </w:r>
    </w:p>
    <w:p w14:paraId="69055008" w14:textId="77777777" w:rsidR="007F7962" w:rsidRDefault="007F7962" w:rsidP="007F7962">
      <w:r>
        <w:t>Gli effetti della pandemia sul mercato del lavoro appaiono diseguali per tipologie di lavoratori e settori. Con l’impiego di misure a difesa dell’occupazione la pandemia ha determinato un crollo delle ore lavorate (-12,8 per cento secondo Banca d’Italia) e una minore riduzione dell’occupazione. L’aumento dei disoccupati è stato ancora più contenuto per la temporanea uscita dal mercato del lavoro di molte tipologie di lavoratori non protetti. A fine 2020, secondo Banca d’Italia, l’occupazione dovrebbe scendere dell’1,8 per cento e il tasso di disoccupazione fermarsi al 9,4 per cento, secondo l’l’Ocse. Nel 2021 l’occupazione dovrebbe ridursi nuovamente (-1,0 per cento), ma con il ritorno sul mercato del lavoro, il tasso di disoccupazione potrebbe salire all’11,0 per cento secondo l’Ocse.</w:t>
      </w:r>
    </w:p>
    <w:p w14:paraId="0BDC2A89" w14:textId="77777777" w:rsidR="007F7962" w:rsidRDefault="007F7962" w:rsidP="007F7962">
      <w:r>
        <w:t>Le condizioni di liquidità sono di fondamentale importanza. Nei tre mesi terminanti in agosto, il credito alle società non finanziarie è cresciuto a un ritmo sostenuto. La forte domanda di fondi è stata soddisfatta anche grazie al miglioramento delle condizioni di offerta, favorito dalle garanzie pubbliche sui nuovi finanziamenti e dalle misure espansive di politica monetaria. Secondo i dati provvisori di Banca d’Italia, riferiti allo scorso agosto, la crescita del credito al settore privato non finanziario aveva mostrato una significativa ripresa sui 12 mesi (+4,1 per cento), trainata dall’elevata accelerazione dei finanziamenti alle società non finanziarie (+6,0 per cento). È ripresa la crescita del credito alle famiglie (+1,9 per cento). Tra maggio e agosto la raccolta delle banche italiane è aumentata, anche per effetto della forte espansione delle passività verso l’Eurosistema. L’azione della Banca centrale europea ha contribuito a mantenere basso il costo della raccolta. Per i gruppi classificati significativi ai fini di vigilanza, l’incidenza dei crediti deteriorati sul totale dei finanziamenti, sia al lordo sia al netto delle rettifiche di valore, è diminuita lievemente scendendo al 6,1 e al 3,0 per cento, rispettivamente.</w:t>
      </w:r>
    </w:p>
    <w:p w14:paraId="18588544" w14:textId="77777777" w:rsidR="007F7962" w:rsidRDefault="007F7962" w:rsidP="007F7962">
      <w:r>
        <w:t>Le misure adottate e previste per fronteggiare la pandemia, i suoi effetti economici e sociali e la recessione, stanno determinando un brusco innalzamento del rapporto tra deficit pubblico e prodotto interno lordo, che secondo l’Ocse passerà dal buon risultato conseguito nel 2019 (1,6 per cento), a un 10,7 per cento nel 2020. Le attese sono per una parziale riduzione del rapporto tra deficit e Pil nel 2021, favorita dalla ripresa dell’attività, che resterà comunque elevato al 6,9 per cento e che potrà essere superiore per gli ulteriori interventi che potrebbero rendersi necessari.</w:t>
      </w:r>
    </w:p>
    <w:p w14:paraId="16FD3DB9" w14:textId="77777777" w:rsidR="007F7962" w:rsidRDefault="007F7962" w:rsidP="007F7962">
      <w:r>
        <w:t>Il rapporto tra debito pubblico e Pil dovrebbe quindi subire un deciso appesantimento, passando dal contenimento al 134,7 per cento conseguito nel 2019 a una espansione che lo porterà al 159,8 per cento nel 2020, per poi ridursi lievemente al 158,3 per cento nel 2021.</w:t>
      </w:r>
    </w:p>
    <w:p w14:paraId="27C7EF91" w14:textId="0C35A8A5" w:rsidR="00CE0250" w:rsidRDefault="007F7962" w:rsidP="007F7962">
      <w:r>
        <w:t>Il costo medio del debito dovrebbe continuare a ridursi leggermente grazie alle politiche monetarie e all’accesso ai finanziamenti europei. Se l’interconnessione tra l’elevato debito pubblico e il sistema bancario resta il principale rischio per la finanza nazionale, questo appare contenuto dalle politiche monetarie della Bce e dai programmi dell’Unione. Ma il ritmo di crescita successivo alla crisi resta il fattore determinante per l’evoluzione del rapporto tra debito pubblico e Pil e per la sua sostenibilità.</w:t>
      </w:r>
    </w:p>
    <w:p w14:paraId="3C3E4473" w14:textId="32F74037" w:rsidR="00F858D8" w:rsidRDefault="002B3250" w:rsidP="00F858D8">
      <w:pPr>
        <w:pStyle w:val="Titolo2"/>
      </w:pPr>
      <w:bookmarkStart w:id="2" w:name="OLE_LINK1"/>
      <w:r>
        <w:t xml:space="preserve">L’economia </w:t>
      </w:r>
      <w:r w:rsidR="00F858D8">
        <w:t>regionale</w:t>
      </w:r>
      <w:bookmarkEnd w:id="2"/>
    </w:p>
    <w:p w14:paraId="002DDB88" w14:textId="5933F98A" w:rsidR="0089214E" w:rsidRDefault="007F7962" w:rsidP="0089214E">
      <w:r>
        <w:t>P</w:t>
      </w:r>
      <w:r>
        <w:t xml:space="preserve">rodotto </w:t>
      </w:r>
      <w:r>
        <w:t>i</w:t>
      </w:r>
      <w:r>
        <w:t xml:space="preserve">nterno lordo </w:t>
      </w:r>
      <w:r>
        <w:t>e conto economico</w:t>
      </w:r>
      <w:r>
        <w:t xml:space="preserve">. </w:t>
      </w:r>
      <w:proofErr w:type="gramStart"/>
      <w:r w:rsidRPr="00CD61C6">
        <w:t>L’attesa</w:t>
      </w:r>
      <w:proofErr w:type="gramEnd"/>
      <w:r w:rsidRPr="00CD61C6">
        <w:t xml:space="preserve"> per il 2020 è di una caduta del prodotto interno lordo prossima alle due cifre (-9,9 per cento), decisamente superiore a quella del 2009. La ripresa sarà forte, ma solo parziale nel 2021 (+7,1 per cento). Il Pil regionale in termini reali nel 2020 dovrebbe risultare inferiore dell’1,5 per cento rispetto ai livelli minimi toccati al culmine della crisi nel 2009 e di poco superiore a quello del 2000 (+0,5 per cento). L’andamento regionale risulta lievemente più pesante di quello nazionale. Data l’elevata incertezza, nel 2020 la caduta dei consumi risulterà sensibilmente superiore a quella del Pil (-11,8 per cento) e la loro ripresa nel 2021 non vi si allineerà (+6,9 per cento), anche per la necessità di ricostituire il livello dei risparmi. Gli effetti della recessione sul tenore di vita sono evidenti. Nel 2020 i consumi privati aggregati risulteranno inferiori del 9,2 per cento rispetto a quelli del picco del 2011, ma con un ulteriore aumento della diseguaglianza. Nel 2020 si ridurranno pesantemente gli investimenti fissi lordi (-12,9 per cento). Anche nel caso di un’evoluzione controllata della pandemia, la ripresa nel 2021 sarà solo parziale, ma sostenuta (+11,2 per cento), grazie anche ai massicci interventi pubblici. I livelli di accumulazione nel 2020 saranno comunque inferiori del 28,3 per cento rispetto a quelli del precedente massimo risalente al 2008. Nel 2020 la caduta del commercio mondiale, accentuata dallo sfasamento temporale della diffusione mondiale dalla pandemia, avrà pesanti riflessi sull’export regionale (-11,5 per cento), nel complesso, però, </w:t>
      </w:r>
      <w:r w:rsidRPr="00CD61C6">
        <w:lastRenderedPageBreak/>
        <w:t>minori di quanto prospettato in precedenza e notevolmente inferiori a quelli sperimentati nel 2009 (-21,5 per cento). Le vendite all’estero traineranno la ripresa nel 2021 con un pronto rimbalzo (+12,0 per cento). Al termine dell’anno corrente in valore reale le esportazioni regionali dovrebbe risultare superiori del 13,0 per cento al livello massimo precedente la crisi finanziaria, toccato nel 2007</w:t>
      </w:r>
      <w:r>
        <w:t>.</w:t>
      </w:r>
    </w:p>
    <w:p w14:paraId="6AE63667" w14:textId="3FBC4581" w:rsidR="007F7962" w:rsidRDefault="007F7962" w:rsidP="0089214E"/>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B54C7D" w:rsidRPr="007C570B" w14:paraId="160B610E" w14:textId="77777777" w:rsidTr="00BB2D64">
        <w:trPr>
          <w:cantSplit/>
        </w:trPr>
        <w:tc>
          <w:tcPr>
            <w:tcW w:w="9356" w:type="dxa"/>
            <w:gridSpan w:val="5"/>
            <w:tcBorders>
              <w:bottom w:val="single" w:sz="4" w:space="0" w:color="800000"/>
            </w:tcBorders>
          </w:tcPr>
          <w:p w14:paraId="5683B6DF" w14:textId="77777777" w:rsidR="00B54C7D" w:rsidRPr="007C570B" w:rsidRDefault="00B54C7D" w:rsidP="00BB2D64">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2015</w:t>
            </w:r>
          </w:p>
        </w:tc>
      </w:tr>
      <w:tr w:rsidR="00B54C7D" w:rsidRPr="0085406E" w14:paraId="1C90CBD5" w14:textId="77777777" w:rsidTr="00BB2D64">
        <w:trPr>
          <w:cantSplit/>
        </w:trPr>
        <w:tc>
          <w:tcPr>
            <w:tcW w:w="4820" w:type="dxa"/>
            <w:tcBorders>
              <w:bottom w:val="single" w:sz="4" w:space="0" w:color="800000"/>
            </w:tcBorders>
            <w:vAlign w:val="bottom"/>
          </w:tcPr>
          <w:p w14:paraId="4D9719F8" w14:textId="77777777" w:rsidR="00B54C7D" w:rsidRDefault="00B54C7D" w:rsidP="00BB2D64">
            <w:pPr>
              <w:pStyle w:val="TabIntestazioni"/>
              <w:rPr>
                <w:rFonts w:eastAsia="Arial Unicode MS"/>
              </w:rPr>
            </w:pPr>
          </w:p>
        </w:tc>
        <w:tc>
          <w:tcPr>
            <w:tcW w:w="1134" w:type="dxa"/>
            <w:tcBorders>
              <w:bottom w:val="single" w:sz="4" w:space="0" w:color="800000"/>
            </w:tcBorders>
          </w:tcPr>
          <w:p w14:paraId="38CC2EAA" w14:textId="77777777" w:rsidR="00B54C7D" w:rsidRPr="0085406E" w:rsidRDefault="00B54C7D" w:rsidP="00BB2D64">
            <w:pPr>
              <w:pStyle w:val="TabIntestazioni"/>
              <w:jc w:val="right"/>
            </w:pPr>
            <w:r w:rsidRPr="0085406E">
              <w:t>2018</w:t>
            </w:r>
          </w:p>
        </w:tc>
        <w:tc>
          <w:tcPr>
            <w:tcW w:w="1134" w:type="dxa"/>
            <w:tcBorders>
              <w:bottom w:val="single" w:sz="4" w:space="0" w:color="800000"/>
            </w:tcBorders>
          </w:tcPr>
          <w:p w14:paraId="0C26F4FF" w14:textId="77777777" w:rsidR="00B54C7D" w:rsidRPr="0085406E" w:rsidRDefault="00B54C7D" w:rsidP="00BB2D64">
            <w:pPr>
              <w:pStyle w:val="TabIntestazioni"/>
              <w:jc w:val="right"/>
            </w:pPr>
            <w:r w:rsidRPr="0085406E">
              <w:t>2019</w:t>
            </w:r>
          </w:p>
        </w:tc>
        <w:tc>
          <w:tcPr>
            <w:tcW w:w="1134" w:type="dxa"/>
            <w:tcBorders>
              <w:bottom w:val="single" w:sz="4" w:space="0" w:color="800000"/>
            </w:tcBorders>
          </w:tcPr>
          <w:p w14:paraId="4D9187D1" w14:textId="77777777" w:rsidR="00B54C7D" w:rsidRPr="0085406E" w:rsidRDefault="00B54C7D" w:rsidP="00BB2D64">
            <w:pPr>
              <w:pStyle w:val="TabIntestazioni"/>
              <w:jc w:val="right"/>
            </w:pPr>
            <w:r w:rsidRPr="0085406E">
              <w:t>20</w:t>
            </w:r>
            <w:r>
              <w:t>20</w:t>
            </w:r>
          </w:p>
        </w:tc>
        <w:tc>
          <w:tcPr>
            <w:tcW w:w="1134" w:type="dxa"/>
            <w:tcBorders>
              <w:bottom w:val="single" w:sz="4" w:space="0" w:color="800000"/>
            </w:tcBorders>
          </w:tcPr>
          <w:p w14:paraId="63144B12" w14:textId="77777777" w:rsidR="00B54C7D" w:rsidRPr="0085406E" w:rsidRDefault="00B54C7D" w:rsidP="00BB2D64">
            <w:pPr>
              <w:pStyle w:val="TabIntestazioni"/>
              <w:jc w:val="right"/>
            </w:pPr>
            <w:r w:rsidRPr="0085406E">
              <w:t>20</w:t>
            </w:r>
            <w:r>
              <w:t>21</w:t>
            </w:r>
          </w:p>
        </w:tc>
      </w:tr>
      <w:tr w:rsidR="00B54C7D" w:rsidRPr="0085406E" w14:paraId="766385D8" w14:textId="77777777" w:rsidTr="00BB2D64">
        <w:trPr>
          <w:cantSplit/>
          <w:trHeight w:hRule="exact" w:val="57"/>
        </w:trPr>
        <w:tc>
          <w:tcPr>
            <w:tcW w:w="4820" w:type="dxa"/>
            <w:tcBorders>
              <w:top w:val="single" w:sz="4" w:space="0" w:color="800000"/>
            </w:tcBorders>
          </w:tcPr>
          <w:p w14:paraId="79E85922" w14:textId="77777777" w:rsidR="00B54C7D" w:rsidRPr="00686A56" w:rsidRDefault="00B54C7D" w:rsidP="00BB2D64">
            <w:pPr>
              <w:pStyle w:val="TabEtichette"/>
              <w:rPr>
                <w:rFonts w:eastAsia="Arial Unicode MS"/>
              </w:rPr>
            </w:pPr>
          </w:p>
        </w:tc>
        <w:tc>
          <w:tcPr>
            <w:tcW w:w="1134" w:type="dxa"/>
            <w:tcBorders>
              <w:top w:val="single" w:sz="4" w:space="0" w:color="800000"/>
            </w:tcBorders>
          </w:tcPr>
          <w:p w14:paraId="61B05460" w14:textId="77777777" w:rsidR="00B54C7D" w:rsidRPr="0085406E" w:rsidRDefault="00B54C7D" w:rsidP="00BB2D64"/>
        </w:tc>
        <w:tc>
          <w:tcPr>
            <w:tcW w:w="1134" w:type="dxa"/>
            <w:tcBorders>
              <w:top w:val="single" w:sz="4" w:space="0" w:color="800000"/>
            </w:tcBorders>
          </w:tcPr>
          <w:p w14:paraId="44A1DDC9" w14:textId="77777777" w:rsidR="00B54C7D" w:rsidRPr="0085406E" w:rsidRDefault="00B54C7D" w:rsidP="00BB2D64"/>
        </w:tc>
        <w:tc>
          <w:tcPr>
            <w:tcW w:w="1134" w:type="dxa"/>
            <w:tcBorders>
              <w:top w:val="single" w:sz="4" w:space="0" w:color="800000"/>
            </w:tcBorders>
          </w:tcPr>
          <w:p w14:paraId="10C64BFA" w14:textId="77777777" w:rsidR="00B54C7D" w:rsidRPr="0085406E" w:rsidRDefault="00B54C7D" w:rsidP="00BB2D64"/>
        </w:tc>
        <w:tc>
          <w:tcPr>
            <w:tcW w:w="1134" w:type="dxa"/>
            <w:tcBorders>
              <w:top w:val="single" w:sz="4" w:space="0" w:color="800000"/>
            </w:tcBorders>
          </w:tcPr>
          <w:p w14:paraId="225D7523" w14:textId="77777777" w:rsidR="00B54C7D" w:rsidRPr="0085406E" w:rsidRDefault="00B54C7D" w:rsidP="00BB2D64"/>
        </w:tc>
      </w:tr>
      <w:tr w:rsidR="00B54C7D" w:rsidRPr="0085406E" w14:paraId="2B65D5DC" w14:textId="77777777" w:rsidTr="00BB2D64">
        <w:trPr>
          <w:cantSplit/>
          <w:trHeight w:val="227"/>
        </w:trPr>
        <w:tc>
          <w:tcPr>
            <w:tcW w:w="4820" w:type="dxa"/>
          </w:tcPr>
          <w:p w14:paraId="6312B045" w14:textId="77777777" w:rsidR="00B54C7D" w:rsidRPr="00F039B7" w:rsidRDefault="00B54C7D" w:rsidP="00BB2D64">
            <w:pPr>
              <w:pStyle w:val="TabEtichetteBold"/>
              <w:rPr>
                <w:rFonts w:eastAsia="Arial Unicode MS"/>
              </w:rPr>
            </w:pPr>
            <w:r w:rsidRPr="00F039B7">
              <w:t>Conto economico</w:t>
            </w:r>
          </w:p>
        </w:tc>
        <w:tc>
          <w:tcPr>
            <w:tcW w:w="1134" w:type="dxa"/>
          </w:tcPr>
          <w:p w14:paraId="5F012A32" w14:textId="77777777" w:rsidR="00B54C7D" w:rsidRPr="0085406E" w:rsidRDefault="00B54C7D" w:rsidP="00BB2D64">
            <w:pPr>
              <w:pStyle w:val="tabnum"/>
            </w:pPr>
          </w:p>
        </w:tc>
        <w:tc>
          <w:tcPr>
            <w:tcW w:w="1134" w:type="dxa"/>
          </w:tcPr>
          <w:p w14:paraId="4ABCA5EB" w14:textId="77777777" w:rsidR="00B54C7D" w:rsidRPr="0085406E" w:rsidRDefault="00B54C7D" w:rsidP="00BB2D64">
            <w:pPr>
              <w:pStyle w:val="tabnum"/>
            </w:pPr>
          </w:p>
        </w:tc>
        <w:tc>
          <w:tcPr>
            <w:tcW w:w="1134" w:type="dxa"/>
          </w:tcPr>
          <w:p w14:paraId="4235F579" w14:textId="77777777" w:rsidR="00B54C7D" w:rsidRPr="0085406E" w:rsidRDefault="00B54C7D" w:rsidP="00BB2D64">
            <w:pPr>
              <w:pStyle w:val="tabnum"/>
            </w:pPr>
          </w:p>
        </w:tc>
        <w:tc>
          <w:tcPr>
            <w:tcW w:w="1134" w:type="dxa"/>
          </w:tcPr>
          <w:p w14:paraId="2B16F947" w14:textId="77777777" w:rsidR="00B54C7D" w:rsidRPr="0085406E" w:rsidRDefault="00B54C7D" w:rsidP="00BB2D64">
            <w:pPr>
              <w:pStyle w:val="tabnum"/>
            </w:pPr>
          </w:p>
        </w:tc>
      </w:tr>
      <w:tr w:rsidR="00B54C7D" w:rsidRPr="00AE376F" w14:paraId="368AB8CB" w14:textId="77777777" w:rsidTr="00BB2D64">
        <w:trPr>
          <w:cantSplit/>
          <w:trHeight w:val="227"/>
        </w:trPr>
        <w:tc>
          <w:tcPr>
            <w:tcW w:w="4820" w:type="dxa"/>
            <w:shd w:val="clear" w:color="auto" w:fill="DAEEF3" w:themeFill="accent5" w:themeFillTint="33"/>
          </w:tcPr>
          <w:p w14:paraId="7CCA342E" w14:textId="77777777" w:rsidR="00B54C7D" w:rsidRDefault="00B54C7D" w:rsidP="00BB2D64">
            <w:pPr>
              <w:pStyle w:val="TabEtichette"/>
              <w:rPr>
                <w:rFonts w:eastAsia="Arial Unicode MS"/>
              </w:rPr>
            </w:pPr>
            <w:r>
              <w:t>Prodotto interno lordo</w:t>
            </w:r>
          </w:p>
        </w:tc>
        <w:tc>
          <w:tcPr>
            <w:tcW w:w="1134" w:type="dxa"/>
            <w:shd w:val="clear" w:color="auto" w:fill="DAEEF3" w:themeFill="accent5" w:themeFillTint="33"/>
          </w:tcPr>
          <w:p w14:paraId="7440D20D" w14:textId="77777777" w:rsidR="00B54C7D" w:rsidRPr="00AE376F" w:rsidRDefault="00B54C7D" w:rsidP="00BB2D64">
            <w:pPr>
              <w:pStyle w:val="TabNumeri"/>
            </w:pPr>
            <w:r w:rsidRPr="00C97574">
              <w:t>1,8</w:t>
            </w:r>
          </w:p>
        </w:tc>
        <w:tc>
          <w:tcPr>
            <w:tcW w:w="1134" w:type="dxa"/>
            <w:shd w:val="clear" w:color="auto" w:fill="DAEEF3" w:themeFill="accent5" w:themeFillTint="33"/>
          </w:tcPr>
          <w:p w14:paraId="75C73AF9" w14:textId="77777777" w:rsidR="00B54C7D" w:rsidRPr="00AE376F" w:rsidRDefault="00B54C7D" w:rsidP="00BB2D64">
            <w:pPr>
              <w:pStyle w:val="TabNumeri"/>
            </w:pPr>
            <w:r w:rsidRPr="00C97574">
              <w:t>0,5</w:t>
            </w:r>
          </w:p>
        </w:tc>
        <w:tc>
          <w:tcPr>
            <w:tcW w:w="1134" w:type="dxa"/>
            <w:shd w:val="clear" w:color="auto" w:fill="DAEEF3" w:themeFill="accent5" w:themeFillTint="33"/>
          </w:tcPr>
          <w:p w14:paraId="772E6534" w14:textId="77777777" w:rsidR="00B54C7D" w:rsidRPr="00AE376F" w:rsidRDefault="00B54C7D" w:rsidP="00BB2D64">
            <w:pPr>
              <w:pStyle w:val="TabNumeri"/>
            </w:pPr>
            <w:r w:rsidRPr="00C97574">
              <w:t>-9,9</w:t>
            </w:r>
          </w:p>
        </w:tc>
        <w:tc>
          <w:tcPr>
            <w:tcW w:w="1134" w:type="dxa"/>
            <w:shd w:val="clear" w:color="auto" w:fill="DAEEF3" w:themeFill="accent5" w:themeFillTint="33"/>
          </w:tcPr>
          <w:p w14:paraId="49ED7ABE" w14:textId="77777777" w:rsidR="00B54C7D" w:rsidRPr="00AE376F" w:rsidRDefault="00B54C7D" w:rsidP="00BB2D64">
            <w:pPr>
              <w:pStyle w:val="TabNumeri"/>
            </w:pPr>
            <w:r w:rsidRPr="00C97574">
              <w:t>7,1</w:t>
            </w:r>
          </w:p>
        </w:tc>
      </w:tr>
      <w:tr w:rsidR="00B54C7D" w:rsidRPr="00AE376F" w14:paraId="7868C13C" w14:textId="77777777" w:rsidTr="00BB2D64">
        <w:trPr>
          <w:cantSplit/>
          <w:trHeight w:val="227"/>
        </w:trPr>
        <w:tc>
          <w:tcPr>
            <w:tcW w:w="4820" w:type="dxa"/>
          </w:tcPr>
          <w:p w14:paraId="02E0218F" w14:textId="77777777" w:rsidR="00B54C7D" w:rsidRDefault="00B54C7D" w:rsidP="00BB2D64">
            <w:pPr>
              <w:pStyle w:val="TabEtichette"/>
              <w:rPr>
                <w:rFonts w:eastAsia="Arial Unicode MS"/>
              </w:rPr>
            </w:pPr>
            <w:r>
              <w:t xml:space="preserve">Domanda </w:t>
            </w:r>
            <w:proofErr w:type="gramStart"/>
            <w:r>
              <w:t>interna</w:t>
            </w:r>
            <w:r>
              <w:rPr>
                <w:vertAlign w:val="superscript"/>
              </w:rPr>
              <w:t>(</w:t>
            </w:r>
            <w:proofErr w:type="gramEnd"/>
            <w:r>
              <w:rPr>
                <w:vertAlign w:val="superscript"/>
              </w:rPr>
              <w:t>1</w:t>
            </w:r>
            <w:r w:rsidRPr="002F2B82">
              <w:rPr>
                <w:vertAlign w:val="superscript"/>
              </w:rPr>
              <w:t>)</w:t>
            </w:r>
          </w:p>
        </w:tc>
        <w:tc>
          <w:tcPr>
            <w:tcW w:w="1134" w:type="dxa"/>
          </w:tcPr>
          <w:p w14:paraId="6B742E4F" w14:textId="77777777" w:rsidR="00B54C7D" w:rsidRPr="00AE376F" w:rsidRDefault="00B54C7D" w:rsidP="00BB2D64">
            <w:pPr>
              <w:pStyle w:val="TabNumeri"/>
            </w:pPr>
            <w:r w:rsidRPr="00C97574">
              <w:t>1,7</w:t>
            </w:r>
          </w:p>
        </w:tc>
        <w:tc>
          <w:tcPr>
            <w:tcW w:w="1134" w:type="dxa"/>
          </w:tcPr>
          <w:p w14:paraId="632171DA" w14:textId="77777777" w:rsidR="00B54C7D" w:rsidRPr="00AE376F" w:rsidRDefault="00B54C7D" w:rsidP="00BB2D64">
            <w:pPr>
              <w:pStyle w:val="TabNumeri"/>
            </w:pPr>
            <w:r w:rsidRPr="00C97574">
              <w:t>1,1</w:t>
            </w:r>
          </w:p>
        </w:tc>
        <w:tc>
          <w:tcPr>
            <w:tcW w:w="1134" w:type="dxa"/>
          </w:tcPr>
          <w:p w14:paraId="1519B15B" w14:textId="77777777" w:rsidR="00B54C7D" w:rsidRPr="00AE376F" w:rsidRDefault="00B54C7D" w:rsidP="00BB2D64">
            <w:pPr>
              <w:pStyle w:val="TabNumeri"/>
            </w:pPr>
            <w:r w:rsidRPr="00C97574">
              <w:t>-10,2</w:t>
            </w:r>
          </w:p>
        </w:tc>
        <w:tc>
          <w:tcPr>
            <w:tcW w:w="1134" w:type="dxa"/>
          </w:tcPr>
          <w:p w14:paraId="15B5BEE3" w14:textId="77777777" w:rsidR="00B54C7D" w:rsidRPr="00AE376F" w:rsidRDefault="00B54C7D" w:rsidP="00BB2D64">
            <w:pPr>
              <w:pStyle w:val="TabNumeri"/>
            </w:pPr>
            <w:r w:rsidRPr="00C97574">
              <w:t>7,1</w:t>
            </w:r>
          </w:p>
        </w:tc>
      </w:tr>
      <w:tr w:rsidR="00B54C7D" w:rsidRPr="00AE376F" w14:paraId="776BFA2F" w14:textId="77777777" w:rsidTr="00BB2D64">
        <w:trPr>
          <w:cantSplit/>
          <w:trHeight w:val="227"/>
        </w:trPr>
        <w:tc>
          <w:tcPr>
            <w:tcW w:w="4820" w:type="dxa"/>
            <w:shd w:val="clear" w:color="auto" w:fill="DAEEF3" w:themeFill="accent5" w:themeFillTint="33"/>
          </w:tcPr>
          <w:p w14:paraId="65CA1288" w14:textId="77777777" w:rsidR="00B54C7D" w:rsidRDefault="00B54C7D" w:rsidP="00BB2D64">
            <w:pPr>
              <w:pStyle w:val="TabEtichette"/>
              <w:rPr>
                <w:rFonts w:eastAsia="Arial Unicode MS"/>
              </w:rPr>
            </w:pPr>
            <w:r>
              <w:t xml:space="preserve">   Consumi delle famiglie</w:t>
            </w:r>
          </w:p>
        </w:tc>
        <w:tc>
          <w:tcPr>
            <w:tcW w:w="1134" w:type="dxa"/>
            <w:shd w:val="clear" w:color="auto" w:fill="DAEEF3" w:themeFill="accent5" w:themeFillTint="33"/>
          </w:tcPr>
          <w:p w14:paraId="1435CF70" w14:textId="77777777" w:rsidR="00B54C7D" w:rsidRPr="00AE376F" w:rsidRDefault="00B54C7D" w:rsidP="00BB2D64">
            <w:pPr>
              <w:pStyle w:val="TabNumeri"/>
            </w:pPr>
            <w:r w:rsidRPr="00C97574">
              <w:t>1,0</w:t>
            </w:r>
          </w:p>
        </w:tc>
        <w:tc>
          <w:tcPr>
            <w:tcW w:w="1134" w:type="dxa"/>
            <w:shd w:val="clear" w:color="auto" w:fill="DAEEF3" w:themeFill="accent5" w:themeFillTint="33"/>
          </w:tcPr>
          <w:p w14:paraId="6F63C1F8" w14:textId="77777777" w:rsidR="00B54C7D" w:rsidRPr="00AE376F" w:rsidRDefault="00B54C7D" w:rsidP="00BB2D64">
            <w:pPr>
              <w:pStyle w:val="TabNumeri"/>
            </w:pPr>
            <w:r w:rsidRPr="00C97574">
              <w:t>0,9</w:t>
            </w:r>
          </w:p>
        </w:tc>
        <w:tc>
          <w:tcPr>
            <w:tcW w:w="1134" w:type="dxa"/>
            <w:shd w:val="clear" w:color="auto" w:fill="DAEEF3" w:themeFill="accent5" w:themeFillTint="33"/>
          </w:tcPr>
          <w:p w14:paraId="61152F78" w14:textId="77777777" w:rsidR="00B54C7D" w:rsidRPr="00AE376F" w:rsidRDefault="00B54C7D" w:rsidP="00BB2D64">
            <w:pPr>
              <w:pStyle w:val="TabNumeri"/>
            </w:pPr>
            <w:r w:rsidRPr="00C97574">
              <w:t>-11,8</w:t>
            </w:r>
          </w:p>
        </w:tc>
        <w:tc>
          <w:tcPr>
            <w:tcW w:w="1134" w:type="dxa"/>
            <w:shd w:val="clear" w:color="auto" w:fill="DAEEF3" w:themeFill="accent5" w:themeFillTint="33"/>
          </w:tcPr>
          <w:p w14:paraId="04CAE97C" w14:textId="77777777" w:rsidR="00B54C7D" w:rsidRPr="00AE376F" w:rsidRDefault="00B54C7D" w:rsidP="00BB2D64">
            <w:pPr>
              <w:pStyle w:val="TabNumeri"/>
            </w:pPr>
            <w:r w:rsidRPr="00C97574">
              <w:t>6,9</w:t>
            </w:r>
          </w:p>
        </w:tc>
      </w:tr>
      <w:tr w:rsidR="00B54C7D" w:rsidRPr="00AE376F" w14:paraId="7C4BCBCD" w14:textId="77777777" w:rsidTr="00BB2D64">
        <w:trPr>
          <w:cantSplit/>
          <w:trHeight w:val="227"/>
        </w:trPr>
        <w:tc>
          <w:tcPr>
            <w:tcW w:w="4820" w:type="dxa"/>
          </w:tcPr>
          <w:p w14:paraId="0469C980" w14:textId="77777777" w:rsidR="00B54C7D" w:rsidRDefault="00B54C7D" w:rsidP="00BB2D64">
            <w:pPr>
              <w:pStyle w:val="TabEtichette"/>
              <w:rPr>
                <w:rFonts w:eastAsia="Arial Unicode MS"/>
              </w:rPr>
            </w:pPr>
            <w:r>
              <w:t xml:space="preserve">   Consumi delle AAPP e ISP</w:t>
            </w:r>
          </w:p>
        </w:tc>
        <w:tc>
          <w:tcPr>
            <w:tcW w:w="1134" w:type="dxa"/>
          </w:tcPr>
          <w:p w14:paraId="6963E0AE" w14:textId="77777777" w:rsidR="00B54C7D" w:rsidRPr="00AE376F" w:rsidRDefault="00B54C7D" w:rsidP="00BB2D64">
            <w:pPr>
              <w:pStyle w:val="TabNumeri"/>
            </w:pPr>
            <w:r w:rsidRPr="00C97574">
              <w:t>0,8</w:t>
            </w:r>
          </w:p>
        </w:tc>
        <w:tc>
          <w:tcPr>
            <w:tcW w:w="1134" w:type="dxa"/>
          </w:tcPr>
          <w:p w14:paraId="37AF615B" w14:textId="77777777" w:rsidR="00B54C7D" w:rsidRPr="00AE376F" w:rsidRDefault="00B54C7D" w:rsidP="00BB2D64">
            <w:pPr>
              <w:pStyle w:val="TabNumeri"/>
            </w:pPr>
            <w:r w:rsidRPr="00C97574">
              <w:t>0,0</w:t>
            </w:r>
          </w:p>
        </w:tc>
        <w:tc>
          <w:tcPr>
            <w:tcW w:w="1134" w:type="dxa"/>
          </w:tcPr>
          <w:p w14:paraId="5E36BA58" w14:textId="77777777" w:rsidR="00B54C7D" w:rsidRPr="00AE376F" w:rsidRDefault="00B54C7D" w:rsidP="00BB2D64">
            <w:pPr>
              <w:pStyle w:val="TabNumeri"/>
            </w:pPr>
            <w:r w:rsidRPr="00C97574">
              <w:t>-0,2</w:t>
            </w:r>
          </w:p>
        </w:tc>
        <w:tc>
          <w:tcPr>
            <w:tcW w:w="1134" w:type="dxa"/>
          </w:tcPr>
          <w:p w14:paraId="7497BD73" w14:textId="77777777" w:rsidR="00B54C7D" w:rsidRPr="00AE376F" w:rsidRDefault="00B54C7D" w:rsidP="00BB2D64">
            <w:pPr>
              <w:pStyle w:val="TabNumeri"/>
            </w:pPr>
            <w:r w:rsidRPr="00C97574">
              <w:t>2,7</w:t>
            </w:r>
          </w:p>
        </w:tc>
      </w:tr>
      <w:tr w:rsidR="00B54C7D" w:rsidRPr="00AE376F" w14:paraId="6431A175" w14:textId="77777777" w:rsidTr="00BB2D64">
        <w:trPr>
          <w:cantSplit/>
          <w:trHeight w:val="227"/>
        </w:trPr>
        <w:tc>
          <w:tcPr>
            <w:tcW w:w="4820" w:type="dxa"/>
            <w:shd w:val="clear" w:color="auto" w:fill="DAEEF3" w:themeFill="accent5" w:themeFillTint="33"/>
          </w:tcPr>
          <w:p w14:paraId="02D66E63" w14:textId="77777777" w:rsidR="00B54C7D" w:rsidRDefault="00B54C7D" w:rsidP="00BB2D64">
            <w:pPr>
              <w:pStyle w:val="TabEtichette"/>
              <w:rPr>
                <w:rFonts w:eastAsia="Arial Unicode MS"/>
              </w:rPr>
            </w:pPr>
            <w:r>
              <w:t xml:space="preserve">   Investimenti fissi lordi</w:t>
            </w:r>
          </w:p>
        </w:tc>
        <w:tc>
          <w:tcPr>
            <w:tcW w:w="1134" w:type="dxa"/>
            <w:shd w:val="clear" w:color="auto" w:fill="DAEEF3" w:themeFill="accent5" w:themeFillTint="33"/>
          </w:tcPr>
          <w:p w14:paraId="775589A1" w14:textId="77777777" w:rsidR="00B54C7D" w:rsidRPr="00AE376F" w:rsidRDefault="00B54C7D" w:rsidP="00BB2D64">
            <w:pPr>
              <w:pStyle w:val="TabNumeri"/>
            </w:pPr>
            <w:r w:rsidRPr="00C97574">
              <w:t>4,7</w:t>
            </w:r>
          </w:p>
        </w:tc>
        <w:tc>
          <w:tcPr>
            <w:tcW w:w="1134" w:type="dxa"/>
            <w:shd w:val="clear" w:color="auto" w:fill="DAEEF3" w:themeFill="accent5" w:themeFillTint="33"/>
          </w:tcPr>
          <w:p w14:paraId="278DD223" w14:textId="77777777" w:rsidR="00B54C7D" w:rsidRPr="00AE376F" w:rsidRDefault="00B54C7D" w:rsidP="00BB2D64">
            <w:pPr>
              <w:pStyle w:val="TabNumeri"/>
            </w:pPr>
            <w:r w:rsidRPr="00C97574">
              <w:t>2,6</w:t>
            </w:r>
          </w:p>
        </w:tc>
        <w:tc>
          <w:tcPr>
            <w:tcW w:w="1134" w:type="dxa"/>
            <w:shd w:val="clear" w:color="auto" w:fill="DAEEF3" w:themeFill="accent5" w:themeFillTint="33"/>
          </w:tcPr>
          <w:p w14:paraId="06C361CF" w14:textId="77777777" w:rsidR="00B54C7D" w:rsidRPr="00AE376F" w:rsidRDefault="00B54C7D" w:rsidP="00BB2D64">
            <w:pPr>
              <w:pStyle w:val="TabNumeri"/>
            </w:pPr>
            <w:r w:rsidRPr="00C97574">
              <w:t>-12,9</w:t>
            </w:r>
          </w:p>
        </w:tc>
        <w:tc>
          <w:tcPr>
            <w:tcW w:w="1134" w:type="dxa"/>
            <w:shd w:val="clear" w:color="auto" w:fill="DAEEF3" w:themeFill="accent5" w:themeFillTint="33"/>
          </w:tcPr>
          <w:p w14:paraId="108BF48E" w14:textId="77777777" w:rsidR="00B54C7D" w:rsidRPr="00AE376F" w:rsidRDefault="00B54C7D" w:rsidP="00BB2D64">
            <w:pPr>
              <w:pStyle w:val="TabNumeri"/>
            </w:pPr>
            <w:r w:rsidRPr="00C97574">
              <w:t>11,2</w:t>
            </w:r>
          </w:p>
        </w:tc>
      </w:tr>
      <w:tr w:rsidR="00B54C7D" w:rsidRPr="00AE376F" w14:paraId="0BD095C1" w14:textId="77777777" w:rsidTr="00BB2D64">
        <w:trPr>
          <w:cantSplit/>
          <w:trHeight w:val="227"/>
        </w:trPr>
        <w:tc>
          <w:tcPr>
            <w:tcW w:w="4820" w:type="dxa"/>
          </w:tcPr>
          <w:p w14:paraId="5F0BF658" w14:textId="77777777" w:rsidR="00B54C7D" w:rsidRDefault="00B54C7D" w:rsidP="00BB2D64">
            <w:pPr>
              <w:pStyle w:val="TabEtichette"/>
              <w:rPr>
                <w:rFonts w:eastAsia="Arial Unicode MS"/>
              </w:rPr>
            </w:pPr>
            <w:r>
              <w:t>Importazioni di beni dall’estero</w:t>
            </w:r>
          </w:p>
        </w:tc>
        <w:tc>
          <w:tcPr>
            <w:tcW w:w="1134" w:type="dxa"/>
          </w:tcPr>
          <w:p w14:paraId="68F67CEF" w14:textId="77777777" w:rsidR="00B54C7D" w:rsidRPr="00AE376F" w:rsidRDefault="00B54C7D" w:rsidP="00BB2D64">
            <w:pPr>
              <w:pStyle w:val="TabNumeri"/>
            </w:pPr>
            <w:r w:rsidRPr="00C97574">
              <w:t>0,5</w:t>
            </w:r>
          </w:p>
        </w:tc>
        <w:tc>
          <w:tcPr>
            <w:tcW w:w="1134" w:type="dxa"/>
          </w:tcPr>
          <w:p w14:paraId="5323DD66" w14:textId="77777777" w:rsidR="00B54C7D" w:rsidRPr="00AE376F" w:rsidRDefault="00B54C7D" w:rsidP="00BB2D64">
            <w:pPr>
              <w:pStyle w:val="TabNumeri"/>
            </w:pPr>
            <w:r w:rsidRPr="00C97574">
              <w:t>2,5</w:t>
            </w:r>
          </w:p>
        </w:tc>
        <w:tc>
          <w:tcPr>
            <w:tcW w:w="1134" w:type="dxa"/>
          </w:tcPr>
          <w:p w14:paraId="21F18692" w14:textId="77777777" w:rsidR="00B54C7D" w:rsidRPr="00AE376F" w:rsidRDefault="00B54C7D" w:rsidP="00BB2D64">
            <w:pPr>
              <w:pStyle w:val="TabNumeri"/>
            </w:pPr>
            <w:r w:rsidRPr="00C97574">
              <w:t>-10,9</w:t>
            </w:r>
          </w:p>
        </w:tc>
        <w:tc>
          <w:tcPr>
            <w:tcW w:w="1134" w:type="dxa"/>
          </w:tcPr>
          <w:p w14:paraId="49C453D3" w14:textId="77777777" w:rsidR="00B54C7D" w:rsidRPr="00AE376F" w:rsidRDefault="00B54C7D" w:rsidP="00BB2D64">
            <w:pPr>
              <w:pStyle w:val="TabNumeri"/>
            </w:pPr>
            <w:r w:rsidRPr="00C97574">
              <w:t>13,8</w:t>
            </w:r>
          </w:p>
        </w:tc>
      </w:tr>
      <w:tr w:rsidR="00B54C7D" w:rsidRPr="00AE376F" w14:paraId="18B56779" w14:textId="77777777" w:rsidTr="00BB2D64">
        <w:trPr>
          <w:cantSplit/>
          <w:trHeight w:val="227"/>
        </w:trPr>
        <w:tc>
          <w:tcPr>
            <w:tcW w:w="4820" w:type="dxa"/>
            <w:shd w:val="clear" w:color="auto" w:fill="DAEEF3" w:themeFill="accent5" w:themeFillTint="33"/>
          </w:tcPr>
          <w:p w14:paraId="5C0DC742" w14:textId="77777777" w:rsidR="00B54C7D" w:rsidRDefault="00B54C7D" w:rsidP="00BB2D64">
            <w:pPr>
              <w:pStyle w:val="TabEtichette"/>
              <w:rPr>
                <w:rFonts w:eastAsia="Arial Unicode MS"/>
              </w:rPr>
            </w:pPr>
            <w:r>
              <w:t>Esportazioni di beni verso l’estero</w:t>
            </w:r>
          </w:p>
        </w:tc>
        <w:tc>
          <w:tcPr>
            <w:tcW w:w="1134" w:type="dxa"/>
            <w:shd w:val="clear" w:color="auto" w:fill="DAEEF3" w:themeFill="accent5" w:themeFillTint="33"/>
          </w:tcPr>
          <w:p w14:paraId="17A20705" w14:textId="77777777" w:rsidR="00B54C7D" w:rsidRPr="00AE376F" w:rsidRDefault="00B54C7D" w:rsidP="00BB2D64">
            <w:pPr>
              <w:pStyle w:val="TabNumeri"/>
            </w:pPr>
            <w:r w:rsidRPr="00C97574">
              <w:t>4,3</w:t>
            </w:r>
          </w:p>
        </w:tc>
        <w:tc>
          <w:tcPr>
            <w:tcW w:w="1134" w:type="dxa"/>
            <w:shd w:val="clear" w:color="auto" w:fill="DAEEF3" w:themeFill="accent5" w:themeFillTint="33"/>
          </w:tcPr>
          <w:p w14:paraId="3DF40EB4" w14:textId="77777777" w:rsidR="00B54C7D" w:rsidRPr="00AE376F" w:rsidRDefault="00B54C7D" w:rsidP="00BB2D64">
            <w:pPr>
              <w:pStyle w:val="TabNumeri"/>
            </w:pPr>
            <w:r w:rsidRPr="00C97574">
              <w:t>3,5</w:t>
            </w:r>
          </w:p>
        </w:tc>
        <w:tc>
          <w:tcPr>
            <w:tcW w:w="1134" w:type="dxa"/>
            <w:shd w:val="clear" w:color="auto" w:fill="DAEEF3" w:themeFill="accent5" w:themeFillTint="33"/>
          </w:tcPr>
          <w:p w14:paraId="56E4D898" w14:textId="77777777" w:rsidR="00B54C7D" w:rsidRPr="00AE376F" w:rsidRDefault="00B54C7D" w:rsidP="00BB2D64">
            <w:pPr>
              <w:pStyle w:val="TabNumeri"/>
            </w:pPr>
            <w:r w:rsidRPr="00C97574">
              <w:t>-11,5</w:t>
            </w:r>
          </w:p>
        </w:tc>
        <w:tc>
          <w:tcPr>
            <w:tcW w:w="1134" w:type="dxa"/>
            <w:shd w:val="clear" w:color="auto" w:fill="DAEEF3" w:themeFill="accent5" w:themeFillTint="33"/>
          </w:tcPr>
          <w:p w14:paraId="24562AD1" w14:textId="77777777" w:rsidR="00B54C7D" w:rsidRPr="00AE376F" w:rsidRDefault="00B54C7D" w:rsidP="00BB2D64">
            <w:pPr>
              <w:pStyle w:val="TabNumeri"/>
            </w:pPr>
            <w:r w:rsidRPr="00C97574">
              <w:t>12,0</w:t>
            </w:r>
          </w:p>
        </w:tc>
      </w:tr>
      <w:tr w:rsidR="00B54C7D" w:rsidRPr="00AE376F" w14:paraId="112FEFD9" w14:textId="77777777" w:rsidTr="00BB2D64">
        <w:trPr>
          <w:cantSplit/>
          <w:trHeight w:val="227"/>
        </w:trPr>
        <w:tc>
          <w:tcPr>
            <w:tcW w:w="4820" w:type="dxa"/>
          </w:tcPr>
          <w:p w14:paraId="024F54BE" w14:textId="77777777" w:rsidR="00B54C7D" w:rsidRPr="00EC6592" w:rsidRDefault="00B54C7D" w:rsidP="00BB2D64">
            <w:pPr>
              <w:pStyle w:val="TabEtichetteBold"/>
              <w:rPr>
                <w:rFonts w:eastAsia="Arial Unicode MS"/>
              </w:rPr>
            </w:pPr>
            <w:r w:rsidRPr="00EC6592">
              <w:t>Valore aggiunto ai prezzi base</w:t>
            </w:r>
          </w:p>
        </w:tc>
        <w:tc>
          <w:tcPr>
            <w:tcW w:w="1134" w:type="dxa"/>
          </w:tcPr>
          <w:p w14:paraId="3872B0F3" w14:textId="77777777" w:rsidR="00B54C7D" w:rsidRPr="00AE376F" w:rsidRDefault="00B54C7D" w:rsidP="00BB2D64">
            <w:pPr>
              <w:pStyle w:val="TabNumeri"/>
            </w:pPr>
          </w:p>
        </w:tc>
        <w:tc>
          <w:tcPr>
            <w:tcW w:w="1134" w:type="dxa"/>
          </w:tcPr>
          <w:p w14:paraId="22FB2F66" w14:textId="77777777" w:rsidR="00B54C7D" w:rsidRPr="00AE376F" w:rsidRDefault="00B54C7D" w:rsidP="00BB2D64">
            <w:pPr>
              <w:pStyle w:val="TabNumeri"/>
            </w:pPr>
          </w:p>
        </w:tc>
        <w:tc>
          <w:tcPr>
            <w:tcW w:w="1134" w:type="dxa"/>
          </w:tcPr>
          <w:p w14:paraId="195633B9" w14:textId="77777777" w:rsidR="00B54C7D" w:rsidRPr="00AE376F" w:rsidRDefault="00B54C7D" w:rsidP="00BB2D64">
            <w:pPr>
              <w:pStyle w:val="TabNumeri"/>
            </w:pPr>
          </w:p>
        </w:tc>
        <w:tc>
          <w:tcPr>
            <w:tcW w:w="1134" w:type="dxa"/>
          </w:tcPr>
          <w:p w14:paraId="1B0B079E" w14:textId="77777777" w:rsidR="00B54C7D" w:rsidRPr="00AE376F" w:rsidRDefault="00B54C7D" w:rsidP="00BB2D64">
            <w:pPr>
              <w:pStyle w:val="TabNumeri"/>
            </w:pPr>
          </w:p>
        </w:tc>
      </w:tr>
      <w:tr w:rsidR="00B54C7D" w:rsidRPr="00AE376F" w14:paraId="566B79B6" w14:textId="77777777" w:rsidTr="00BB2D64">
        <w:trPr>
          <w:cantSplit/>
          <w:trHeight w:val="227"/>
        </w:trPr>
        <w:tc>
          <w:tcPr>
            <w:tcW w:w="4820" w:type="dxa"/>
            <w:shd w:val="clear" w:color="auto" w:fill="DAEEF3" w:themeFill="accent5" w:themeFillTint="33"/>
          </w:tcPr>
          <w:p w14:paraId="77111B31" w14:textId="77777777" w:rsidR="00B54C7D" w:rsidRDefault="00B54C7D" w:rsidP="00BB2D64">
            <w:pPr>
              <w:pStyle w:val="TabEtichette"/>
              <w:rPr>
                <w:rFonts w:eastAsia="Arial Unicode MS"/>
              </w:rPr>
            </w:pPr>
            <w:r>
              <w:t>Agricoltura</w:t>
            </w:r>
          </w:p>
        </w:tc>
        <w:tc>
          <w:tcPr>
            <w:tcW w:w="1134" w:type="dxa"/>
            <w:shd w:val="clear" w:color="auto" w:fill="DAEEF3" w:themeFill="accent5" w:themeFillTint="33"/>
          </w:tcPr>
          <w:p w14:paraId="664D0BF4" w14:textId="77777777" w:rsidR="00B54C7D" w:rsidRPr="00AE376F" w:rsidRDefault="00B54C7D" w:rsidP="00BB2D64">
            <w:pPr>
              <w:pStyle w:val="TabNumeri"/>
            </w:pPr>
            <w:r w:rsidRPr="00C97574">
              <w:t>-0,9</w:t>
            </w:r>
          </w:p>
        </w:tc>
        <w:tc>
          <w:tcPr>
            <w:tcW w:w="1134" w:type="dxa"/>
            <w:shd w:val="clear" w:color="auto" w:fill="DAEEF3" w:themeFill="accent5" w:themeFillTint="33"/>
          </w:tcPr>
          <w:p w14:paraId="34D071DF" w14:textId="77777777" w:rsidR="00B54C7D" w:rsidRPr="00AE376F" w:rsidRDefault="00B54C7D" w:rsidP="00BB2D64">
            <w:pPr>
              <w:pStyle w:val="TabNumeri"/>
            </w:pPr>
            <w:r w:rsidRPr="00C97574">
              <w:t>-6,7</w:t>
            </w:r>
          </w:p>
        </w:tc>
        <w:tc>
          <w:tcPr>
            <w:tcW w:w="1134" w:type="dxa"/>
            <w:shd w:val="clear" w:color="auto" w:fill="DAEEF3" w:themeFill="accent5" w:themeFillTint="33"/>
          </w:tcPr>
          <w:p w14:paraId="3BAD56DF" w14:textId="77777777" w:rsidR="00B54C7D" w:rsidRPr="00AE376F" w:rsidRDefault="00B54C7D" w:rsidP="00BB2D64">
            <w:pPr>
              <w:pStyle w:val="TabNumeri"/>
            </w:pPr>
            <w:r w:rsidRPr="00C97574">
              <w:t>0,2</w:t>
            </w:r>
          </w:p>
        </w:tc>
        <w:tc>
          <w:tcPr>
            <w:tcW w:w="1134" w:type="dxa"/>
            <w:shd w:val="clear" w:color="auto" w:fill="DAEEF3" w:themeFill="accent5" w:themeFillTint="33"/>
          </w:tcPr>
          <w:p w14:paraId="03EA8135" w14:textId="77777777" w:rsidR="00B54C7D" w:rsidRPr="00AE376F" w:rsidRDefault="00B54C7D" w:rsidP="00BB2D64">
            <w:pPr>
              <w:pStyle w:val="TabNumeri"/>
            </w:pPr>
            <w:r w:rsidRPr="00C97574">
              <w:t>1,6</w:t>
            </w:r>
          </w:p>
        </w:tc>
      </w:tr>
      <w:tr w:rsidR="00B54C7D" w:rsidRPr="00AE376F" w14:paraId="74CDF362" w14:textId="77777777" w:rsidTr="00BB2D64">
        <w:trPr>
          <w:cantSplit/>
          <w:trHeight w:val="227"/>
        </w:trPr>
        <w:tc>
          <w:tcPr>
            <w:tcW w:w="4820" w:type="dxa"/>
          </w:tcPr>
          <w:p w14:paraId="74292271" w14:textId="77777777" w:rsidR="00B54C7D" w:rsidRDefault="00B54C7D" w:rsidP="00BB2D64">
            <w:pPr>
              <w:pStyle w:val="TabEtichette"/>
              <w:rPr>
                <w:rFonts w:eastAsia="Arial Unicode MS"/>
              </w:rPr>
            </w:pPr>
            <w:r>
              <w:t>Industria</w:t>
            </w:r>
          </w:p>
        </w:tc>
        <w:tc>
          <w:tcPr>
            <w:tcW w:w="1134" w:type="dxa"/>
          </w:tcPr>
          <w:p w14:paraId="691B3565" w14:textId="77777777" w:rsidR="00B54C7D" w:rsidRPr="00AE376F" w:rsidRDefault="00B54C7D" w:rsidP="00BB2D64">
            <w:pPr>
              <w:pStyle w:val="TabNumeri"/>
            </w:pPr>
            <w:r w:rsidRPr="00C97574">
              <w:t>5,3</w:t>
            </w:r>
          </w:p>
        </w:tc>
        <w:tc>
          <w:tcPr>
            <w:tcW w:w="1134" w:type="dxa"/>
          </w:tcPr>
          <w:p w14:paraId="53DC56B5" w14:textId="77777777" w:rsidR="00B54C7D" w:rsidRPr="00AE376F" w:rsidRDefault="00B54C7D" w:rsidP="00BB2D64">
            <w:pPr>
              <w:pStyle w:val="TabNumeri"/>
            </w:pPr>
            <w:r w:rsidRPr="00C97574">
              <w:t>-0,3</w:t>
            </w:r>
          </w:p>
        </w:tc>
        <w:tc>
          <w:tcPr>
            <w:tcW w:w="1134" w:type="dxa"/>
          </w:tcPr>
          <w:p w14:paraId="46F730A0" w14:textId="77777777" w:rsidR="00B54C7D" w:rsidRPr="00AE376F" w:rsidRDefault="00B54C7D" w:rsidP="00BB2D64">
            <w:pPr>
              <w:pStyle w:val="TabNumeri"/>
            </w:pPr>
            <w:r w:rsidRPr="00C97574">
              <w:t>-13,7</w:t>
            </w:r>
          </w:p>
        </w:tc>
        <w:tc>
          <w:tcPr>
            <w:tcW w:w="1134" w:type="dxa"/>
          </w:tcPr>
          <w:p w14:paraId="14113FEC" w14:textId="77777777" w:rsidR="00B54C7D" w:rsidRPr="00AE376F" w:rsidRDefault="00B54C7D" w:rsidP="00BB2D64">
            <w:pPr>
              <w:pStyle w:val="TabNumeri"/>
            </w:pPr>
            <w:r w:rsidRPr="00C97574">
              <w:t>13,6</w:t>
            </w:r>
          </w:p>
        </w:tc>
      </w:tr>
      <w:tr w:rsidR="00B54C7D" w:rsidRPr="00AE376F" w14:paraId="0F265731" w14:textId="77777777" w:rsidTr="00BB2D64">
        <w:trPr>
          <w:cantSplit/>
          <w:trHeight w:val="227"/>
        </w:trPr>
        <w:tc>
          <w:tcPr>
            <w:tcW w:w="4820" w:type="dxa"/>
            <w:shd w:val="clear" w:color="auto" w:fill="DAEEF3" w:themeFill="accent5" w:themeFillTint="33"/>
          </w:tcPr>
          <w:p w14:paraId="1BFEEEB7" w14:textId="77777777" w:rsidR="00B54C7D" w:rsidRDefault="00B54C7D" w:rsidP="00BB2D64">
            <w:pPr>
              <w:pStyle w:val="TabEtichette"/>
              <w:rPr>
                <w:rFonts w:eastAsia="Arial Unicode MS"/>
              </w:rPr>
            </w:pPr>
            <w:r>
              <w:t>Costruzioni</w:t>
            </w:r>
          </w:p>
        </w:tc>
        <w:tc>
          <w:tcPr>
            <w:tcW w:w="1134" w:type="dxa"/>
            <w:shd w:val="clear" w:color="auto" w:fill="DAEEF3" w:themeFill="accent5" w:themeFillTint="33"/>
          </w:tcPr>
          <w:p w14:paraId="1E189C8D" w14:textId="77777777" w:rsidR="00B54C7D" w:rsidRPr="00AE376F" w:rsidRDefault="00B54C7D" w:rsidP="00BB2D64">
            <w:pPr>
              <w:pStyle w:val="TabNumeri"/>
            </w:pPr>
            <w:r w:rsidRPr="00C97574">
              <w:t>4,3</w:t>
            </w:r>
          </w:p>
        </w:tc>
        <w:tc>
          <w:tcPr>
            <w:tcW w:w="1134" w:type="dxa"/>
            <w:shd w:val="clear" w:color="auto" w:fill="DAEEF3" w:themeFill="accent5" w:themeFillTint="33"/>
          </w:tcPr>
          <w:p w14:paraId="313A9E4C" w14:textId="77777777" w:rsidR="00B54C7D" w:rsidRPr="00AE376F" w:rsidRDefault="00B54C7D" w:rsidP="00BB2D64">
            <w:pPr>
              <w:pStyle w:val="TabNumeri"/>
            </w:pPr>
            <w:r w:rsidRPr="00C97574">
              <w:t>2,2</w:t>
            </w:r>
          </w:p>
        </w:tc>
        <w:tc>
          <w:tcPr>
            <w:tcW w:w="1134" w:type="dxa"/>
            <w:shd w:val="clear" w:color="auto" w:fill="DAEEF3" w:themeFill="accent5" w:themeFillTint="33"/>
          </w:tcPr>
          <w:p w14:paraId="30D7919E" w14:textId="77777777" w:rsidR="00B54C7D" w:rsidRPr="00AE376F" w:rsidRDefault="00B54C7D" w:rsidP="00BB2D64">
            <w:pPr>
              <w:pStyle w:val="TabNumeri"/>
            </w:pPr>
            <w:r w:rsidRPr="00C97574">
              <w:t>-11,3</w:t>
            </w:r>
          </w:p>
        </w:tc>
        <w:tc>
          <w:tcPr>
            <w:tcW w:w="1134" w:type="dxa"/>
            <w:shd w:val="clear" w:color="auto" w:fill="DAEEF3" w:themeFill="accent5" w:themeFillTint="33"/>
          </w:tcPr>
          <w:p w14:paraId="58FA233A" w14:textId="77777777" w:rsidR="00B54C7D" w:rsidRPr="00AE376F" w:rsidRDefault="00B54C7D" w:rsidP="00BB2D64">
            <w:pPr>
              <w:pStyle w:val="TabNumeri"/>
            </w:pPr>
            <w:r w:rsidRPr="00C97574">
              <w:t>12,2</w:t>
            </w:r>
          </w:p>
        </w:tc>
      </w:tr>
      <w:tr w:rsidR="00B54C7D" w:rsidRPr="00AE376F" w14:paraId="3131D3BD" w14:textId="77777777" w:rsidTr="00BB2D64">
        <w:trPr>
          <w:cantSplit/>
          <w:trHeight w:val="227"/>
        </w:trPr>
        <w:tc>
          <w:tcPr>
            <w:tcW w:w="4820" w:type="dxa"/>
          </w:tcPr>
          <w:p w14:paraId="4CEBB496" w14:textId="77777777" w:rsidR="00B54C7D" w:rsidRDefault="00B54C7D" w:rsidP="00BB2D64">
            <w:pPr>
              <w:pStyle w:val="TabEtichette"/>
              <w:rPr>
                <w:rFonts w:eastAsia="Arial Unicode MS"/>
              </w:rPr>
            </w:pPr>
            <w:r>
              <w:t>Servizi</w:t>
            </w:r>
          </w:p>
        </w:tc>
        <w:tc>
          <w:tcPr>
            <w:tcW w:w="1134" w:type="dxa"/>
          </w:tcPr>
          <w:p w14:paraId="097BCAC4" w14:textId="77777777" w:rsidR="00B54C7D" w:rsidRPr="00AE376F" w:rsidRDefault="00B54C7D" w:rsidP="00BB2D64">
            <w:pPr>
              <w:pStyle w:val="TabNumeri"/>
            </w:pPr>
            <w:r w:rsidRPr="00C97574">
              <w:t>0,5</w:t>
            </w:r>
          </w:p>
        </w:tc>
        <w:tc>
          <w:tcPr>
            <w:tcW w:w="1134" w:type="dxa"/>
          </w:tcPr>
          <w:p w14:paraId="6D1E86BC" w14:textId="77777777" w:rsidR="00B54C7D" w:rsidRPr="00AE376F" w:rsidRDefault="00B54C7D" w:rsidP="00BB2D64">
            <w:pPr>
              <w:pStyle w:val="TabNumeri"/>
            </w:pPr>
            <w:r w:rsidRPr="00C97574">
              <w:t>0,9</w:t>
            </w:r>
          </w:p>
        </w:tc>
        <w:tc>
          <w:tcPr>
            <w:tcW w:w="1134" w:type="dxa"/>
          </w:tcPr>
          <w:p w14:paraId="4723C9B7" w14:textId="77777777" w:rsidR="00B54C7D" w:rsidRPr="00AE376F" w:rsidRDefault="00B54C7D" w:rsidP="00BB2D64">
            <w:pPr>
              <w:pStyle w:val="TabNumeri"/>
            </w:pPr>
            <w:r w:rsidRPr="00C97574">
              <w:t>-8,7</w:t>
            </w:r>
          </w:p>
        </w:tc>
        <w:tc>
          <w:tcPr>
            <w:tcW w:w="1134" w:type="dxa"/>
          </w:tcPr>
          <w:p w14:paraId="42FE4F37" w14:textId="77777777" w:rsidR="00B54C7D" w:rsidRPr="00AE376F" w:rsidRDefault="00B54C7D" w:rsidP="00BB2D64">
            <w:pPr>
              <w:pStyle w:val="TabNumeri"/>
            </w:pPr>
            <w:r w:rsidRPr="00C97574">
              <w:t>4,4</w:t>
            </w:r>
          </w:p>
        </w:tc>
      </w:tr>
      <w:tr w:rsidR="00B54C7D" w:rsidRPr="00AE376F" w14:paraId="5C39C922" w14:textId="77777777" w:rsidTr="00BB2D64">
        <w:trPr>
          <w:cantSplit/>
          <w:trHeight w:val="227"/>
        </w:trPr>
        <w:tc>
          <w:tcPr>
            <w:tcW w:w="4820" w:type="dxa"/>
            <w:shd w:val="clear" w:color="auto" w:fill="DAEEF3" w:themeFill="accent5" w:themeFillTint="33"/>
          </w:tcPr>
          <w:p w14:paraId="5F94BC92" w14:textId="77777777" w:rsidR="00B54C7D" w:rsidRDefault="00B54C7D" w:rsidP="00BB2D64">
            <w:pPr>
              <w:pStyle w:val="TabEtichette"/>
              <w:rPr>
                <w:rFonts w:eastAsia="Arial Unicode MS"/>
              </w:rPr>
            </w:pPr>
            <w:r>
              <w:t>Totale</w:t>
            </w:r>
          </w:p>
        </w:tc>
        <w:tc>
          <w:tcPr>
            <w:tcW w:w="1134" w:type="dxa"/>
            <w:shd w:val="clear" w:color="auto" w:fill="DAEEF3" w:themeFill="accent5" w:themeFillTint="33"/>
          </w:tcPr>
          <w:p w14:paraId="68130EBE" w14:textId="77777777" w:rsidR="00B54C7D" w:rsidRPr="00AE376F" w:rsidRDefault="00B54C7D" w:rsidP="00BB2D64">
            <w:pPr>
              <w:pStyle w:val="TabNumeri"/>
            </w:pPr>
            <w:r w:rsidRPr="00C97574">
              <w:t>1,9</w:t>
            </w:r>
          </w:p>
        </w:tc>
        <w:tc>
          <w:tcPr>
            <w:tcW w:w="1134" w:type="dxa"/>
            <w:shd w:val="clear" w:color="auto" w:fill="DAEEF3" w:themeFill="accent5" w:themeFillTint="33"/>
          </w:tcPr>
          <w:p w14:paraId="3E2989D5" w14:textId="77777777" w:rsidR="00B54C7D" w:rsidRPr="00AE376F" w:rsidRDefault="00B54C7D" w:rsidP="00BB2D64">
            <w:pPr>
              <w:pStyle w:val="TabNumeri"/>
            </w:pPr>
            <w:r w:rsidRPr="00C97574">
              <w:t>0,4</w:t>
            </w:r>
          </w:p>
        </w:tc>
        <w:tc>
          <w:tcPr>
            <w:tcW w:w="1134" w:type="dxa"/>
            <w:shd w:val="clear" w:color="auto" w:fill="DAEEF3" w:themeFill="accent5" w:themeFillTint="33"/>
          </w:tcPr>
          <w:p w14:paraId="5A997F0D" w14:textId="77777777" w:rsidR="00B54C7D" w:rsidRPr="00AE376F" w:rsidRDefault="00B54C7D" w:rsidP="00BB2D64">
            <w:pPr>
              <w:pStyle w:val="TabNumeri"/>
            </w:pPr>
            <w:r w:rsidRPr="00C97574">
              <w:t>-10,0</w:t>
            </w:r>
          </w:p>
        </w:tc>
        <w:tc>
          <w:tcPr>
            <w:tcW w:w="1134" w:type="dxa"/>
            <w:shd w:val="clear" w:color="auto" w:fill="DAEEF3" w:themeFill="accent5" w:themeFillTint="33"/>
          </w:tcPr>
          <w:p w14:paraId="4DAC0B49" w14:textId="77777777" w:rsidR="00B54C7D" w:rsidRPr="00AE376F" w:rsidRDefault="00B54C7D" w:rsidP="00BB2D64">
            <w:pPr>
              <w:pStyle w:val="TabNumeri"/>
            </w:pPr>
            <w:r w:rsidRPr="00C97574">
              <w:t>7,1</w:t>
            </w:r>
          </w:p>
        </w:tc>
      </w:tr>
      <w:tr w:rsidR="00B54C7D" w:rsidRPr="00AE376F" w14:paraId="1CA031C5" w14:textId="77777777" w:rsidTr="00BB2D64">
        <w:trPr>
          <w:cantSplit/>
          <w:trHeight w:val="227"/>
        </w:trPr>
        <w:tc>
          <w:tcPr>
            <w:tcW w:w="4820" w:type="dxa"/>
          </w:tcPr>
          <w:p w14:paraId="2FE6007C" w14:textId="77777777" w:rsidR="00B54C7D" w:rsidRPr="00EC6592" w:rsidRDefault="00B54C7D" w:rsidP="00BB2D64">
            <w:pPr>
              <w:pStyle w:val="TabEtichetteBold"/>
              <w:rPr>
                <w:rFonts w:eastAsia="Arial Unicode MS"/>
              </w:rPr>
            </w:pPr>
            <w:r w:rsidRPr="00EC6592">
              <w:t>Rapporti caratteristici</w:t>
            </w:r>
          </w:p>
        </w:tc>
        <w:tc>
          <w:tcPr>
            <w:tcW w:w="1134" w:type="dxa"/>
          </w:tcPr>
          <w:p w14:paraId="25AD5470" w14:textId="77777777" w:rsidR="00B54C7D" w:rsidRPr="00AE376F" w:rsidRDefault="00B54C7D" w:rsidP="00BB2D64">
            <w:pPr>
              <w:pStyle w:val="TabNumeri"/>
            </w:pPr>
          </w:p>
        </w:tc>
        <w:tc>
          <w:tcPr>
            <w:tcW w:w="1134" w:type="dxa"/>
          </w:tcPr>
          <w:p w14:paraId="058D19CB" w14:textId="77777777" w:rsidR="00B54C7D" w:rsidRPr="00AE376F" w:rsidRDefault="00B54C7D" w:rsidP="00BB2D64">
            <w:pPr>
              <w:pStyle w:val="TabNumeri"/>
            </w:pPr>
          </w:p>
        </w:tc>
        <w:tc>
          <w:tcPr>
            <w:tcW w:w="1134" w:type="dxa"/>
          </w:tcPr>
          <w:p w14:paraId="112330B4" w14:textId="77777777" w:rsidR="00B54C7D" w:rsidRPr="00AE376F" w:rsidRDefault="00B54C7D" w:rsidP="00BB2D64">
            <w:pPr>
              <w:pStyle w:val="TabNumeri"/>
            </w:pPr>
          </w:p>
        </w:tc>
        <w:tc>
          <w:tcPr>
            <w:tcW w:w="1134" w:type="dxa"/>
          </w:tcPr>
          <w:p w14:paraId="0E102676" w14:textId="77777777" w:rsidR="00B54C7D" w:rsidRPr="00AE376F" w:rsidRDefault="00B54C7D" w:rsidP="00BB2D64">
            <w:pPr>
              <w:pStyle w:val="TabNumeri"/>
            </w:pPr>
          </w:p>
        </w:tc>
      </w:tr>
      <w:tr w:rsidR="00B54C7D" w:rsidRPr="00AE376F" w14:paraId="7F0183C5" w14:textId="77777777" w:rsidTr="00BB2D64">
        <w:trPr>
          <w:cantSplit/>
          <w:trHeight w:val="227"/>
        </w:trPr>
        <w:tc>
          <w:tcPr>
            <w:tcW w:w="4820" w:type="dxa"/>
            <w:shd w:val="clear" w:color="auto" w:fill="DAEEF3" w:themeFill="accent5" w:themeFillTint="33"/>
          </w:tcPr>
          <w:p w14:paraId="48A20F2F" w14:textId="77777777" w:rsidR="00B54C7D" w:rsidRPr="00983308" w:rsidRDefault="00B54C7D" w:rsidP="00BB2D64">
            <w:pPr>
              <w:pStyle w:val="TabEtichette"/>
            </w:pPr>
            <w:r w:rsidRPr="00983308">
              <w:t>Forze di lavoro</w:t>
            </w:r>
          </w:p>
        </w:tc>
        <w:tc>
          <w:tcPr>
            <w:tcW w:w="1134" w:type="dxa"/>
            <w:shd w:val="clear" w:color="auto" w:fill="DAEEF3" w:themeFill="accent5" w:themeFillTint="33"/>
          </w:tcPr>
          <w:p w14:paraId="0C2D55E5" w14:textId="77777777" w:rsidR="00B54C7D" w:rsidRPr="00AE376F" w:rsidRDefault="00B54C7D" w:rsidP="00BB2D64">
            <w:pPr>
              <w:pStyle w:val="TabNumeri"/>
            </w:pPr>
            <w:r w:rsidRPr="00C97574">
              <w:t>0,9</w:t>
            </w:r>
          </w:p>
        </w:tc>
        <w:tc>
          <w:tcPr>
            <w:tcW w:w="1134" w:type="dxa"/>
            <w:shd w:val="clear" w:color="auto" w:fill="DAEEF3" w:themeFill="accent5" w:themeFillTint="33"/>
          </w:tcPr>
          <w:p w14:paraId="4244E12C" w14:textId="77777777" w:rsidR="00B54C7D" w:rsidRPr="00AE376F" w:rsidRDefault="00B54C7D" w:rsidP="00BB2D64">
            <w:pPr>
              <w:pStyle w:val="TabNumeri"/>
            </w:pPr>
            <w:r w:rsidRPr="00C97574">
              <w:t>1,1</w:t>
            </w:r>
          </w:p>
        </w:tc>
        <w:tc>
          <w:tcPr>
            <w:tcW w:w="1134" w:type="dxa"/>
            <w:shd w:val="clear" w:color="auto" w:fill="DAEEF3" w:themeFill="accent5" w:themeFillTint="33"/>
          </w:tcPr>
          <w:p w14:paraId="677F2A8D" w14:textId="77777777" w:rsidR="00B54C7D" w:rsidRPr="00AE376F" w:rsidRDefault="00B54C7D" w:rsidP="00BB2D64">
            <w:pPr>
              <w:pStyle w:val="TabNumeri"/>
            </w:pPr>
            <w:r w:rsidRPr="00C97574">
              <w:t>-1,4</w:t>
            </w:r>
          </w:p>
        </w:tc>
        <w:tc>
          <w:tcPr>
            <w:tcW w:w="1134" w:type="dxa"/>
            <w:shd w:val="clear" w:color="auto" w:fill="DAEEF3" w:themeFill="accent5" w:themeFillTint="33"/>
          </w:tcPr>
          <w:p w14:paraId="14904DB3" w14:textId="77777777" w:rsidR="00B54C7D" w:rsidRPr="00AE376F" w:rsidRDefault="00B54C7D" w:rsidP="00BB2D64">
            <w:pPr>
              <w:pStyle w:val="TabNumeri"/>
            </w:pPr>
            <w:r w:rsidRPr="00C97574">
              <w:t>0,9</w:t>
            </w:r>
          </w:p>
        </w:tc>
      </w:tr>
      <w:tr w:rsidR="00B54C7D" w:rsidRPr="00AE376F" w14:paraId="46223C38" w14:textId="77777777" w:rsidTr="00BB2D64">
        <w:trPr>
          <w:cantSplit/>
          <w:trHeight w:val="227"/>
        </w:trPr>
        <w:tc>
          <w:tcPr>
            <w:tcW w:w="4820" w:type="dxa"/>
          </w:tcPr>
          <w:p w14:paraId="78292229" w14:textId="77777777" w:rsidR="00B54C7D" w:rsidRDefault="00B54C7D" w:rsidP="00BB2D64">
            <w:pPr>
              <w:pStyle w:val="TabEtichette"/>
            </w:pPr>
            <w:r w:rsidRPr="00983308">
              <w:t>Occupati</w:t>
            </w:r>
          </w:p>
        </w:tc>
        <w:tc>
          <w:tcPr>
            <w:tcW w:w="1134" w:type="dxa"/>
          </w:tcPr>
          <w:p w14:paraId="5D107A00" w14:textId="77777777" w:rsidR="00B54C7D" w:rsidRPr="00AE376F" w:rsidRDefault="00B54C7D" w:rsidP="00BB2D64">
            <w:pPr>
              <w:pStyle w:val="TabNumeri"/>
            </w:pPr>
            <w:r w:rsidRPr="00C97574">
              <w:t>1,6</w:t>
            </w:r>
          </w:p>
        </w:tc>
        <w:tc>
          <w:tcPr>
            <w:tcW w:w="1134" w:type="dxa"/>
          </w:tcPr>
          <w:p w14:paraId="5C253C9F" w14:textId="77777777" w:rsidR="00B54C7D" w:rsidRPr="00AE376F" w:rsidRDefault="00B54C7D" w:rsidP="00BB2D64">
            <w:pPr>
              <w:pStyle w:val="TabNumeri"/>
            </w:pPr>
            <w:r w:rsidRPr="00C97574">
              <w:t>1,4</w:t>
            </w:r>
          </w:p>
        </w:tc>
        <w:tc>
          <w:tcPr>
            <w:tcW w:w="1134" w:type="dxa"/>
          </w:tcPr>
          <w:p w14:paraId="1B938BD0" w14:textId="77777777" w:rsidR="00B54C7D" w:rsidRPr="00AE376F" w:rsidRDefault="00B54C7D" w:rsidP="00BB2D64">
            <w:pPr>
              <w:pStyle w:val="TabNumeri"/>
            </w:pPr>
            <w:r w:rsidRPr="00C97574">
              <w:t>-2,1</w:t>
            </w:r>
          </w:p>
        </w:tc>
        <w:tc>
          <w:tcPr>
            <w:tcW w:w="1134" w:type="dxa"/>
          </w:tcPr>
          <w:p w14:paraId="06675B32" w14:textId="77777777" w:rsidR="00B54C7D" w:rsidRPr="00AE376F" w:rsidRDefault="00B54C7D" w:rsidP="00BB2D64">
            <w:pPr>
              <w:pStyle w:val="TabNumeri"/>
            </w:pPr>
            <w:r w:rsidRPr="00C97574">
              <w:t>0,2</w:t>
            </w:r>
          </w:p>
        </w:tc>
      </w:tr>
      <w:tr w:rsidR="00B54C7D" w:rsidRPr="00AE376F" w14:paraId="411C4F26" w14:textId="77777777" w:rsidTr="00BB2D64">
        <w:trPr>
          <w:cantSplit/>
          <w:trHeight w:val="227"/>
        </w:trPr>
        <w:tc>
          <w:tcPr>
            <w:tcW w:w="4820" w:type="dxa"/>
            <w:shd w:val="clear" w:color="auto" w:fill="DAEEF3" w:themeFill="accent5" w:themeFillTint="33"/>
          </w:tcPr>
          <w:p w14:paraId="2A6D0CE2" w14:textId="77777777" w:rsidR="00B54C7D" w:rsidRPr="007427DC" w:rsidRDefault="00B54C7D" w:rsidP="00BB2D64">
            <w:pPr>
              <w:pStyle w:val="tabetic"/>
            </w:pPr>
            <w:r>
              <w:t xml:space="preserve"> Tasso di attività (2)(3</w:t>
            </w:r>
            <w:r w:rsidRPr="007427DC">
              <w:t>)</w:t>
            </w:r>
          </w:p>
        </w:tc>
        <w:tc>
          <w:tcPr>
            <w:tcW w:w="1134" w:type="dxa"/>
            <w:shd w:val="clear" w:color="auto" w:fill="DAEEF3" w:themeFill="accent5" w:themeFillTint="33"/>
          </w:tcPr>
          <w:p w14:paraId="3493FA17" w14:textId="77777777" w:rsidR="00B54C7D" w:rsidRPr="00AE376F" w:rsidRDefault="00B54C7D" w:rsidP="00BB2D64">
            <w:pPr>
              <w:pStyle w:val="TabNumeri"/>
            </w:pPr>
            <w:r w:rsidRPr="00C97574">
              <w:t>48,2</w:t>
            </w:r>
          </w:p>
        </w:tc>
        <w:tc>
          <w:tcPr>
            <w:tcW w:w="1134" w:type="dxa"/>
            <w:shd w:val="clear" w:color="auto" w:fill="DAEEF3" w:themeFill="accent5" w:themeFillTint="33"/>
          </w:tcPr>
          <w:p w14:paraId="2BEE22D7" w14:textId="77777777" w:rsidR="00B54C7D" w:rsidRPr="00AE376F" w:rsidRDefault="00B54C7D" w:rsidP="00BB2D64">
            <w:pPr>
              <w:pStyle w:val="TabNumeri"/>
            </w:pPr>
            <w:r w:rsidRPr="00C97574">
              <w:t>48,6</w:t>
            </w:r>
          </w:p>
        </w:tc>
        <w:tc>
          <w:tcPr>
            <w:tcW w:w="1134" w:type="dxa"/>
            <w:shd w:val="clear" w:color="auto" w:fill="DAEEF3" w:themeFill="accent5" w:themeFillTint="33"/>
          </w:tcPr>
          <w:p w14:paraId="69BB6DD1" w14:textId="77777777" w:rsidR="00B54C7D" w:rsidRPr="00AE376F" w:rsidRDefault="00B54C7D" w:rsidP="00BB2D64">
            <w:pPr>
              <w:pStyle w:val="TabNumeri"/>
            </w:pPr>
            <w:r w:rsidRPr="00C97574">
              <w:t>47,9</w:t>
            </w:r>
          </w:p>
        </w:tc>
        <w:tc>
          <w:tcPr>
            <w:tcW w:w="1134" w:type="dxa"/>
            <w:shd w:val="clear" w:color="auto" w:fill="DAEEF3" w:themeFill="accent5" w:themeFillTint="33"/>
          </w:tcPr>
          <w:p w14:paraId="5670D15A" w14:textId="77777777" w:rsidR="00B54C7D" w:rsidRPr="00AE376F" w:rsidRDefault="00B54C7D" w:rsidP="00BB2D64">
            <w:pPr>
              <w:pStyle w:val="TabNumeri"/>
            </w:pPr>
            <w:r w:rsidRPr="00C97574">
              <w:t>48,2</w:t>
            </w:r>
          </w:p>
        </w:tc>
      </w:tr>
      <w:tr w:rsidR="00B54C7D" w:rsidRPr="00AE376F" w14:paraId="46324891" w14:textId="77777777" w:rsidTr="00BB2D64">
        <w:trPr>
          <w:cantSplit/>
          <w:trHeight w:val="227"/>
        </w:trPr>
        <w:tc>
          <w:tcPr>
            <w:tcW w:w="4820" w:type="dxa"/>
          </w:tcPr>
          <w:p w14:paraId="76153C65" w14:textId="77777777" w:rsidR="00B54C7D" w:rsidRPr="007427DC" w:rsidRDefault="00B54C7D" w:rsidP="00BB2D64">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27BAD57F" w14:textId="77777777" w:rsidR="00B54C7D" w:rsidRPr="00AE376F" w:rsidRDefault="00B54C7D" w:rsidP="00BB2D64">
            <w:pPr>
              <w:pStyle w:val="TabNumeri"/>
            </w:pPr>
            <w:r w:rsidRPr="00C97574">
              <w:t>45,3</w:t>
            </w:r>
          </w:p>
        </w:tc>
        <w:tc>
          <w:tcPr>
            <w:tcW w:w="1134" w:type="dxa"/>
          </w:tcPr>
          <w:p w14:paraId="459D24B4" w14:textId="77777777" w:rsidR="00B54C7D" w:rsidRPr="00AE376F" w:rsidRDefault="00B54C7D" w:rsidP="00BB2D64">
            <w:pPr>
              <w:pStyle w:val="TabNumeri"/>
            </w:pPr>
            <w:r w:rsidRPr="00C97574">
              <w:t>45,9</w:t>
            </w:r>
          </w:p>
        </w:tc>
        <w:tc>
          <w:tcPr>
            <w:tcW w:w="1134" w:type="dxa"/>
          </w:tcPr>
          <w:p w14:paraId="3895F6BE" w14:textId="77777777" w:rsidR="00B54C7D" w:rsidRPr="00AE376F" w:rsidRDefault="00B54C7D" w:rsidP="00BB2D64">
            <w:pPr>
              <w:pStyle w:val="TabNumeri"/>
            </w:pPr>
            <w:r w:rsidRPr="00C97574">
              <w:t>44,9</w:t>
            </w:r>
          </w:p>
        </w:tc>
        <w:tc>
          <w:tcPr>
            <w:tcW w:w="1134" w:type="dxa"/>
          </w:tcPr>
          <w:p w14:paraId="6C279955" w14:textId="77777777" w:rsidR="00B54C7D" w:rsidRPr="00AE376F" w:rsidRDefault="00B54C7D" w:rsidP="00BB2D64">
            <w:pPr>
              <w:pStyle w:val="TabNumeri"/>
            </w:pPr>
            <w:r w:rsidRPr="00C97574">
              <w:t>44,9</w:t>
            </w:r>
          </w:p>
        </w:tc>
      </w:tr>
      <w:tr w:rsidR="00B54C7D" w:rsidRPr="00AE376F" w14:paraId="3B0BC8AE" w14:textId="77777777" w:rsidTr="00BB2D64">
        <w:trPr>
          <w:cantSplit/>
          <w:trHeight w:val="227"/>
        </w:trPr>
        <w:tc>
          <w:tcPr>
            <w:tcW w:w="4820" w:type="dxa"/>
            <w:shd w:val="clear" w:color="auto" w:fill="DAEEF3" w:themeFill="accent5" w:themeFillTint="33"/>
          </w:tcPr>
          <w:p w14:paraId="1216B1BA" w14:textId="77777777" w:rsidR="00B54C7D" w:rsidRPr="007427DC" w:rsidRDefault="00B54C7D" w:rsidP="00BB2D64">
            <w:pPr>
              <w:pStyle w:val="tabetic"/>
            </w:pPr>
            <w:r>
              <w:t xml:space="preserve"> Tasso di disoccupazione (2</w:t>
            </w:r>
            <w:r w:rsidRPr="007427DC">
              <w:t>)</w:t>
            </w:r>
          </w:p>
        </w:tc>
        <w:tc>
          <w:tcPr>
            <w:tcW w:w="1134" w:type="dxa"/>
            <w:shd w:val="clear" w:color="auto" w:fill="DAEEF3" w:themeFill="accent5" w:themeFillTint="33"/>
          </w:tcPr>
          <w:p w14:paraId="0BACF840" w14:textId="77777777" w:rsidR="00B54C7D" w:rsidRPr="00AE376F" w:rsidRDefault="00B54C7D" w:rsidP="00BB2D64">
            <w:pPr>
              <w:pStyle w:val="TabNumeri"/>
            </w:pPr>
            <w:r w:rsidRPr="00C97574">
              <w:t>5,9</w:t>
            </w:r>
          </w:p>
        </w:tc>
        <w:tc>
          <w:tcPr>
            <w:tcW w:w="1134" w:type="dxa"/>
            <w:shd w:val="clear" w:color="auto" w:fill="DAEEF3" w:themeFill="accent5" w:themeFillTint="33"/>
          </w:tcPr>
          <w:p w14:paraId="05BC7443" w14:textId="77777777" w:rsidR="00B54C7D" w:rsidRPr="00AE376F" w:rsidRDefault="00B54C7D" w:rsidP="00BB2D64">
            <w:pPr>
              <w:pStyle w:val="TabNumeri"/>
            </w:pPr>
            <w:r w:rsidRPr="00C97574">
              <w:t>5,5</w:t>
            </w:r>
          </w:p>
        </w:tc>
        <w:tc>
          <w:tcPr>
            <w:tcW w:w="1134" w:type="dxa"/>
            <w:shd w:val="clear" w:color="auto" w:fill="DAEEF3" w:themeFill="accent5" w:themeFillTint="33"/>
          </w:tcPr>
          <w:p w14:paraId="29C4ECFB" w14:textId="77777777" w:rsidR="00B54C7D" w:rsidRPr="00AE376F" w:rsidRDefault="00B54C7D" w:rsidP="00BB2D64">
            <w:pPr>
              <w:pStyle w:val="TabNumeri"/>
            </w:pPr>
            <w:r w:rsidRPr="00C97574">
              <w:t>6,2</w:t>
            </w:r>
          </w:p>
        </w:tc>
        <w:tc>
          <w:tcPr>
            <w:tcW w:w="1134" w:type="dxa"/>
            <w:shd w:val="clear" w:color="auto" w:fill="DAEEF3" w:themeFill="accent5" w:themeFillTint="33"/>
          </w:tcPr>
          <w:p w14:paraId="02C42D55" w14:textId="77777777" w:rsidR="00B54C7D" w:rsidRPr="00AE376F" w:rsidRDefault="00B54C7D" w:rsidP="00BB2D64">
            <w:pPr>
              <w:pStyle w:val="TabNumeri"/>
            </w:pPr>
            <w:r w:rsidRPr="00C97574">
              <w:t>6,9</w:t>
            </w:r>
          </w:p>
        </w:tc>
      </w:tr>
      <w:tr w:rsidR="00B54C7D" w:rsidRPr="00AE376F" w14:paraId="43022706" w14:textId="77777777" w:rsidTr="00BB2D64">
        <w:trPr>
          <w:cantSplit/>
          <w:trHeight w:val="227"/>
        </w:trPr>
        <w:tc>
          <w:tcPr>
            <w:tcW w:w="4820" w:type="dxa"/>
          </w:tcPr>
          <w:p w14:paraId="4E1E9AE5" w14:textId="77777777" w:rsidR="00B54C7D" w:rsidRPr="00EC6592" w:rsidRDefault="00B54C7D" w:rsidP="00BB2D64">
            <w:pPr>
              <w:pStyle w:val="TabEtichetteBold"/>
            </w:pPr>
            <w:r w:rsidRPr="00EC6592">
              <w:t>Produttività e capacità di spesa</w:t>
            </w:r>
          </w:p>
        </w:tc>
        <w:tc>
          <w:tcPr>
            <w:tcW w:w="1134" w:type="dxa"/>
          </w:tcPr>
          <w:p w14:paraId="07293250" w14:textId="77777777" w:rsidR="00B54C7D" w:rsidRPr="00AE376F" w:rsidRDefault="00B54C7D" w:rsidP="00BB2D64">
            <w:pPr>
              <w:pStyle w:val="TabNumeri"/>
            </w:pPr>
          </w:p>
        </w:tc>
        <w:tc>
          <w:tcPr>
            <w:tcW w:w="1134" w:type="dxa"/>
          </w:tcPr>
          <w:p w14:paraId="527BE8D9" w14:textId="77777777" w:rsidR="00B54C7D" w:rsidRPr="00AE376F" w:rsidRDefault="00B54C7D" w:rsidP="00BB2D64">
            <w:pPr>
              <w:pStyle w:val="TabNumeri"/>
            </w:pPr>
          </w:p>
        </w:tc>
        <w:tc>
          <w:tcPr>
            <w:tcW w:w="1134" w:type="dxa"/>
          </w:tcPr>
          <w:p w14:paraId="76A0B91A" w14:textId="77777777" w:rsidR="00B54C7D" w:rsidRPr="00AE376F" w:rsidRDefault="00B54C7D" w:rsidP="00BB2D64">
            <w:pPr>
              <w:pStyle w:val="TabNumeri"/>
            </w:pPr>
          </w:p>
        </w:tc>
        <w:tc>
          <w:tcPr>
            <w:tcW w:w="1134" w:type="dxa"/>
          </w:tcPr>
          <w:p w14:paraId="0EEA0658" w14:textId="77777777" w:rsidR="00B54C7D" w:rsidRPr="00AE376F" w:rsidRDefault="00B54C7D" w:rsidP="00BB2D64">
            <w:pPr>
              <w:pStyle w:val="TabNumeri"/>
            </w:pPr>
          </w:p>
        </w:tc>
      </w:tr>
      <w:tr w:rsidR="00B54C7D" w:rsidRPr="00AE376F" w14:paraId="44C588DD" w14:textId="77777777" w:rsidTr="00BB2D64">
        <w:trPr>
          <w:cantSplit/>
          <w:trHeight w:val="227"/>
        </w:trPr>
        <w:tc>
          <w:tcPr>
            <w:tcW w:w="4820" w:type="dxa"/>
            <w:shd w:val="clear" w:color="auto" w:fill="DAEEF3" w:themeFill="accent5" w:themeFillTint="33"/>
          </w:tcPr>
          <w:p w14:paraId="449FEED7" w14:textId="77777777" w:rsidR="00B54C7D" w:rsidRPr="00B130A5" w:rsidRDefault="00B54C7D" w:rsidP="00BB2D64">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14:paraId="469A89E4" w14:textId="77777777" w:rsidR="00B54C7D" w:rsidRPr="00AE376F" w:rsidRDefault="00B54C7D" w:rsidP="00BB2D64">
            <w:pPr>
              <w:pStyle w:val="TabNumeri"/>
            </w:pPr>
            <w:r w:rsidRPr="00C97574">
              <w:t>1,9</w:t>
            </w:r>
          </w:p>
        </w:tc>
        <w:tc>
          <w:tcPr>
            <w:tcW w:w="1134" w:type="dxa"/>
            <w:shd w:val="clear" w:color="auto" w:fill="DAEEF3" w:themeFill="accent5" w:themeFillTint="33"/>
          </w:tcPr>
          <w:p w14:paraId="31A8DD3A" w14:textId="77777777" w:rsidR="00B54C7D" w:rsidRPr="00AE376F" w:rsidRDefault="00B54C7D" w:rsidP="00BB2D64">
            <w:pPr>
              <w:pStyle w:val="TabNumeri"/>
            </w:pPr>
            <w:r w:rsidRPr="00C97574">
              <w:t>1,5</w:t>
            </w:r>
          </w:p>
        </w:tc>
        <w:tc>
          <w:tcPr>
            <w:tcW w:w="1134" w:type="dxa"/>
            <w:shd w:val="clear" w:color="auto" w:fill="DAEEF3" w:themeFill="accent5" w:themeFillTint="33"/>
          </w:tcPr>
          <w:p w14:paraId="363BB50A" w14:textId="77777777" w:rsidR="00B54C7D" w:rsidRPr="00AE376F" w:rsidRDefault="00B54C7D" w:rsidP="00BB2D64">
            <w:pPr>
              <w:pStyle w:val="TabNumeri"/>
            </w:pPr>
            <w:r w:rsidRPr="00C97574">
              <w:t>-3,8</w:t>
            </w:r>
          </w:p>
        </w:tc>
        <w:tc>
          <w:tcPr>
            <w:tcW w:w="1134" w:type="dxa"/>
            <w:shd w:val="clear" w:color="auto" w:fill="DAEEF3" w:themeFill="accent5" w:themeFillTint="33"/>
          </w:tcPr>
          <w:p w14:paraId="2B9D189A" w14:textId="77777777" w:rsidR="00B54C7D" w:rsidRPr="00AE376F" w:rsidRDefault="00B54C7D" w:rsidP="00BB2D64">
            <w:pPr>
              <w:pStyle w:val="TabNumeri"/>
            </w:pPr>
            <w:r w:rsidRPr="00C97574">
              <w:t>3,0</w:t>
            </w:r>
          </w:p>
        </w:tc>
      </w:tr>
      <w:tr w:rsidR="00B54C7D" w14:paraId="31F6CD41" w14:textId="77777777" w:rsidTr="00BB2D64">
        <w:trPr>
          <w:cantSplit/>
          <w:trHeight w:val="227"/>
        </w:trPr>
        <w:tc>
          <w:tcPr>
            <w:tcW w:w="4820" w:type="dxa"/>
          </w:tcPr>
          <w:p w14:paraId="6920539C" w14:textId="77777777" w:rsidR="00B54C7D" w:rsidRDefault="00B54C7D" w:rsidP="00BB2D64">
            <w:pPr>
              <w:pStyle w:val="TabEtichette"/>
            </w:pPr>
            <w:r w:rsidRPr="00B130A5">
              <w:t>Valore aggiunto totale per abitante (migliaia di euro)</w:t>
            </w:r>
          </w:p>
        </w:tc>
        <w:tc>
          <w:tcPr>
            <w:tcW w:w="1134" w:type="dxa"/>
          </w:tcPr>
          <w:p w14:paraId="183472E6" w14:textId="77777777" w:rsidR="00B54C7D" w:rsidRPr="00AE376F" w:rsidRDefault="00B54C7D" w:rsidP="00BB2D64">
            <w:pPr>
              <w:pStyle w:val="TabNumeri"/>
            </w:pPr>
            <w:r w:rsidRPr="00C97574">
              <w:t>31,8</w:t>
            </w:r>
          </w:p>
        </w:tc>
        <w:tc>
          <w:tcPr>
            <w:tcW w:w="1134" w:type="dxa"/>
          </w:tcPr>
          <w:p w14:paraId="2F289242" w14:textId="77777777" w:rsidR="00B54C7D" w:rsidRPr="00AE376F" w:rsidRDefault="00B54C7D" w:rsidP="00BB2D64">
            <w:pPr>
              <w:pStyle w:val="TabNumeri"/>
            </w:pPr>
            <w:r w:rsidRPr="00C97574">
              <w:t>31,9</w:t>
            </w:r>
          </w:p>
        </w:tc>
        <w:tc>
          <w:tcPr>
            <w:tcW w:w="1134" w:type="dxa"/>
          </w:tcPr>
          <w:p w14:paraId="427FCA5D" w14:textId="77777777" w:rsidR="00B54C7D" w:rsidRPr="00AE376F" w:rsidRDefault="00B54C7D" w:rsidP="00BB2D64">
            <w:pPr>
              <w:pStyle w:val="TabNumeri"/>
            </w:pPr>
            <w:r w:rsidRPr="00C97574">
              <w:t>28,7</w:t>
            </w:r>
          </w:p>
        </w:tc>
        <w:tc>
          <w:tcPr>
            <w:tcW w:w="1134" w:type="dxa"/>
          </w:tcPr>
          <w:p w14:paraId="3B832A33" w14:textId="77777777" w:rsidR="00B54C7D" w:rsidRDefault="00B54C7D" w:rsidP="00BB2D64">
            <w:pPr>
              <w:pStyle w:val="TabNumeri"/>
            </w:pPr>
            <w:r w:rsidRPr="00C97574">
              <w:t>30,7</w:t>
            </w:r>
          </w:p>
        </w:tc>
      </w:tr>
      <w:tr w:rsidR="00B54C7D" w:rsidRPr="007C570B" w14:paraId="43085050" w14:textId="77777777" w:rsidTr="00BB2D64">
        <w:trPr>
          <w:cantSplit/>
        </w:trPr>
        <w:tc>
          <w:tcPr>
            <w:tcW w:w="9356" w:type="dxa"/>
            <w:gridSpan w:val="5"/>
            <w:tcBorders>
              <w:top w:val="single" w:sz="4" w:space="0" w:color="800000"/>
            </w:tcBorders>
          </w:tcPr>
          <w:p w14:paraId="642D1193" w14:textId="77777777" w:rsidR="00B54C7D" w:rsidRDefault="00B54C7D" w:rsidP="00BB2D64">
            <w:pPr>
              <w:pStyle w:val="TabNoteSuperiori"/>
            </w:pPr>
            <w:r>
              <w:t>(1) Al netto delle scorte. (2) Rapporto percentuale. (3) Quota sulla popolazione presente totale.</w:t>
            </w:r>
          </w:p>
          <w:p w14:paraId="300821E0" w14:textId="2327A512" w:rsidR="00B54C7D" w:rsidRPr="007C570B" w:rsidRDefault="00B54C7D" w:rsidP="00BB2D64">
            <w:pPr>
              <w:pStyle w:val="TabNoteInferiori"/>
            </w:pPr>
            <w:r w:rsidRPr="00B60C06">
              <w:t xml:space="preserve">Fonte: elaborazione Unioncamere E.R. su dati Prometeia, Scenari per le economie locali, </w:t>
            </w:r>
            <w:r>
              <w:t xml:space="preserve">ottobre </w:t>
            </w:r>
            <w:r>
              <w:fldChar w:fldCharType="begin"/>
            </w:r>
            <w:r>
              <w:instrText xml:space="preserve"> DATE  \@ "yyyy"  \* MERGEFORMAT </w:instrText>
            </w:r>
            <w:r>
              <w:fldChar w:fldCharType="separate"/>
            </w:r>
            <w:r w:rsidR="000545FF">
              <w:rPr>
                <w:noProof/>
              </w:rPr>
              <w:t>2020</w:t>
            </w:r>
            <w:r>
              <w:fldChar w:fldCharType="end"/>
            </w:r>
            <w:r w:rsidRPr="00B60C06">
              <w:t>.</w:t>
            </w:r>
          </w:p>
        </w:tc>
      </w:tr>
    </w:tbl>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B54C7D" w14:paraId="68E0233B" w14:textId="77777777" w:rsidTr="00BB2D64">
        <w:trPr>
          <w:cantSplit/>
        </w:trPr>
        <w:tc>
          <w:tcPr>
            <w:tcW w:w="9356" w:type="dxa"/>
          </w:tcPr>
          <w:p w14:paraId="1E956808" w14:textId="77777777" w:rsidR="00B54C7D" w:rsidRDefault="00B54C7D" w:rsidP="00BB2D64">
            <w:pPr>
              <w:pStyle w:val="FigTitolo"/>
              <w:ind w:left="1134" w:hanging="1134"/>
            </w:pPr>
            <w:r>
              <w:t>Il quadro regionale: tasso di variazione e numero indice del Pil (2000=100)</w:t>
            </w:r>
          </w:p>
          <w:p w14:paraId="64C4BB1E" w14:textId="77777777" w:rsidR="00B54C7D" w:rsidRDefault="00B54C7D" w:rsidP="00BB2D64">
            <w:pPr>
              <w:pStyle w:val="Figure"/>
            </w:pPr>
            <w:r w:rsidRPr="00AD0198">
              <w:rPr>
                <w:noProof/>
              </w:rPr>
              <w:drawing>
                <wp:inline distT="0" distB="0" distL="0" distR="0" wp14:anchorId="79B475FB" wp14:editId="1B1F1F70">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A4B6149" w14:textId="4A3E0370" w:rsidR="00B54C7D" w:rsidRDefault="00B54C7D" w:rsidP="00BB2D64">
            <w:pPr>
              <w:pStyle w:val="TabNoteInferiori"/>
            </w:pPr>
            <w:r w:rsidRPr="0029075E">
              <w:t xml:space="preserve">Fonte: </w:t>
            </w:r>
            <w:r w:rsidRPr="00B60C06">
              <w:t xml:space="preserve">elaborazione Unioncamere E.R. su dati Prometeia, Scenari per le economie locali, </w:t>
            </w:r>
            <w:r>
              <w:t xml:space="preserve">ottobre </w:t>
            </w:r>
            <w:r>
              <w:fldChar w:fldCharType="begin"/>
            </w:r>
            <w:r>
              <w:instrText xml:space="preserve"> DATE  \@ "yyyy"  \* MERGEFORMAT </w:instrText>
            </w:r>
            <w:r>
              <w:fldChar w:fldCharType="separate"/>
            </w:r>
            <w:r w:rsidR="000545FF">
              <w:rPr>
                <w:noProof/>
              </w:rPr>
              <w:t>2020</w:t>
            </w:r>
            <w:r>
              <w:fldChar w:fldCharType="end"/>
            </w:r>
            <w:r w:rsidRPr="00B60C06">
              <w:t>..</w:t>
            </w:r>
            <w:r w:rsidRPr="0029075E">
              <w:t>.</w:t>
            </w:r>
          </w:p>
        </w:tc>
      </w:tr>
    </w:tbl>
    <w:p w14:paraId="04D3E1BA" w14:textId="3EF1833F" w:rsidR="007F7962" w:rsidRDefault="007F7962" w:rsidP="007F7962">
      <w:r>
        <w:t>La formazione del valore aggiunto: i settori</w:t>
      </w:r>
      <w:r>
        <w:t xml:space="preserve">. </w:t>
      </w:r>
      <w:proofErr w:type="gramStart"/>
      <w:r w:rsidRPr="00CD61C6">
        <w:t>Nel</w:t>
      </w:r>
      <w:proofErr w:type="gramEnd"/>
      <w:r w:rsidRPr="00CD61C6">
        <w:t xml:space="preserve"> 2020 l’industria in primo luogo e quindi le costruzioni accuseranno il colpo più duro, ma anche nei servizi la recessione sarà pesante. Nel 2021 la ripresa sarà solo parziale in tutti i settori, ma più pronta nell’industria. In dettaglio, i blocchi dell’attività connessi al lock down e lo sfasamento temporale della diffusione mondiale dalla pandemia, nonostante la ripresa in corso, condurranno a una caduta del 13,7 per cento del valore aggiunto dell’industria in senso stretto regionale nel 2020. La tendenza positiva riavviatasi con il terzo trimestre dovrebbe permettere una crescita sostenuta nel 2021 (+13,6 per cento) quando sarà l’attività industriale a trainare la ripresa. Ma al termine dell’anno </w:t>
      </w:r>
      <w:r w:rsidRPr="00CD61C6">
        <w:lastRenderedPageBreak/>
        <w:t xml:space="preserve">corrente, il valore aggiunto reale dell’industria risulterà inferiore del 7,7 per cento rispetto al precedente massimo del 2007. </w:t>
      </w:r>
    </w:p>
    <w:p w14:paraId="1D599F75" w14:textId="77777777" w:rsidR="007F7962" w:rsidRDefault="007F7962" w:rsidP="007F7962">
      <w:r w:rsidRPr="00CD61C6">
        <w:t xml:space="preserve">Anche il valore aggiunto delle costruzioni dovrebbe subire una caduta notevole nel 2020 (-11,3 per cento), ma nel 2021 la tendenza positiva riprenderà con decisione (+12,2 per cento), grazie anche alle misure di incentivazione adottate dal governo a sostegno del settore, della sicurezza sismica e della sostenibilità ambientale. Nonostante ciò, con questo nuovo duro colpo al termine del corrente anno il valore aggiunto delle costruzioni risulterà inferiore del 46,1 per cento rispetto agli eccessi del precedente massimo del 2007. </w:t>
      </w:r>
    </w:p>
    <w:p w14:paraId="34C345C6" w14:textId="12470547" w:rsidR="007F7962" w:rsidRDefault="007F7962" w:rsidP="007F7962">
      <w:r w:rsidRPr="00CD61C6">
        <w:t xml:space="preserve">Gli effetti negativi dello shock da coronavirus si faranno sentire più a lungo nel settore dei servizi. Nel 2020 il valore aggiunto subirà una riduzione più contenuta rispetto agli altri </w:t>
      </w:r>
      <w:proofErr w:type="gramStart"/>
      <w:r w:rsidRPr="00CD61C6">
        <w:t>macro-settori</w:t>
      </w:r>
      <w:proofErr w:type="gramEnd"/>
      <w:r w:rsidRPr="00CD61C6">
        <w:t xml:space="preserve"> (-8,7 per cento), ma la tendenza positiva che dovrebbe affacciarsi nuovamente nel 2021 non sarà forte come per gli altri settori (+4,4 per cento). Al termine dell’anno corrente il valore aggiunto dei servizi dovrebbe risultare inferiore del 5,5 per cento rispetto al precedente massimo toccato nel 2008.</w:t>
      </w:r>
    </w:p>
    <w:p w14:paraId="7A4BA54D" w14:textId="221D55B0" w:rsidR="0021718E" w:rsidRDefault="0021718E" w:rsidP="0089214E"/>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B54C7D" w14:paraId="55119AB6" w14:textId="77777777" w:rsidTr="00BB2D64">
        <w:trPr>
          <w:cantSplit/>
        </w:trPr>
        <w:tc>
          <w:tcPr>
            <w:tcW w:w="9356" w:type="dxa"/>
          </w:tcPr>
          <w:p w14:paraId="75EDEE30" w14:textId="77777777" w:rsidR="00B54C7D" w:rsidRDefault="00B54C7D" w:rsidP="00BB2D64">
            <w:pPr>
              <w:pStyle w:val="FigTitolo"/>
              <w:ind w:left="1134" w:hanging="1134"/>
            </w:pPr>
            <w:r>
              <w:t xml:space="preserve">Il quadro regionale, i </w:t>
            </w:r>
            <w:proofErr w:type="gramStart"/>
            <w:r>
              <w:t>settori :</w:t>
            </w:r>
            <w:proofErr w:type="gramEnd"/>
            <w:r>
              <w:t xml:space="preserve"> tassi di variazione e numeri indice del valore aggiunto (2000=100)</w:t>
            </w:r>
          </w:p>
          <w:p w14:paraId="43D79E34" w14:textId="77777777" w:rsidR="00B54C7D" w:rsidRDefault="00B54C7D" w:rsidP="00BB2D64">
            <w:pPr>
              <w:pStyle w:val="Figure"/>
            </w:pPr>
            <w:r w:rsidRPr="00AD0198">
              <w:rPr>
                <w:noProof/>
              </w:rPr>
              <w:drawing>
                <wp:inline distT="0" distB="0" distL="0" distR="0" wp14:anchorId="1F6924B1" wp14:editId="1FB15559">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1DCF78C" w14:textId="14F20942" w:rsidR="00B54C7D" w:rsidRDefault="00B54C7D" w:rsidP="00BB2D64">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ottobre </w:t>
            </w:r>
            <w:r>
              <w:fldChar w:fldCharType="begin"/>
            </w:r>
            <w:r>
              <w:instrText xml:space="preserve"> DATE  \@ "yyyy"  \* MERGEFORMAT </w:instrText>
            </w:r>
            <w:r>
              <w:fldChar w:fldCharType="separate"/>
            </w:r>
            <w:r w:rsidR="000545FF">
              <w:rPr>
                <w:noProof/>
              </w:rPr>
              <w:t>2020</w:t>
            </w:r>
            <w:r>
              <w:fldChar w:fldCharType="end"/>
            </w:r>
            <w:r w:rsidRPr="006F0EA1">
              <w:t>.</w:t>
            </w:r>
          </w:p>
        </w:tc>
      </w:tr>
    </w:tbl>
    <w:p w14:paraId="598107E5" w14:textId="72188317" w:rsidR="007F7962" w:rsidRDefault="007F7962" w:rsidP="007F7962">
      <w:r>
        <w:t>Il mercato del lavoro</w:t>
      </w:r>
      <w:r>
        <w:t xml:space="preserve">. </w:t>
      </w:r>
      <w:proofErr w:type="gramStart"/>
      <w:r>
        <w:t>In</w:t>
      </w:r>
      <w:proofErr w:type="gramEnd"/>
      <w:r>
        <w:t xml:space="preserve"> dettaglio, le forze di lavoro si ridurranno sensibilmente nel 2020 (-1,4 per cento), per effetto dell’uscita dal mercato del lavoro di lavoratori non occupabili e scoraggiati. Nel 2021 la crescita dovrebbe riprendere, ma compensando solo parzialmente la perdita subita (+0,9 per cento). Il tasso di attività, calcolato come quota sulla popolazione presente totale, si ridurrà al 47,9 per cento nel 2020, meno quanto stimato nell’edizione precedente, e si riprenderà parzialmente nel 2021 (48,2 per cento). La pandemia inciderà sensibilmente sull’occupazione, nonostante le misure di salvaguardia adottate, colpendo particolarmente i lavoratori non tutelati e con effetti protratti nel tempo. L’occupazione nel 2020 si ridurrà del 2,1 per cento e non avrà una ripresa sostanziale nel 2021 (+0,2 per cento). Il tasso di occupazione si ridurrà rapidamente nel 2020 al 44,9 per cento e non dovrebbe risalire nel 2021. A fine anno risulterà inferiore di 2,4 punti rispetto al precedente massimo risalente al 2002. Il tasso di disoccupazione era pari al 2,8 per cento nel 2007 </w:t>
      </w:r>
      <w:proofErr w:type="gramStart"/>
      <w:r>
        <w:t>e</w:t>
      </w:r>
      <w:proofErr w:type="gramEnd"/>
      <w:r>
        <w:t xml:space="preserve"> era salito all’8,4 per cento nel 2013. Le misure di sostegno all’occupazione conterranno nel tempo e nel livello gli effetti negativi della pandemia sul tasso di disoccupazione, che nel 2020 salirà al 6,2 per cento e nel 2021 dovrebbe giungere sino al 6,9 per cento il livello più elevato dal 2016.</w:t>
      </w:r>
    </w:p>
    <w:p w14:paraId="5A6D0CEA" w14:textId="77777777" w:rsidR="007F7962" w:rsidRDefault="007F7962" w:rsidP="0089214E"/>
    <w:sectPr w:rsidR="007F7962"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DCD2F" w14:textId="77777777" w:rsidR="0008381E" w:rsidRDefault="0008381E">
      <w:r>
        <w:separator/>
      </w:r>
    </w:p>
    <w:p w14:paraId="07755B98" w14:textId="77777777" w:rsidR="0008381E" w:rsidRDefault="0008381E"/>
  </w:endnote>
  <w:endnote w:type="continuationSeparator" w:id="0">
    <w:p w14:paraId="206038FE" w14:textId="77777777" w:rsidR="0008381E" w:rsidRDefault="0008381E">
      <w:r>
        <w:continuationSeparator/>
      </w:r>
    </w:p>
    <w:p w14:paraId="26772AE3" w14:textId="77777777" w:rsidR="0008381E" w:rsidRDefault="00083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6B8EB"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7230FFE9"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DB38"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6E2BC6F6"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8481" w14:textId="77777777" w:rsidR="0008381E" w:rsidRDefault="0008381E">
      <w:r>
        <w:separator/>
      </w:r>
    </w:p>
    <w:p w14:paraId="24F212F8" w14:textId="77777777" w:rsidR="0008381E" w:rsidRDefault="0008381E"/>
  </w:footnote>
  <w:footnote w:type="continuationSeparator" w:id="0">
    <w:p w14:paraId="0E19D32B" w14:textId="77777777" w:rsidR="0008381E" w:rsidRDefault="0008381E">
      <w:r>
        <w:continuationSeparator/>
      </w:r>
    </w:p>
    <w:p w14:paraId="0FC6BE9D" w14:textId="77777777" w:rsidR="0008381E" w:rsidRDefault="000838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545FF"/>
    <w:rsid w:val="00060534"/>
    <w:rsid w:val="00072096"/>
    <w:rsid w:val="0008381E"/>
    <w:rsid w:val="000954C7"/>
    <w:rsid w:val="000A136A"/>
    <w:rsid w:val="000A47C0"/>
    <w:rsid w:val="000A7ACE"/>
    <w:rsid w:val="000B711D"/>
    <w:rsid w:val="000C35DD"/>
    <w:rsid w:val="000C3780"/>
    <w:rsid w:val="000C5215"/>
    <w:rsid w:val="000C731A"/>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624CD"/>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7F7962"/>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029C8"/>
    <w:rsid w:val="00B141FF"/>
    <w:rsid w:val="00B16BA6"/>
    <w:rsid w:val="00B27432"/>
    <w:rsid w:val="00B300CF"/>
    <w:rsid w:val="00B33405"/>
    <w:rsid w:val="00B3596A"/>
    <w:rsid w:val="00B37865"/>
    <w:rsid w:val="00B510DE"/>
    <w:rsid w:val="00B54C7D"/>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06B8"/>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25517C"/>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7F796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7F7962"/>
    <w:pPr>
      <w:keepLines/>
      <w:spacing w:line="240" w:lineRule="auto"/>
      <w:ind w:firstLine="0"/>
      <w:jc w:val="right"/>
    </w:pPr>
    <w:rPr>
      <w:sz w:val="16"/>
      <w:szCs w:val="24"/>
    </w:rPr>
  </w:style>
  <w:style w:type="paragraph" w:customStyle="1" w:styleId="TabEtichetteBold">
    <w:name w:val="Tab Etichette Bold"/>
    <w:basedOn w:val="TabEtichette"/>
    <w:rsid w:val="007F7962"/>
    <w:rPr>
      <w:b/>
      <w:bCs/>
    </w:rPr>
  </w:style>
  <w:style w:type="paragraph" w:customStyle="1" w:styleId="tabetic">
    <w:name w:val="tab etic"/>
    <w:basedOn w:val="Normale"/>
    <w:qFormat/>
    <w:rsid w:val="007F7962"/>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CB0-4DD8-8198-A7628023F43F}"/>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CB0-4DD8-8198-A7628023F43F}"/>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CB0-4DD8-8198-A7628023F43F}"/>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2.391530279459575</c:v>
                </c:pt>
                <c:pt idx="1">
                  <c:v>-0.93204009612679606</c:v>
                </c:pt>
                <c:pt idx="2">
                  <c:v>-6.6972449348851271</c:v>
                </c:pt>
                <c:pt idx="3">
                  <c:v>2.2055064983735218</c:v>
                </c:pt>
                <c:pt idx="4">
                  <c:v>2.6405205145021426</c:v>
                </c:pt>
                <c:pt idx="5">
                  <c:v>-2.8586457435854418</c:v>
                </c:pt>
                <c:pt idx="6">
                  <c:v>-0.73800762952651588</c:v>
                </c:pt>
                <c:pt idx="7">
                  <c:v>1.0096462934914063</c:v>
                </c:pt>
                <c:pt idx="8">
                  <c:v>0.53568021273482369</c:v>
                </c:pt>
                <c:pt idx="9">
                  <c:v>1.6937762975938631</c:v>
                </c:pt>
                <c:pt idx="10">
                  <c:v>2.3152123305648642</c:v>
                </c:pt>
                <c:pt idx="11">
                  <c:v>1.7549174363135966</c:v>
                </c:pt>
                <c:pt idx="12">
                  <c:v>0.47045620561725343</c:v>
                </c:pt>
                <c:pt idx="13">
                  <c:v>-9.8729300216635174</c:v>
                </c:pt>
                <c:pt idx="14">
                  <c:v>7.0892371372192953</c:v>
                </c:pt>
              </c:numCache>
            </c:numRef>
          </c:val>
          <c:extLst>
            <c:ext xmlns:c16="http://schemas.microsoft.com/office/drawing/2014/chart" uri="{C3380CC4-5D6E-409C-BE32-E72D297353CC}">
              <c16:uniqueId val="{00000003-9CB0-4DD8-8198-A7628023F43F}"/>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1.487072980367854</c:v>
                </c:pt>
                <c:pt idx="1">
                  <c:v>-0.96201284057929604</c:v>
                </c:pt>
                <c:pt idx="2">
                  <c:v>-5.2809372082931016</c:v>
                </c:pt>
                <c:pt idx="3">
                  <c:v>1.7132958391692155</c:v>
                </c:pt>
                <c:pt idx="4">
                  <c:v>0.7073333470344334</c:v>
                </c:pt>
                <c:pt idx="5">
                  <c:v>-2.9809057682377071</c:v>
                </c:pt>
                <c:pt idx="6">
                  <c:v>-1.8410654508824953</c:v>
                </c:pt>
                <c:pt idx="7">
                  <c:v>-4.5475423638197121E-3</c:v>
                </c:pt>
                <c:pt idx="8">
                  <c:v>0.77830435071657433</c:v>
                </c:pt>
                <c:pt idx="9">
                  <c:v>1.293462731559103</c:v>
                </c:pt>
                <c:pt idx="10">
                  <c:v>1.6678590410685645</c:v>
                </c:pt>
                <c:pt idx="11">
                  <c:v>0.9440894685823098</c:v>
                </c:pt>
                <c:pt idx="12">
                  <c:v>0.34271899663109728</c:v>
                </c:pt>
                <c:pt idx="13">
                  <c:v>-9.6354480401803713</c:v>
                </c:pt>
                <c:pt idx="14">
                  <c:v>6.2494340630286693</c:v>
                </c:pt>
              </c:numCache>
            </c:numRef>
          </c:val>
          <c:extLst>
            <c:ext xmlns:c16="http://schemas.microsoft.com/office/drawing/2014/chart" uri="{C3380CC4-5D6E-409C-BE32-E72D297353CC}">
              <c16:uniqueId val="{00000004-9CB0-4DD8-8198-A7628023F43F}"/>
            </c:ext>
          </c:extLst>
        </c:ser>
        <c:dLbls>
          <c:showLegendKey val="0"/>
          <c:showVal val="0"/>
          <c:showCatName val="0"/>
          <c:showSerName val="0"/>
          <c:showPercent val="0"/>
          <c:showBubbleSize val="0"/>
        </c:dLbls>
        <c:gapWidth val="100"/>
        <c:axId val="351676928"/>
        <c:axId val="3319128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5-9CB0-4DD8-8198-A7628023F43F}"/>
                </c:ext>
              </c:extLst>
            </c:dLbl>
            <c:dLbl>
              <c:idx val="4"/>
              <c:delete val="1"/>
              <c:extLst>
                <c:ext xmlns:c15="http://schemas.microsoft.com/office/drawing/2012/chart" uri="{CE6537A1-D6FC-4f65-9D91-7224C49458BB}"/>
                <c:ext xmlns:c16="http://schemas.microsoft.com/office/drawing/2014/chart" uri="{C3380CC4-5D6E-409C-BE32-E72D297353CC}">
                  <c16:uniqueId val="{00000006-9CB0-4DD8-8198-A7628023F43F}"/>
                </c:ext>
              </c:extLst>
            </c:dLbl>
            <c:dLbl>
              <c:idx val="8"/>
              <c:delete val="1"/>
              <c:extLst>
                <c:ext xmlns:c15="http://schemas.microsoft.com/office/drawing/2012/chart" uri="{CE6537A1-D6FC-4f65-9D91-7224C49458BB}"/>
                <c:ext xmlns:c16="http://schemas.microsoft.com/office/drawing/2014/chart" uri="{C3380CC4-5D6E-409C-BE32-E72D297353CC}">
                  <c16:uniqueId val="{00000007-9CB0-4DD8-8198-A7628023F43F}"/>
                </c:ext>
              </c:extLst>
            </c:dLbl>
            <c:dLbl>
              <c:idx val="12"/>
              <c:delete val="1"/>
              <c:extLst>
                <c:ext xmlns:c15="http://schemas.microsoft.com/office/drawing/2012/chart" uri="{CE6537A1-D6FC-4f65-9D91-7224C49458BB}"/>
                <c:ext xmlns:c16="http://schemas.microsoft.com/office/drawing/2014/chart" uri="{C3380CC4-5D6E-409C-BE32-E72D297353CC}">
                  <c16:uniqueId val="{00000008-9CB0-4DD8-8198-A7628023F43F}"/>
                </c:ext>
              </c:extLst>
            </c:dLbl>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CB0-4DD8-8198-A7628023F43F}"/>
                </c:ext>
              </c:extLst>
            </c:dLbl>
            <c:dLbl>
              <c:idx val="14"/>
              <c:delete val="1"/>
              <c:extLst>
                <c:ext xmlns:c15="http://schemas.microsoft.com/office/drawing/2012/chart" uri="{CE6537A1-D6FC-4f65-9D91-7224C49458BB}"/>
                <c:ext xmlns:c16="http://schemas.microsoft.com/office/drawing/2014/chart" uri="{C3380CC4-5D6E-409C-BE32-E72D297353CC}">
                  <c16:uniqueId val="{0000000A-9CB0-4DD8-8198-A7628023F43F}"/>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CB0-4DD8-8198-A7628023F43F}"/>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CB0-4DD8-8198-A7628023F43F}"/>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CB0-4DD8-8198-A7628023F43F}"/>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110.35138435852645</c:v>
                </c:pt>
                <c:pt idx="1">
                  <c:v>109.32286520967401</c:v>
                </c:pt>
                <c:pt idx="2">
                  <c:v>102.00124515674781</c:v>
                </c:pt>
                <c:pt idx="3">
                  <c:v>104.25088924710178</c:v>
                </c:pt>
                <c:pt idx="4">
                  <c:v>107.00365536422241</c:v>
                </c:pt>
                <c:pt idx="5">
                  <c:v>103.94479992467222</c:v>
                </c:pt>
                <c:pt idx="6">
                  <c:v>103.17767937073208</c:v>
                </c:pt>
                <c:pt idx="7">
                  <c:v>104.21940898620912</c:v>
                </c:pt>
                <c:pt idx="8">
                  <c:v>104.77769173797742</c:v>
                </c:pt>
                <c:pt idx="9">
                  <c:v>106.55239144580126</c:v>
                </c:pt>
                <c:pt idx="10">
                  <c:v>109.01930555106618</c:v>
                </c:pt>
                <c:pt idx="11">
                  <c:v>110.93250435312983</c:v>
                </c:pt>
                <c:pt idx="12">
                  <c:v>111.45439320390575</c:v>
                </c:pt>
                <c:pt idx="13">
                  <c:v>100.45057895681444</c:v>
                </c:pt>
                <c:pt idx="14">
                  <c:v>107.57175870477273</c:v>
                </c:pt>
              </c:numCache>
            </c:numRef>
          </c:val>
          <c:smooth val="0"/>
          <c:extLst>
            <c:ext xmlns:c16="http://schemas.microsoft.com/office/drawing/2014/chart" uri="{C3380CC4-5D6E-409C-BE32-E72D297353CC}">
              <c16:uniqueId val="{0000000E-9CB0-4DD8-8198-A7628023F43F}"/>
            </c:ext>
          </c:extLst>
        </c:ser>
        <c:ser>
          <c:idx val="1"/>
          <c:order val="1"/>
          <c:tx>
            <c:strRef>
              <c:f>Foglio1!$C$1</c:f>
              <c:strCache>
                <c:ptCount val="1"/>
                <c:pt idx="0">
                  <c:v>Ita</c:v>
                </c:pt>
              </c:strCache>
            </c:strRef>
          </c:tx>
          <c:spPr>
            <a:ln w="34925">
              <a:solidFill>
                <a:srgbClr val="376092"/>
              </a:solidFill>
            </a:ln>
          </c:spPr>
          <c:marker>
            <c:symbol val="none"/>
          </c:marker>
          <c:dLbls>
            <c:dLbl>
              <c:idx val="4"/>
              <c:delete val="1"/>
              <c:extLst>
                <c:ext xmlns:c15="http://schemas.microsoft.com/office/drawing/2012/chart" uri="{CE6537A1-D6FC-4f65-9D91-7224C49458BB}"/>
                <c:ext xmlns:c16="http://schemas.microsoft.com/office/drawing/2014/chart" uri="{C3380CC4-5D6E-409C-BE32-E72D297353CC}">
                  <c16:uniqueId val="{0000000F-9CB0-4DD8-8198-A7628023F43F}"/>
                </c:ext>
              </c:extLst>
            </c:dLbl>
            <c:dLbl>
              <c:idx val="8"/>
              <c:delete val="1"/>
              <c:extLst>
                <c:ext xmlns:c15="http://schemas.microsoft.com/office/drawing/2012/chart" uri="{CE6537A1-D6FC-4f65-9D91-7224C49458BB}"/>
                <c:ext xmlns:c16="http://schemas.microsoft.com/office/drawing/2014/chart" uri="{C3380CC4-5D6E-409C-BE32-E72D297353CC}">
                  <c16:uniqueId val="{00000010-9CB0-4DD8-8198-A7628023F43F}"/>
                </c:ext>
              </c:extLst>
            </c:dLbl>
            <c:dLbl>
              <c:idx val="12"/>
              <c:delete val="1"/>
              <c:extLst>
                <c:ext xmlns:c15="http://schemas.microsoft.com/office/drawing/2012/chart" uri="{CE6537A1-D6FC-4f65-9D91-7224C49458BB}"/>
                <c:ext xmlns:c16="http://schemas.microsoft.com/office/drawing/2014/chart" uri="{C3380CC4-5D6E-409C-BE32-E72D297353CC}">
                  <c16:uniqueId val="{00000011-9CB0-4DD8-8198-A7628023F43F}"/>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9CB0-4DD8-8198-A7628023F43F}"/>
                </c:ext>
              </c:extLst>
            </c:dLbl>
            <c:dLbl>
              <c:idx val="14"/>
              <c:delete val="1"/>
              <c:extLst>
                <c:ext xmlns:c15="http://schemas.microsoft.com/office/drawing/2012/chart" uri="{CE6537A1-D6FC-4f65-9D91-7224C49458BB}"/>
                <c:ext xmlns:c16="http://schemas.microsoft.com/office/drawing/2014/chart" uri="{C3380CC4-5D6E-409C-BE32-E72D297353CC}">
                  <c16:uniqueId val="{00000013-9CB0-4DD8-8198-A7628023F43F}"/>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108.11629677456659</c:v>
                </c:pt>
                <c:pt idx="1">
                  <c:v>107.07620411683644</c:v>
                </c:pt>
                <c:pt idx="2">
                  <c:v>101.42157701240255</c:v>
                </c:pt>
                <c:pt idx="3">
                  <c:v>103.15922867137584</c:v>
                </c:pt>
                <c:pt idx="4">
                  <c:v>103.888908296312</c:v>
                </c:pt>
                <c:pt idx="5">
                  <c:v>100.79207783634804</c:v>
                </c:pt>
                <c:pt idx="6">
                  <c:v>98.936429714076453</c:v>
                </c:pt>
                <c:pt idx="7">
                  <c:v>98.931930538021959</c:v>
                </c:pt>
                <c:pt idx="8">
                  <c:v>99.70192205764728</c:v>
                </c:pt>
                <c:pt idx="9">
                  <c:v>100.99152926211103</c:v>
                </c:pt>
                <c:pt idx="10">
                  <c:v>102.67592561362257</c:v>
                </c:pt>
                <c:pt idx="11">
                  <c:v>103.64527821411019</c:v>
                </c:pt>
                <c:pt idx="12">
                  <c:v>104.00049027166109</c:v>
                </c:pt>
                <c:pt idx="13">
                  <c:v>93.97957707000235</c:v>
                </c:pt>
                <c:pt idx="14">
                  <c:v>99.852768771705342</c:v>
                </c:pt>
              </c:numCache>
            </c:numRef>
          </c:val>
          <c:smooth val="0"/>
          <c:extLst>
            <c:ext xmlns:c16="http://schemas.microsoft.com/office/drawing/2014/chart" uri="{C3380CC4-5D6E-409C-BE32-E72D297353CC}">
              <c16:uniqueId val="{00000014-9CB0-4DD8-8198-A7628023F43F}"/>
            </c:ext>
          </c:extLst>
        </c:ser>
        <c:dLbls>
          <c:showLegendKey val="0"/>
          <c:showVal val="0"/>
          <c:showCatName val="0"/>
          <c:showSerName val="0"/>
          <c:showPercent val="0"/>
          <c:showBubbleSize val="0"/>
        </c:dLbls>
        <c:marker val="1"/>
        <c:smooth val="0"/>
        <c:axId val="351676416"/>
        <c:axId val="331911104"/>
      </c:lineChart>
      <c:catAx>
        <c:axId val="351676416"/>
        <c:scaling>
          <c:orientation val="minMax"/>
        </c:scaling>
        <c:delete val="0"/>
        <c:axPos val="b"/>
        <c:numFmt formatCode="General" sourceLinked="1"/>
        <c:majorTickMark val="out"/>
        <c:minorTickMark val="none"/>
        <c:tickLblPos val="nextTo"/>
        <c:crossAx val="331911104"/>
        <c:crosses val="autoZero"/>
        <c:auto val="1"/>
        <c:lblAlgn val="ctr"/>
        <c:lblOffset val="100"/>
        <c:noMultiLvlLbl val="0"/>
      </c:catAx>
      <c:valAx>
        <c:axId val="331911104"/>
        <c:scaling>
          <c:orientation val="minMax"/>
          <c:min val="91"/>
        </c:scaling>
        <c:delete val="0"/>
        <c:axPos val="l"/>
        <c:majorGridlines>
          <c:spPr>
            <a:ln w="9525">
              <a:prstDash val="dash"/>
            </a:ln>
          </c:spPr>
        </c:majorGridlines>
        <c:numFmt formatCode="0" sourceLinked="0"/>
        <c:majorTickMark val="out"/>
        <c:minorTickMark val="none"/>
        <c:tickLblPos val="nextTo"/>
        <c:crossAx val="351676416"/>
        <c:crosses val="autoZero"/>
        <c:crossBetween val="between"/>
        <c:majorUnit val="3"/>
      </c:valAx>
      <c:valAx>
        <c:axId val="331912832"/>
        <c:scaling>
          <c:orientation val="minMax"/>
        </c:scaling>
        <c:delete val="0"/>
        <c:axPos val="r"/>
        <c:numFmt formatCode="0.0" sourceLinked="1"/>
        <c:majorTickMark val="out"/>
        <c:minorTickMark val="none"/>
        <c:tickLblPos val="nextTo"/>
        <c:crossAx val="351676928"/>
        <c:crosses val="max"/>
        <c:crossBetween val="between"/>
        <c:majorUnit val="4"/>
      </c:valAx>
      <c:catAx>
        <c:axId val="351676928"/>
        <c:scaling>
          <c:orientation val="minMax"/>
        </c:scaling>
        <c:delete val="0"/>
        <c:axPos val="b"/>
        <c:numFmt formatCode="General" sourceLinked="1"/>
        <c:majorTickMark val="none"/>
        <c:minorTickMark val="none"/>
        <c:tickLblPos val="none"/>
        <c:crossAx val="3319128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23170034529807684"/>
          <c:y val="0.7302313058900201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4.1564230792923595</c:v>
                </c:pt>
                <c:pt idx="1">
                  <c:v>-2.2213679303614842</c:v>
                </c:pt>
                <c:pt idx="2">
                  <c:v>-20.000824821632314</c:v>
                </c:pt>
                <c:pt idx="3">
                  <c:v>13.716581491499081</c:v>
                </c:pt>
                <c:pt idx="4">
                  <c:v>4.7869318181818166</c:v>
                </c:pt>
                <c:pt idx="5">
                  <c:v>-4.1165900916880886</c:v>
                </c:pt>
                <c:pt idx="6">
                  <c:v>1.2817119171233848</c:v>
                </c:pt>
                <c:pt idx="7">
                  <c:v>1.575850813912405</c:v>
                </c:pt>
                <c:pt idx="8">
                  <c:v>2.2572241406028315</c:v>
                </c:pt>
                <c:pt idx="9">
                  <c:v>3.5364120629165496</c:v>
                </c:pt>
                <c:pt idx="10">
                  <c:v>4.6788050847691887</c:v>
                </c:pt>
                <c:pt idx="11">
                  <c:v>5.3176024883720308</c:v>
                </c:pt>
                <c:pt idx="12">
                  <c:v>-0.32475667281848253</c:v>
                </c:pt>
                <c:pt idx="13">
                  <c:v>-13.730029919303878</c:v>
                </c:pt>
                <c:pt idx="14">
                  <c:v>13.611012094798959</c:v>
                </c:pt>
              </c:numCache>
            </c:numRef>
          </c:val>
          <c:extLst>
            <c:ext xmlns:c16="http://schemas.microsoft.com/office/drawing/2014/chart" uri="{C3380CC4-5D6E-409C-BE32-E72D297353CC}">
              <c16:uniqueId val="{00000000-71E3-4F53-AAEB-2FDD339F7BB5}"/>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Foglio1!$F$2:$F$16</c:f>
              <c:numCache>
                <c:formatCode>0.0</c:formatCode>
                <c:ptCount val="15"/>
                <c:pt idx="0">
                  <c:v>0.59272696591290419</c:v>
                </c:pt>
                <c:pt idx="1">
                  <c:v>-5.4949778774979414</c:v>
                </c:pt>
                <c:pt idx="2">
                  <c:v>-8.4926278886583777</c:v>
                </c:pt>
                <c:pt idx="3">
                  <c:v>-9.9221648359642209</c:v>
                </c:pt>
                <c:pt idx="4">
                  <c:v>-6.0472691054940908</c:v>
                </c:pt>
                <c:pt idx="5">
                  <c:v>-9.5609197048921892</c:v>
                </c:pt>
                <c:pt idx="6">
                  <c:v>-4.7773676957437727</c:v>
                </c:pt>
                <c:pt idx="7">
                  <c:v>-10.380104799134992</c:v>
                </c:pt>
                <c:pt idx="8">
                  <c:v>-3.3373549883990772</c:v>
                </c:pt>
                <c:pt idx="9">
                  <c:v>3.1261401386408538</c:v>
                </c:pt>
                <c:pt idx="10">
                  <c:v>1.1972814449306535</c:v>
                </c:pt>
                <c:pt idx="11">
                  <c:v>4.3203061750202387</c:v>
                </c:pt>
                <c:pt idx="12">
                  <c:v>2.2371307447984989</c:v>
                </c:pt>
                <c:pt idx="13">
                  <c:v>-11.269100565408074</c:v>
                </c:pt>
                <c:pt idx="14">
                  <c:v>12.16930412902979</c:v>
                </c:pt>
              </c:numCache>
            </c:numRef>
          </c:val>
          <c:extLst>
            <c:ext xmlns:c16="http://schemas.microsoft.com/office/drawing/2014/chart" uri="{C3380CC4-5D6E-409C-BE32-E72D297353CC}">
              <c16:uniqueId val="{00000001-71E3-4F53-AAEB-2FDD339F7BB5}"/>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Foglio1!$G$2:$G$16</c:f>
              <c:numCache>
                <c:formatCode>0.0</c:formatCode>
                <c:ptCount val="15"/>
                <c:pt idx="0">
                  <c:v>2.0536510105374495</c:v>
                </c:pt>
                <c:pt idx="1">
                  <c:v>0.25126352190103507</c:v>
                </c:pt>
                <c:pt idx="2">
                  <c:v>-2.0110402683450768</c:v>
                </c:pt>
                <c:pt idx="3">
                  <c:v>-0.28601504879179895</c:v>
                </c:pt>
                <c:pt idx="4">
                  <c:v>2.3518243186668286</c:v>
                </c:pt>
                <c:pt idx="5">
                  <c:v>-1.3586611052580966</c:v>
                </c:pt>
                <c:pt idx="6">
                  <c:v>-0.91204861270658411</c:v>
                </c:pt>
                <c:pt idx="7">
                  <c:v>1.5647992001257771</c:v>
                </c:pt>
                <c:pt idx="8">
                  <c:v>0.27450683427359124</c:v>
                </c:pt>
                <c:pt idx="9">
                  <c:v>0.86113551278874656</c:v>
                </c:pt>
                <c:pt idx="10">
                  <c:v>1.6318117404560573</c:v>
                </c:pt>
                <c:pt idx="11">
                  <c:v>0.49750111861912583</c:v>
                </c:pt>
                <c:pt idx="12">
                  <c:v>0.8894647020863955</c:v>
                </c:pt>
                <c:pt idx="13">
                  <c:v>-8.670599554719038</c:v>
                </c:pt>
                <c:pt idx="14">
                  <c:v>4.3991044397486023</c:v>
                </c:pt>
              </c:numCache>
            </c:numRef>
          </c:val>
          <c:extLst>
            <c:ext xmlns:c16="http://schemas.microsoft.com/office/drawing/2014/chart" uri="{C3380CC4-5D6E-409C-BE32-E72D297353CC}">
              <c16:uniqueId val="{00000002-71E3-4F53-AAEB-2FDD339F7BB5}"/>
            </c:ext>
          </c:extLst>
        </c:ser>
        <c:dLbls>
          <c:showLegendKey val="0"/>
          <c:showVal val="0"/>
          <c:showCatName val="0"/>
          <c:showSerName val="0"/>
          <c:showPercent val="0"/>
          <c:showBubbleSize val="0"/>
        </c:dLbls>
        <c:gapWidth val="100"/>
        <c:axId val="352104448"/>
        <c:axId val="330173248"/>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3-71E3-4F53-AAEB-2FDD339F7BB5}"/>
                </c:ext>
              </c:extLst>
            </c:dLbl>
            <c:dLbl>
              <c:idx val="2"/>
              <c:delete val="1"/>
              <c:extLst>
                <c:ext xmlns:c15="http://schemas.microsoft.com/office/drawing/2012/chart" uri="{CE6537A1-D6FC-4f65-9D91-7224C49458BB}"/>
                <c:ext xmlns:c16="http://schemas.microsoft.com/office/drawing/2014/chart" uri="{C3380CC4-5D6E-409C-BE32-E72D297353CC}">
                  <c16:uniqueId val="{00000004-71E3-4F53-AAEB-2FDD339F7BB5}"/>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1E3-4F53-AAEB-2FDD339F7BB5}"/>
                </c:ext>
              </c:extLst>
            </c:dLbl>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113.91219667552704</c:v>
                </c:pt>
                <c:pt idx="1">
                  <c:v>111.38178766980658</c:v>
                </c:pt>
                <c:pt idx="2">
                  <c:v>89.104511434766096</c:v>
                </c:pt>
                <c:pt idx="3">
                  <c:v>101.32660435831792</c:v>
                </c:pt>
                <c:pt idx="4">
                  <c:v>106.17703982262945</c:v>
                </c:pt>
                <c:pt idx="5">
                  <c:v>101.80616632164337</c:v>
                </c:pt>
                <c:pt idx="6">
                  <c:v>103.11102808775432</c:v>
                </c:pt>
                <c:pt idx="7">
                  <c:v>104.73590406310866</c:v>
                </c:pt>
                <c:pt idx="8">
                  <c:v>107.10002817349978</c:v>
                </c:pt>
                <c:pt idx="9">
                  <c:v>110.88752648921445</c:v>
                </c:pt>
                <c:pt idx="10">
                  <c:v>116.07573771696659</c:v>
                </c:pt>
                <c:pt idx="11">
                  <c:v>122.24818403420018</c:v>
                </c:pt>
                <c:pt idx="12">
                  <c:v>121.8511748991497</c:v>
                </c:pt>
                <c:pt idx="13">
                  <c:v>105.12097212847316</c:v>
                </c:pt>
                <c:pt idx="14">
                  <c:v>119.42900035904987</c:v>
                </c:pt>
              </c:numCache>
            </c:numRef>
          </c:val>
          <c:smooth val="0"/>
          <c:extLst>
            <c:ext xmlns:c16="http://schemas.microsoft.com/office/drawing/2014/chart" uri="{C3380CC4-5D6E-409C-BE32-E72D297353CC}">
              <c16:uniqueId val="{00000006-71E3-4F53-AAEB-2FDD339F7BB5}"/>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1E3-4F53-AAEB-2FDD339F7BB5}"/>
                </c:ext>
              </c:extLst>
            </c:dLbl>
            <c:dLbl>
              <c:idx val="1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1E3-4F53-AAEB-2FDD339F7BB5}"/>
                </c:ext>
              </c:extLst>
            </c:dLbl>
            <c:spPr>
              <a:noFill/>
              <a:ln>
                <a:noFill/>
              </a:ln>
              <a:effectLst/>
            </c:spPr>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137.16940157910631</c:v>
                </c:pt>
                <c:pt idx="1">
                  <c:v>129.63197330763811</c:v>
                </c:pt>
                <c:pt idx="2">
                  <c:v>118.62281218989546</c:v>
                </c:pt>
                <c:pt idx="3">
                  <c:v>106.85286123135776</c:v>
                </c:pt>
                <c:pt idx="4">
                  <c:v>100.3911811657774</c:v>
                </c:pt>
                <c:pt idx="5">
                  <c:v>90.792860943724563</c:v>
                </c:pt>
                <c:pt idx="6">
                  <c:v>86.455352134957494</c:v>
                </c:pt>
                <c:pt idx="7">
                  <c:v>77.481195978887726</c:v>
                </c:pt>
                <c:pt idx="8">
                  <c:v>74.895373419815044</c:v>
                </c:pt>
                <c:pt idx="9">
                  <c:v>77.23670775027685</c:v>
                </c:pt>
                <c:pt idx="10">
                  <c:v>78.161448520846221</c:v>
                </c:pt>
                <c:pt idx="11">
                  <c:v>81.538262407777594</c:v>
                </c:pt>
                <c:pt idx="12">
                  <c:v>83.362379944876466</c:v>
                </c:pt>
                <c:pt idx="13">
                  <c:v>73.968189515170764</c:v>
                </c:pt>
                <c:pt idx="14">
                  <c:v>82.96960345600904</c:v>
                </c:pt>
              </c:numCache>
            </c:numRef>
          </c:val>
          <c:smooth val="0"/>
          <c:extLst>
            <c:ext xmlns:c16="http://schemas.microsoft.com/office/drawing/2014/chart" uri="{C3380CC4-5D6E-409C-BE32-E72D297353CC}">
              <c16:uniqueId val="{00000009-71E3-4F53-AAEB-2FDD339F7BB5}"/>
            </c:ext>
          </c:extLst>
        </c:ser>
        <c:ser>
          <c:idx val="2"/>
          <c:order val="2"/>
          <c:tx>
            <c:strRef>
              <c:f>Foglio1!$D$1</c:f>
              <c:strCache>
                <c:ptCount val="1"/>
                <c:pt idx="0">
                  <c:v>Servizi-i</c:v>
                </c:pt>
              </c:strCache>
            </c:strRef>
          </c:tx>
          <c:spPr>
            <a:ln w="34925">
              <a:solidFill>
                <a:srgbClr val="99CCFF"/>
              </a:solidFill>
            </a:ln>
          </c:spPr>
          <c:marker>
            <c:symbol val="none"/>
          </c:marker>
          <c:dLbls>
            <c:dLbl>
              <c:idx val="2"/>
              <c:delete val="1"/>
              <c:extLst>
                <c:ext xmlns:c15="http://schemas.microsoft.com/office/drawing/2012/chart" uri="{CE6537A1-D6FC-4f65-9D91-7224C49458BB}"/>
                <c:ext xmlns:c16="http://schemas.microsoft.com/office/drawing/2014/chart" uri="{C3380CC4-5D6E-409C-BE32-E72D297353CC}">
                  <c16:uniqueId val="{0000000A-71E3-4F53-AAEB-2FDD339F7BB5}"/>
                </c:ext>
              </c:extLst>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1E3-4F53-AAEB-2FDD339F7BB5}"/>
                </c:ext>
              </c:extLst>
            </c:dLbl>
            <c:spPr>
              <a:noFill/>
              <a:ln>
                <a:noFill/>
              </a:ln>
              <a:effectLst/>
            </c:sp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108.89542785002016</c:v>
                </c:pt>
                <c:pt idx="1">
                  <c:v>109.16904233722532</c:v>
                </c:pt>
                <c:pt idx="2">
                  <c:v>106.97360893525703</c:v>
                </c:pt>
                <c:pt idx="3">
                  <c:v>106.66764831546652</c:v>
                </c:pt>
                <c:pt idx="4">
                  <c:v>109.17628400869965</c:v>
                </c:pt>
                <c:pt idx="5">
                  <c:v>107.69294830170735</c:v>
                </c:pt>
                <c:pt idx="6">
                  <c:v>106.7107362607388</c:v>
                </c:pt>
                <c:pt idx="7">
                  <c:v>108.38054500819516</c:v>
                </c:pt>
                <c:pt idx="8">
                  <c:v>108.67805701126562</c:v>
                </c:pt>
                <c:pt idx="9">
                  <c:v>109.61392235479845</c:v>
                </c:pt>
                <c:pt idx="10">
                  <c:v>111.40261520895842</c:v>
                </c:pt>
                <c:pt idx="11">
                  <c:v>111.95684446579396</c:v>
                </c:pt>
                <c:pt idx="12">
                  <c:v>112.95266107888698</c:v>
                </c:pt>
                <c:pt idx="13">
                  <c:v>103.15898815033769</c:v>
                </c:pt>
                <c:pt idx="14">
                  <c:v>107.69705977805893</c:v>
                </c:pt>
              </c:numCache>
            </c:numRef>
          </c:val>
          <c:smooth val="0"/>
          <c:extLst>
            <c:ext xmlns:c16="http://schemas.microsoft.com/office/drawing/2014/chart" uri="{C3380CC4-5D6E-409C-BE32-E72D297353CC}">
              <c16:uniqueId val="{0000000C-71E3-4F53-AAEB-2FDD339F7BB5}"/>
            </c:ext>
          </c:extLst>
        </c:ser>
        <c:dLbls>
          <c:showLegendKey val="0"/>
          <c:showVal val="0"/>
          <c:showCatName val="0"/>
          <c:showSerName val="0"/>
          <c:showPercent val="0"/>
          <c:showBubbleSize val="0"/>
        </c:dLbls>
        <c:marker val="1"/>
        <c:smooth val="0"/>
        <c:axId val="351677952"/>
        <c:axId val="330172672"/>
      </c:lineChart>
      <c:catAx>
        <c:axId val="351677952"/>
        <c:scaling>
          <c:orientation val="minMax"/>
        </c:scaling>
        <c:delete val="0"/>
        <c:axPos val="b"/>
        <c:majorGridlines>
          <c:spPr>
            <a:ln w="3175"/>
          </c:spPr>
        </c:majorGridlines>
        <c:numFmt formatCode="0" sourceLinked="0"/>
        <c:majorTickMark val="out"/>
        <c:minorTickMark val="none"/>
        <c:tickLblPos val="low"/>
        <c:spPr>
          <a:ln w="3175">
            <a:solidFill>
              <a:schemeClr val="tx1"/>
            </a:solidFill>
          </a:ln>
        </c:spPr>
        <c:crossAx val="330172672"/>
        <c:crossesAt val="100"/>
        <c:auto val="1"/>
        <c:lblAlgn val="ctr"/>
        <c:lblOffset val="100"/>
        <c:noMultiLvlLbl val="0"/>
      </c:catAx>
      <c:valAx>
        <c:axId val="330172672"/>
        <c:scaling>
          <c:orientation val="minMax"/>
          <c:max val="140"/>
          <c:min val="70"/>
        </c:scaling>
        <c:delete val="0"/>
        <c:axPos val="l"/>
        <c:numFmt formatCode="0" sourceLinked="0"/>
        <c:majorTickMark val="out"/>
        <c:minorTickMark val="none"/>
        <c:tickLblPos val="nextTo"/>
        <c:crossAx val="351677952"/>
        <c:crossesAt val="1"/>
        <c:crossBetween val="between"/>
        <c:majorUnit val="10"/>
        <c:minorUnit val="5"/>
      </c:valAx>
      <c:valAx>
        <c:axId val="330173248"/>
        <c:scaling>
          <c:orientation val="minMax"/>
        </c:scaling>
        <c:delete val="0"/>
        <c:axPos val="r"/>
        <c:numFmt formatCode="0_ ;[Red]\-0\ " sourceLinked="0"/>
        <c:majorTickMark val="out"/>
        <c:minorTickMark val="none"/>
        <c:tickLblPos val="nextTo"/>
        <c:crossAx val="352104448"/>
        <c:crosses val="max"/>
        <c:crossBetween val="between"/>
      </c:valAx>
      <c:catAx>
        <c:axId val="352104448"/>
        <c:scaling>
          <c:orientation val="minMax"/>
        </c:scaling>
        <c:delete val="0"/>
        <c:axPos val="b"/>
        <c:numFmt formatCode="General" sourceLinked="1"/>
        <c:majorTickMark val="none"/>
        <c:minorTickMark val="none"/>
        <c:tickLblPos val="none"/>
        <c:crossAx val="330173248"/>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TotalTime>
  <Pages>7</Pages>
  <Words>3886</Words>
  <Characters>22152</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5</cp:revision>
  <cp:lastPrinted>2012-03-30T09:15:00Z</cp:lastPrinted>
  <dcterms:created xsi:type="dcterms:W3CDTF">2020-12-18T14:30:00Z</dcterms:created>
  <dcterms:modified xsi:type="dcterms:W3CDTF">2020-12-18T14:37:00Z</dcterms:modified>
</cp:coreProperties>
</file>