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587EC" w14:textId="2C000B7B" w:rsidR="00541FB1" w:rsidRDefault="008E7A1C" w:rsidP="00072096">
      <w:pPr>
        <w:pStyle w:val="Titolo1"/>
      </w:pPr>
      <w:r>
        <w:t>S</w:t>
      </w:r>
      <w:r w:rsidR="00072096">
        <w:t>cenario economico</w:t>
      </w:r>
    </w:p>
    <w:tbl>
      <w:tblPr>
        <w:tblpPr w:topFromText="284" w:bottomFromText="284" w:horzAnchor="margin" w:tblpXSpec="center" w:tblpYSpec="bottom"/>
        <w:tblOverlap w:val="never"/>
        <w:tblW w:w="9358" w:type="dxa"/>
        <w:tblLayout w:type="fixed"/>
        <w:tblCellMar>
          <w:left w:w="0" w:type="dxa"/>
          <w:right w:w="0" w:type="dxa"/>
        </w:tblCellMar>
        <w:tblLook w:val="0000" w:firstRow="0" w:lastRow="0" w:firstColumn="0" w:lastColumn="0" w:noHBand="0" w:noVBand="0"/>
      </w:tblPr>
      <w:tblGrid>
        <w:gridCol w:w="3402"/>
        <w:gridCol w:w="510"/>
        <w:gridCol w:w="510"/>
        <w:gridCol w:w="510"/>
        <w:gridCol w:w="340"/>
        <w:gridCol w:w="2552"/>
        <w:gridCol w:w="510"/>
        <w:gridCol w:w="510"/>
        <w:gridCol w:w="514"/>
      </w:tblGrid>
      <w:tr w:rsidR="00BE6A5D" w:rsidRPr="00BC2A0C" w14:paraId="229904F9" w14:textId="77777777" w:rsidTr="0086771F">
        <w:trPr>
          <w:cantSplit/>
        </w:trPr>
        <w:tc>
          <w:tcPr>
            <w:tcW w:w="9358" w:type="dxa"/>
            <w:gridSpan w:val="9"/>
            <w:tcBorders>
              <w:bottom w:val="single" w:sz="4" w:space="0" w:color="800000"/>
            </w:tcBorders>
          </w:tcPr>
          <w:p w14:paraId="0A59658A" w14:textId="77777777" w:rsidR="00BE6A5D" w:rsidRPr="00BC2A0C" w:rsidRDefault="00BE6A5D" w:rsidP="0086771F">
            <w:pPr>
              <w:pStyle w:val="TabTitolo"/>
            </w:pPr>
            <w:r w:rsidRPr="007C3BBD">
              <w:t>La previsione del Fondo Monetario Internazionale (a)(b)</w:t>
            </w:r>
          </w:p>
        </w:tc>
      </w:tr>
      <w:tr w:rsidR="00BE6A5D" w:rsidRPr="003234B1" w14:paraId="0F539BE3" w14:textId="77777777" w:rsidTr="0086771F">
        <w:trPr>
          <w:cantSplit/>
        </w:trPr>
        <w:tc>
          <w:tcPr>
            <w:tcW w:w="3402" w:type="dxa"/>
            <w:tcBorders>
              <w:top w:val="single" w:sz="4" w:space="0" w:color="800000"/>
              <w:bottom w:val="single" w:sz="4" w:space="0" w:color="800000"/>
            </w:tcBorders>
          </w:tcPr>
          <w:p w14:paraId="636093E1" w14:textId="77777777" w:rsidR="00BE6A5D" w:rsidRPr="00BC2A0C" w:rsidRDefault="00BE6A5D" w:rsidP="0086771F">
            <w:pPr>
              <w:pStyle w:val="TabIntestazioni"/>
            </w:pPr>
          </w:p>
        </w:tc>
        <w:tc>
          <w:tcPr>
            <w:tcW w:w="510" w:type="dxa"/>
            <w:tcBorders>
              <w:top w:val="single" w:sz="4" w:space="0" w:color="800000"/>
              <w:bottom w:val="single" w:sz="4" w:space="0" w:color="800000"/>
            </w:tcBorders>
          </w:tcPr>
          <w:p w14:paraId="0B160D43" w14:textId="77777777" w:rsidR="00BE6A5D" w:rsidRPr="003234B1" w:rsidRDefault="00BE6A5D" w:rsidP="0086771F">
            <w:pPr>
              <w:pStyle w:val="TabIntestazioni"/>
            </w:pPr>
            <w:r>
              <w:t>2020</w:t>
            </w:r>
          </w:p>
        </w:tc>
        <w:tc>
          <w:tcPr>
            <w:tcW w:w="510" w:type="dxa"/>
            <w:tcBorders>
              <w:top w:val="single" w:sz="4" w:space="0" w:color="800000"/>
              <w:bottom w:val="single" w:sz="4" w:space="0" w:color="800000"/>
            </w:tcBorders>
          </w:tcPr>
          <w:p w14:paraId="680773BE" w14:textId="77777777" w:rsidR="00BE6A5D" w:rsidRPr="003234B1" w:rsidRDefault="00BE6A5D" w:rsidP="0086771F">
            <w:pPr>
              <w:pStyle w:val="TabIntestazioni"/>
            </w:pPr>
            <w:r>
              <w:t>2021</w:t>
            </w:r>
          </w:p>
        </w:tc>
        <w:tc>
          <w:tcPr>
            <w:tcW w:w="510" w:type="dxa"/>
            <w:tcBorders>
              <w:top w:val="single" w:sz="4" w:space="0" w:color="800000"/>
              <w:bottom w:val="single" w:sz="4" w:space="0" w:color="800000"/>
            </w:tcBorders>
          </w:tcPr>
          <w:p w14:paraId="00F026E7" w14:textId="77777777" w:rsidR="00BE6A5D" w:rsidRPr="003234B1" w:rsidRDefault="00BE6A5D" w:rsidP="0086771F">
            <w:pPr>
              <w:pStyle w:val="TabIntestazioni"/>
            </w:pPr>
            <w:r>
              <w:t>2022</w:t>
            </w:r>
          </w:p>
        </w:tc>
        <w:tc>
          <w:tcPr>
            <w:tcW w:w="340" w:type="dxa"/>
            <w:tcBorders>
              <w:top w:val="single" w:sz="4" w:space="0" w:color="800000"/>
              <w:bottom w:val="single" w:sz="4" w:space="0" w:color="800000"/>
            </w:tcBorders>
          </w:tcPr>
          <w:p w14:paraId="18112E75" w14:textId="77777777" w:rsidR="00BE6A5D" w:rsidRPr="00BC2A0C" w:rsidRDefault="00BE6A5D" w:rsidP="0086771F">
            <w:pPr>
              <w:pStyle w:val="TabIntestazioni"/>
            </w:pPr>
          </w:p>
        </w:tc>
        <w:tc>
          <w:tcPr>
            <w:tcW w:w="2552" w:type="dxa"/>
            <w:tcBorders>
              <w:top w:val="single" w:sz="4" w:space="0" w:color="800000"/>
              <w:bottom w:val="single" w:sz="4" w:space="0" w:color="800000"/>
            </w:tcBorders>
          </w:tcPr>
          <w:p w14:paraId="662FFD5E" w14:textId="77777777" w:rsidR="00BE6A5D" w:rsidRPr="00BC2A0C" w:rsidRDefault="00BE6A5D" w:rsidP="0086771F">
            <w:pPr>
              <w:pStyle w:val="TabIntestazioni"/>
            </w:pPr>
          </w:p>
        </w:tc>
        <w:tc>
          <w:tcPr>
            <w:tcW w:w="510" w:type="dxa"/>
            <w:tcBorders>
              <w:top w:val="single" w:sz="4" w:space="0" w:color="800000"/>
              <w:bottom w:val="single" w:sz="4" w:space="0" w:color="800000"/>
            </w:tcBorders>
          </w:tcPr>
          <w:p w14:paraId="5A17F3B3" w14:textId="77777777" w:rsidR="00BE6A5D" w:rsidRPr="003234B1" w:rsidRDefault="00BE6A5D" w:rsidP="0086771F">
            <w:pPr>
              <w:pStyle w:val="TabIntestazioni"/>
            </w:pPr>
            <w:r>
              <w:t>2020</w:t>
            </w:r>
          </w:p>
        </w:tc>
        <w:tc>
          <w:tcPr>
            <w:tcW w:w="510" w:type="dxa"/>
            <w:tcBorders>
              <w:top w:val="single" w:sz="4" w:space="0" w:color="800000"/>
              <w:bottom w:val="single" w:sz="4" w:space="0" w:color="800000"/>
            </w:tcBorders>
          </w:tcPr>
          <w:p w14:paraId="63ECF570" w14:textId="77777777" w:rsidR="00BE6A5D" w:rsidRPr="003234B1" w:rsidRDefault="00BE6A5D" w:rsidP="0086771F">
            <w:pPr>
              <w:pStyle w:val="TabIntestazioni"/>
            </w:pPr>
            <w:r>
              <w:t>2021</w:t>
            </w:r>
          </w:p>
        </w:tc>
        <w:tc>
          <w:tcPr>
            <w:tcW w:w="514" w:type="dxa"/>
            <w:tcBorders>
              <w:top w:val="single" w:sz="4" w:space="0" w:color="800000"/>
              <w:bottom w:val="single" w:sz="4" w:space="0" w:color="800000"/>
            </w:tcBorders>
          </w:tcPr>
          <w:p w14:paraId="1490BA9B" w14:textId="77777777" w:rsidR="00BE6A5D" w:rsidRPr="003234B1" w:rsidRDefault="00BE6A5D" w:rsidP="0086771F">
            <w:pPr>
              <w:pStyle w:val="TabIntestazioni"/>
            </w:pPr>
            <w:r>
              <w:t>2022</w:t>
            </w:r>
          </w:p>
        </w:tc>
      </w:tr>
      <w:tr w:rsidR="00BE6A5D" w:rsidRPr="00997C5D" w14:paraId="50D763B0" w14:textId="77777777" w:rsidTr="0086771F">
        <w:trPr>
          <w:cantSplit/>
          <w:trHeight w:val="255"/>
        </w:trPr>
        <w:tc>
          <w:tcPr>
            <w:tcW w:w="9358" w:type="dxa"/>
            <w:gridSpan w:val="9"/>
            <w:shd w:val="clear" w:color="auto" w:fill="F2F2F2" w:themeFill="background1" w:themeFillShade="F2"/>
          </w:tcPr>
          <w:p w14:paraId="15900332" w14:textId="77777777" w:rsidR="00BE6A5D" w:rsidRPr="00997C5D" w:rsidRDefault="00BE6A5D" w:rsidP="0086771F">
            <w:pPr>
              <w:pStyle w:val="TabIntestaSup"/>
            </w:pPr>
            <w:r>
              <w:t>Prodotto</w:t>
            </w:r>
          </w:p>
        </w:tc>
      </w:tr>
      <w:tr w:rsidR="00BE6A5D" w:rsidRPr="003C12E0" w14:paraId="08120936" w14:textId="77777777" w:rsidTr="0086771F">
        <w:trPr>
          <w:cantSplit/>
          <w:trHeight w:val="255"/>
        </w:trPr>
        <w:tc>
          <w:tcPr>
            <w:tcW w:w="3402" w:type="dxa"/>
          </w:tcPr>
          <w:p w14:paraId="72183E90" w14:textId="77777777" w:rsidR="00BE6A5D" w:rsidRPr="00BC2A0C" w:rsidRDefault="00BE6A5D" w:rsidP="0086771F">
            <w:pPr>
              <w:pStyle w:val="TabEtichette"/>
            </w:pPr>
            <w:r w:rsidRPr="00BC2A0C">
              <w:t>Prodotto mondiale</w:t>
            </w:r>
          </w:p>
        </w:tc>
        <w:tc>
          <w:tcPr>
            <w:tcW w:w="510" w:type="dxa"/>
          </w:tcPr>
          <w:p w14:paraId="2724FC2C" w14:textId="77777777" w:rsidR="00BE6A5D" w:rsidRPr="00D015E5" w:rsidRDefault="00BE6A5D" w:rsidP="0086771F">
            <w:pPr>
              <w:pStyle w:val="TabNumeri"/>
            </w:pPr>
            <w:r w:rsidRPr="003E444D">
              <w:t>-3,3</w:t>
            </w:r>
          </w:p>
        </w:tc>
        <w:tc>
          <w:tcPr>
            <w:tcW w:w="510" w:type="dxa"/>
          </w:tcPr>
          <w:p w14:paraId="50EAE027" w14:textId="77777777" w:rsidR="00BE6A5D" w:rsidRPr="00D015E5" w:rsidRDefault="00BE6A5D" w:rsidP="0086771F">
            <w:pPr>
              <w:pStyle w:val="TabNumeri"/>
            </w:pPr>
            <w:r w:rsidRPr="003E444D">
              <w:t>6,0</w:t>
            </w:r>
          </w:p>
        </w:tc>
        <w:tc>
          <w:tcPr>
            <w:tcW w:w="510" w:type="dxa"/>
          </w:tcPr>
          <w:p w14:paraId="5DA60C89" w14:textId="77777777" w:rsidR="00BE6A5D" w:rsidRPr="00D015E5" w:rsidRDefault="00BE6A5D" w:rsidP="0086771F">
            <w:pPr>
              <w:pStyle w:val="TabNumeri"/>
            </w:pPr>
            <w:r w:rsidRPr="003E444D">
              <w:t>4,4</w:t>
            </w:r>
          </w:p>
        </w:tc>
        <w:tc>
          <w:tcPr>
            <w:tcW w:w="340" w:type="dxa"/>
          </w:tcPr>
          <w:p w14:paraId="463BD1D7" w14:textId="77777777" w:rsidR="00BE6A5D" w:rsidRPr="00BC2A0C" w:rsidRDefault="00BE6A5D" w:rsidP="0086771F">
            <w:pPr>
              <w:pStyle w:val="TabEtichette"/>
            </w:pPr>
          </w:p>
        </w:tc>
        <w:tc>
          <w:tcPr>
            <w:tcW w:w="2552" w:type="dxa"/>
          </w:tcPr>
          <w:p w14:paraId="7FEDF86C" w14:textId="77777777" w:rsidR="00BE6A5D" w:rsidRPr="00903CBB" w:rsidRDefault="00BE6A5D" w:rsidP="0086771F">
            <w:pPr>
              <w:pStyle w:val="TabEtichette"/>
            </w:pPr>
            <w:r w:rsidRPr="00903CBB">
              <w:t>Stati Uniti</w:t>
            </w:r>
          </w:p>
        </w:tc>
        <w:tc>
          <w:tcPr>
            <w:tcW w:w="510" w:type="dxa"/>
          </w:tcPr>
          <w:p w14:paraId="676046D6" w14:textId="77777777" w:rsidR="00BE6A5D" w:rsidRPr="003C12E0" w:rsidRDefault="00BE6A5D" w:rsidP="0086771F">
            <w:pPr>
              <w:pStyle w:val="TabNumeri"/>
            </w:pPr>
            <w:r w:rsidRPr="00F86A4C">
              <w:t>-3,5</w:t>
            </w:r>
          </w:p>
        </w:tc>
        <w:tc>
          <w:tcPr>
            <w:tcW w:w="510" w:type="dxa"/>
          </w:tcPr>
          <w:p w14:paraId="738A6677" w14:textId="77777777" w:rsidR="00BE6A5D" w:rsidRPr="003C12E0" w:rsidRDefault="00BE6A5D" w:rsidP="0086771F">
            <w:pPr>
              <w:pStyle w:val="TabNumeri"/>
            </w:pPr>
            <w:r w:rsidRPr="00F86A4C">
              <w:t>6,4</w:t>
            </w:r>
          </w:p>
        </w:tc>
        <w:tc>
          <w:tcPr>
            <w:tcW w:w="514" w:type="dxa"/>
          </w:tcPr>
          <w:p w14:paraId="1F89E48F" w14:textId="77777777" w:rsidR="00BE6A5D" w:rsidRPr="003C12E0" w:rsidRDefault="00BE6A5D" w:rsidP="0086771F">
            <w:pPr>
              <w:pStyle w:val="TabNumeri"/>
            </w:pPr>
            <w:r w:rsidRPr="00F86A4C">
              <w:t>3,5</w:t>
            </w:r>
          </w:p>
        </w:tc>
      </w:tr>
      <w:tr w:rsidR="00BE6A5D" w:rsidRPr="003C12E0" w14:paraId="48A3352A" w14:textId="77777777" w:rsidTr="0086771F">
        <w:trPr>
          <w:cantSplit/>
          <w:trHeight w:val="255"/>
        </w:trPr>
        <w:tc>
          <w:tcPr>
            <w:tcW w:w="3402" w:type="dxa"/>
            <w:shd w:val="clear" w:color="auto" w:fill="F2F2F2" w:themeFill="background1" w:themeFillShade="F2"/>
          </w:tcPr>
          <w:p w14:paraId="36F80621" w14:textId="77777777" w:rsidR="00BE6A5D" w:rsidRPr="00BC2A0C" w:rsidRDefault="00BE6A5D" w:rsidP="0086771F">
            <w:pPr>
              <w:pStyle w:val="TabEtichette"/>
            </w:pPr>
            <w:r w:rsidRPr="00B85524">
              <w:t>Economie avanzate</w:t>
            </w:r>
          </w:p>
        </w:tc>
        <w:tc>
          <w:tcPr>
            <w:tcW w:w="510" w:type="dxa"/>
            <w:shd w:val="clear" w:color="auto" w:fill="F2F2F2" w:themeFill="background1" w:themeFillShade="F2"/>
          </w:tcPr>
          <w:p w14:paraId="640FEB97" w14:textId="77777777" w:rsidR="00BE6A5D" w:rsidRPr="00D015E5" w:rsidRDefault="00BE6A5D" w:rsidP="0086771F">
            <w:pPr>
              <w:pStyle w:val="TabNumeri"/>
            </w:pPr>
            <w:r w:rsidRPr="003E444D">
              <w:t>-4,7</w:t>
            </w:r>
          </w:p>
        </w:tc>
        <w:tc>
          <w:tcPr>
            <w:tcW w:w="510" w:type="dxa"/>
            <w:shd w:val="clear" w:color="auto" w:fill="F2F2F2" w:themeFill="background1" w:themeFillShade="F2"/>
          </w:tcPr>
          <w:p w14:paraId="51CDE442" w14:textId="77777777" w:rsidR="00BE6A5D" w:rsidRPr="00D015E5" w:rsidRDefault="00BE6A5D" w:rsidP="0086771F">
            <w:pPr>
              <w:pStyle w:val="TabNumeri"/>
            </w:pPr>
            <w:r w:rsidRPr="003E444D">
              <w:t>5,1</w:t>
            </w:r>
          </w:p>
        </w:tc>
        <w:tc>
          <w:tcPr>
            <w:tcW w:w="510" w:type="dxa"/>
            <w:shd w:val="clear" w:color="auto" w:fill="F2F2F2" w:themeFill="background1" w:themeFillShade="F2"/>
          </w:tcPr>
          <w:p w14:paraId="62BAA119" w14:textId="77777777" w:rsidR="00BE6A5D" w:rsidRPr="00D015E5" w:rsidRDefault="00BE6A5D" w:rsidP="0086771F">
            <w:pPr>
              <w:pStyle w:val="TabNumeri"/>
            </w:pPr>
            <w:r w:rsidRPr="003E444D">
              <w:t>3,6</w:t>
            </w:r>
          </w:p>
        </w:tc>
        <w:tc>
          <w:tcPr>
            <w:tcW w:w="340" w:type="dxa"/>
            <w:shd w:val="clear" w:color="auto" w:fill="F2F2F2" w:themeFill="background1" w:themeFillShade="F2"/>
          </w:tcPr>
          <w:p w14:paraId="2CC33637" w14:textId="77777777" w:rsidR="00BE6A5D" w:rsidRPr="00BC2A0C" w:rsidRDefault="00BE6A5D" w:rsidP="0086771F">
            <w:pPr>
              <w:pStyle w:val="TabEtichette"/>
            </w:pPr>
          </w:p>
        </w:tc>
        <w:tc>
          <w:tcPr>
            <w:tcW w:w="2552" w:type="dxa"/>
            <w:shd w:val="clear" w:color="auto" w:fill="F2F2F2" w:themeFill="background1" w:themeFillShade="F2"/>
          </w:tcPr>
          <w:p w14:paraId="5803B8AA" w14:textId="77777777" w:rsidR="00BE6A5D" w:rsidRPr="00903CBB" w:rsidRDefault="00BE6A5D" w:rsidP="0086771F">
            <w:pPr>
              <w:pStyle w:val="TabEtichette"/>
            </w:pPr>
            <w:r w:rsidRPr="00903CBB">
              <w:t>Cina</w:t>
            </w:r>
          </w:p>
        </w:tc>
        <w:tc>
          <w:tcPr>
            <w:tcW w:w="510" w:type="dxa"/>
            <w:shd w:val="clear" w:color="auto" w:fill="F2F2F2" w:themeFill="background1" w:themeFillShade="F2"/>
          </w:tcPr>
          <w:p w14:paraId="21D0460C" w14:textId="77777777" w:rsidR="00BE6A5D" w:rsidRPr="003C12E0" w:rsidRDefault="00BE6A5D" w:rsidP="0086771F">
            <w:pPr>
              <w:pStyle w:val="TabNumeri"/>
            </w:pPr>
            <w:r w:rsidRPr="00F86A4C">
              <w:t>2,3</w:t>
            </w:r>
          </w:p>
        </w:tc>
        <w:tc>
          <w:tcPr>
            <w:tcW w:w="510" w:type="dxa"/>
            <w:shd w:val="clear" w:color="auto" w:fill="F2F2F2" w:themeFill="background1" w:themeFillShade="F2"/>
          </w:tcPr>
          <w:p w14:paraId="4E1C109A" w14:textId="77777777" w:rsidR="00BE6A5D" w:rsidRPr="003C12E0" w:rsidRDefault="00BE6A5D" w:rsidP="0086771F">
            <w:pPr>
              <w:pStyle w:val="TabNumeri"/>
            </w:pPr>
            <w:r w:rsidRPr="00F86A4C">
              <w:t>8,4</w:t>
            </w:r>
          </w:p>
        </w:tc>
        <w:tc>
          <w:tcPr>
            <w:tcW w:w="514" w:type="dxa"/>
            <w:shd w:val="clear" w:color="auto" w:fill="F2F2F2" w:themeFill="background1" w:themeFillShade="F2"/>
          </w:tcPr>
          <w:p w14:paraId="25B5C069" w14:textId="77777777" w:rsidR="00BE6A5D" w:rsidRPr="003C12E0" w:rsidRDefault="00BE6A5D" w:rsidP="0086771F">
            <w:pPr>
              <w:pStyle w:val="TabNumeri"/>
            </w:pPr>
            <w:r w:rsidRPr="00F86A4C">
              <w:t>5,6</w:t>
            </w:r>
          </w:p>
        </w:tc>
      </w:tr>
      <w:tr w:rsidR="00BE6A5D" w:rsidRPr="003C12E0" w14:paraId="52057A81" w14:textId="77777777" w:rsidTr="0086771F">
        <w:trPr>
          <w:cantSplit/>
          <w:trHeight w:val="255"/>
        </w:trPr>
        <w:tc>
          <w:tcPr>
            <w:tcW w:w="3402" w:type="dxa"/>
          </w:tcPr>
          <w:p w14:paraId="383B6EDD" w14:textId="77777777" w:rsidR="00BE6A5D" w:rsidRPr="00BC2A0C" w:rsidRDefault="00BE6A5D" w:rsidP="0086771F">
            <w:pPr>
              <w:pStyle w:val="TabEtichette"/>
            </w:pPr>
            <w:r w:rsidRPr="00BC2A0C">
              <w:t>Economie emergenti e in sviluppo</w:t>
            </w:r>
          </w:p>
        </w:tc>
        <w:tc>
          <w:tcPr>
            <w:tcW w:w="510" w:type="dxa"/>
          </w:tcPr>
          <w:p w14:paraId="5B18EF9F" w14:textId="77777777" w:rsidR="00BE6A5D" w:rsidRPr="00D015E5" w:rsidRDefault="00BE6A5D" w:rsidP="0086771F">
            <w:pPr>
              <w:pStyle w:val="TabNumeri"/>
            </w:pPr>
            <w:r w:rsidRPr="003E444D">
              <w:t>-2,2</w:t>
            </w:r>
          </w:p>
        </w:tc>
        <w:tc>
          <w:tcPr>
            <w:tcW w:w="510" w:type="dxa"/>
          </w:tcPr>
          <w:p w14:paraId="66AD90B5" w14:textId="77777777" w:rsidR="00BE6A5D" w:rsidRPr="00D015E5" w:rsidRDefault="00BE6A5D" w:rsidP="0086771F">
            <w:pPr>
              <w:pStyle w:val="TabNumeri"/>
            </w:pPr>
            <w:r w:rsidRPr="003E444D">
              <w:t>6,7</w:t>
            </w:r>
          </w:p>
        </w:tc>
        <w:tc>
          <w:tcPr>
            <w:tcW w:w="510" w:type="dxa"/>
          </w:tcPr>
          <w:p w14:paraId="2B9569D0" w14:textId="77777777" w:rsidR="00BE6A5D" w:rsidRPr="00D015E5" w:rsidRDefault="00BE6A5D" w:rsidP="0086771F">
            <w:pPr>
              <w:pStyle w:val="TabNumeri"/>
            </w:pPr>
            <w:r w:rsidRPr="003E444D">
              <w:t>5,0</w:t>
            </w:r>
          </w:p>
        </w:tc>
        <w:tc>
          <w:tcPr>
            <w:tcW w:w="340" w:type="dxa"/>
          </w:tcPr>
          <w:p w14:paraId="1E092648" w14:textId="77777777" w:rsidR="00BE6A5D" w:rsidRPr="00BC2A0C" w:rsidRDefault="00BE6A5D" w:rsidP="0086771F">
            <w:pPr>
              <w:pStyle w:val="TabEtichette"/>
            </w:pPr>
          </w:p>
        </w:tc>
        <w:tc>
          <w:tcPr>
            <w:tcW w:w="2552" w:type="dxa"/>
          </w:tcPr>
          <w:p w14:paraId="600E6A33" w14:textId="77777777" w:rsidR="00BE6A5D" w:rsidRPr="00903CBB" w:rsidRDefault="00BE6A5D" w:rsidP="0086771F">
            <w:pPr>
              <w:pStyle w:val="TabEtichette"/>
            </w:pPr>
            <w:r w:rsidRPr="00903CBB">
              <w:t>Giappone</w:t>
            </w:r>
          </w:p>
        </w:tc>
        <w:tc>
          <w:tcPr>
            <w:tcW w:w="510" w:type="dxa"/>
          </w:tcPr>
          <w:p w14:paraId="240D22C3" w14:textId="77777777" w:rsidR="00BE6A5D" w:rsidRPr="003C12E0" w:rsidRDefault="00BE6A5D" w:rsidP="0086771F">
            <w:pPr>
              <w:pStyle w:val="TabNumeri"/>
            </w:pPr>
            <w:r w:rsidRPr="00F86A4C">
              <w:t>-4,8</w:t>
            </w:r>
          </w:p>
        </w:tc>
        <w:tc>
          <w:tcPr>
            <w:tcW w:w="510" w:type="dxa"/>
          </w:tcPr>
          <w:p w14:paraId="26FB4C76" w14:textId="77777777" w:rsidR="00BE6A5D" w:rsidRPr="003C12E0" w:rsidRDefault="00BE6A5D" w:rsidP="0086771F">
            <w:pPr>
              <w:pStyle w:val="TabNumeri"/>
            </w:pPr>
            <w:r w:rsidRPr="00F86A4C">
              <w:t>3,3</w:t>
            </w:r>
          </w:p>
        </w:tc>
        <w:tc>
          <w:tcPr>
            <w:tcW w:w="514" w:type="dxa"/>
          </w:tcPr>
          <w:p w14:paraId="11B1187F" w14:textId="77777777" w:rsidR="00BE6A5D" w:rsidRPr="003C12E0" w:rsidRDefault="00BE6A5D" w:rsidP="0086771F">
            <w:pPr>
              <w:pStyle w:val="TabNumeri"/>
            </w:pPr>
            <w:r w:rsidRPr="00F86A4C">
              <w:t>2,5</w:t>
            </w:r>
          </w:p>
        </w:tc>
      </w:tr>
      <w:tr w:rsidR="00BE6A5D" w:rsidRPr="003C12E0" w14:paraId="2449B9CC" w14:textId="77777777" w:rsidTr="0086771F">
        <w:trPr>
          <w:cantSplit/>
          <w:trHeight w:val="255"/>
        </w:trPr>
        <w:tc>
          <w:tcPr>
            <w:tcW w:w="3402" w:type="dxa"/>
            <w:shd w:val="clear" w:color="auto" w:fill="F2F2F2" w:themeFill="background1" w:themeFillShade="F2"/>
          </w:tcPr>
          <w:p w14:paraId="373993CF" w14:textId="77777777" w:rsidR="00BE6A5D" w:rsidRPr="00C103CD" w:rsidRDefault="00BE6A5D" w:rsidP="0086771F">
            <w:pPr>
              <w:pStyle w:val="TabEtichette"/>
            </w:pPr>
            <w:r>
              <w:t xml:space="preserve">  Europa e</w:t>
            </w:r>
            <w:r w:rsidRPr="00C103CD">
              <w:t>mergente e in sviluppo</w:t>
            </w:r>
          </w:p>
        </w:tc>
        <w:tc>
          <w:tcPr>
            <w:tcW w:w="510" w:type="dxa"/>
            <w:shd w:val="clear" w:color="auto" w:fill="F2F2F2" w:themeFill="background1" w:themeFillShade="F2"/>
          </w:tcPr>
          <w:p w14:paraId="36E84A16" w14:textId="77777777" w:rsidR="00BE6A5D" w:rsidRPr="00D015E5" w:rsidRDefault="00BE6A5D" w:rsidP="0086771F">
            <w:pPr>
              <w:pStyle w:val="TabNumeri"/>
            </w:pPr>
            <w:r w:rsidRPr="003E444D">
              <w:t>-2,0</w:t>
            </w:r>
          </w:p>
        </w:tc>
        <w:tc>
          <w:tcPr>
            <w:tcW w:w="510" w:type="dxa"/>
            <w:shd w:val="clear" w:color="auto" w:fill="F2F2F2" w:themeFill="background1" w:themeFillShade="F2"/>
          </w:tcPr>
          <w:p w14:paraId="086EF853" w14:textId="77777777" w:rsidR="00BE6A5D" w:rsidRPr="00D015E5" w:rsidRDefault="00BE6A5D" w:rsidP="0086771F">
            <w:pPr>
              <w:pStyle w:val="TabNumeri"/>
            </w:pPr>
            <w:r w:rsidRPr="003E444D">
              <w:t>4,4</w:t>
            </w:r>
          </w:p>
        </w:tc>
        <w:tc>
          <w:tcPr>
            <w:tcW w:w="510" w:type="dxa"/>
            <w:shd w:val="clear" w:color="auto" w:fill="F2F2F2" w:themeFill="background1" w:themeFillShade="F2"/>
          </w:tcPr>
          <w:p w14:paraId="243942D3" w14:textId="77777777" w:rsidR="00BE6A5D" w:rsidRPr="00D015E5" w:rsidRDefault="00BE6A5D" w:rsidP="0086771F">
            <w:pPr>
              <w:pStyle w:val="TabNumeri"/>
            </w:pPr>
            <w:r w:rsidRPr="003E444D">
              <w:t>3,9</w:t>
            </w:r>
          </w:p>
        </w:tc>
        <w:tc>
          <w:tcPr>
            <w:tcW w:w="340" w:type="dxa"/>
            <w:shd w:val="clear" w:color="auto" w:fill="F2F2F2" w:themeFill="background1" w:themeFillShade="F2"/>
          </w:tcPr>
          <w:p w14:paraId="43C554BF" w14:textId="77777777" w:rsidR="00BE6A5D" w:rsidRPr="00BC2A0C" w:rsidRDefault="00BE6A5D" w:rsidP="0086771F">
            <w:pPr>
              <w:pStyle w:val="TabEtichette"/>
            </w:pPr>
          </w:p>
        </w:tc>
        <w:tc>
          <w:tcPr>
            <w:tcW w:w="2552" w:type="dxa"/>
            <w:shd w:val="clear" w:color="auto" w:fill="F2F2F2" w:themeFill="background1" w:themeFillShade="F2"/>
          </w:tcPr>
          <w:p w14:paraId="0450F0CB" w14:textId="77777777" w:rsidR="00BE6A5D" w:rsidRPr="00903CBB" w:rsidRDefault="00BE6A5D" w:rsidP="0086771F">
            <w:pPr>
              <w:pStyle w:val="TabEtichette"/>
            </w:pPr>
            <w:r w:rsidRPr="00903CBB">
              <w:t>Area dell'euro</w:t>
            </w:r>
          </w:p>
        </w:tc>
        <w:tc>
          <w:tcPr>
            <w:tcW w:w="510" w:type="dxa"/>
            <w:shd w:val="clear" w:color="auto" w:fill="F2F2F2" w:themeFill="background1" w:themeFillShade="F2"/>
          </w:tcPr>
          <w:p w14:paraId="30324136" w14:textId="77777777" w:rsidR="00BE6A5D" w:rsidRPr="003C12E0" w:rsidRDefault="00BE6A5D" w:rsidP="0086771F">
            <w:pPr>
              <w:pStyle w:val="TabNumeri"/>
            </w:pPr>
            <w:r w:rsidRPr="00F86A4C">
              <w:t>-6,6</w:t>
            </w:r>
          </w:p>
        </w:tc>
        <w:tc>
          <w:tcPr>
            <w:tcW w:w="510" w:type="dxa"/>
            <w:shd w:val="clear" w:color="auto" w:fill="F2F2F2" w:themeFill="background1" w:themeFillShade="F2"/>
          </w:tcPr>
          <w:p w14:paraId="12FC8791" w14:textId="77777777" w:rsidR="00BE6A5D" w:rsidRPr="003C12E0" w:rsidRDefault="00BE6A5D" w:rsidP="0086771F">
            <w:pPr>
              <w:pStyle w:val="TabNumeri"/>
            </w:pPr>
            <w:r w:rsidRPr="00F86A4C">
              <w:t>4,4</w:t>
            </w:r>
          </w:p>
        </w:tc>
        <w:tc>
          <w:tcPr>
            <w:tcW w:w="514" w:type="dxa"/>
            <w:shd w:val="clear" w:color="auto" w:fill="F2F2F2" w:themeFill="background1" w:themeFillShade="F2"/>
          </w:tcPr>
          <w:p w14:paraId="7CE97C12" w14:textId="77777777" w:rsidR="00BE6A5D" w:rsidRPr="003C12E0" w:rsidRDefault="00BE6A5D" w:rsidP="0086771F">
            <w:pPr>
              <w:pStyle w:val="TabNumeri"/>
            </w:pPr>
            <w:r w:rsidRPr="00F86A4C">
              <w:t>3,8</w:t>
            </w:r>
          </w:p>
        </w:tc>
      </w:tr>
      <w:tr w:rsidR="00BE6A5D" w:rsidRPr="003C12E0" w14:paraId="5A5FBAD6" w14:textId="77777777" w:rsidTr="0086771F">
        <w:trPr>
          <w:cantSplit/>
          <w:trHeight w:val="255"/>
        </w:trPr>
        <w:tc>
          <w:tcPr>
            <w:tcW w:w="3402" w:type="dxa"/>
          </w:tcPr>
          <w:p w14:paraId="3B69994E" w14:textId="77777777" w:rsidR="00BE6A5D" w:rsidRPr="00C103CD" w:rsidRDefault="00BE6A5D" w:rsidP="0086771F">
            <w:pPr>
              <w:pStyle w:val="TabEtichette"/>
            </w:pPr>
            <w:r w:rsidRPr="00C103CD">
              <w:t xml:space="preserve">  Paesi Asiatici in </w:t>
            </w:r>
            <w:r>
              <w:t>s</w:t>
            </w:r>
            <w:r w:rsidRPr="00C103CD">
              <w:t>viluppo</w:t>
            </w:r>
            <w:r>
              <w:t xml:space="preserve"> </w:t>
            </w:r>
            <w:proofErr w:type="gramStart"/>
            <w:r>
              <w:t>e</w:t>
            </w:r>
            <w:proofErr w:type="gramEnd"/>
            <w:r>
              <w:t xml:space="preserve"> emergenti</w:t>
            </w:r>
          </w:p>
        </w:tc>
        <w:tc>
          <w:tcPr>
            <w:tcW w:w="510" w:type="dxa"/>
          </w:tcPr>
          <w:p w14:paraId="5D2B2924" w14:textId="77777777" w:rsidR="00BE6A5D" w:rsidRPr="00D015E5" w:rsidRDefault="00BE6A5D" w:rsidP="0086771F">
            <w:pPr>
              <w:pStyle w:val="TabNumeri"/>
            </w:pPr>
            <w:r w:rsidRPr="003E444D">
              <w:t>-1,0</w:t>
            </w:r>
          </w:p>
        </w:tc>
        <w:tc>
          <w:tcPr>
            <w:tcW w:w="510" w:type="dxa"/>
          </w:tcPr>
          <w:p w14:paraId="5BD621D1" w14:textId="77777777" w:rsidR="00BE6A5D" w:rsidRPr="00D015E5" w:rsidRDefault="00BE6A5D" w:rsidP="0086771F">
            <w:pPr>
              <w:pStyle w:val="TabNumeri"/>
            </w:pPr>
            <w:r w:rsidRPr="003E444D">
              <w:t>8,6</w:t>
            </w:r>
          </w:p>
        </w:tc>
        <w:tc>
          <w:tcPr>
            <w:tcW w:w="510" w:type="dxa"/>
          </w:tcPr>
          <w:p w14:paraId="40DC43AA" w14:textId="77777777" w:rsidR="00BE6A5D" w:rsidRPr="00D015E5" w:rsidRDefault="00BE6A5D" w:rsidP="0086771F">
            <w:pPr>
              <w:pStyle w:val="TabNumeri"/>
            </w:pPr>
            <w:r w:rsidRPr="003E444D">
              <w:t>6,0</w:t>
            </w:r>
          </w:p>
        </w:tc>
        <w:tc>
          <w:tcPr>
            <w:tcW w:w="340" w:type="dxa"/>
          </w:tcPr>
          <w:p w14:paraId="5D1CAA72" w14:textId="77777777" w:rsidR="00BE6A5D" w:rsidRPr="00BC2A0C" w:rsidRDefault="00BE6A5D" w:rsidP="0086771F">
            <w:pPr>
              <w:pStyle w:val="TabEtichette"/>
            </w:pPr>
          </w:p>
        </w:tc>
        <w:tc>
          <w:tcPr>
            <w:tcW w:w="2552" w:type="dxa"/>
          </w:tcPr>
          <w:p w14:paraId="2FC3C184" w14:textId="77777777" w:rsidR="00BE6A5D" w:rsidRPr="00903CBB" w:rsidRDefault="00BE6A5D" w:rsidP="0086771F">
            <w:pPr>
              <w:pStyle w:val="TabEtichette"/>
            </w:pPr>
            <w:r w:rsidRPr="00903CBB">
              <w:t xml:space="preserve">  Germania</w:t>
            </w:r>
          </w:p>
        </w:tc>
        <w:tc>
          <w:tcPr>
            <w:tcW w:w="510" w:type="dxa"/>
          </w:tcPr>
          <w:p w14:paraId="03E3A03A" w14:textId="77777777" w:rsidR="00BE6A5D" w:rsidRPr="003C12E0" w:rsidRDefault="00BE6A5D" w:rsidP="0086771F">
            <w:pPr>
              <w:pStyle w:val="TabNumeri"/>
            </w:pPr>
            <w:r w:rsidRPr="00F86A4C">
              <w:t>-4,9</w:t>
            </w:r>
          </w:p>
        </w:tc>
        <w:tc>
          <w:tcPr>
            <w:tcW w:w="510" w:type="dxa"/>
          </w:tcPr>
          <w:p w14:paraId="4E86782F" w14:textId="77777777" w:rsidR="00BE6A5D" w:rsidRPr="003C12E0" w:rsidRDefault="00BE6A5D" w:rsidP="0086771F">
            <w:pPr>
              <w:pStyle w:val="TabNumeri"/>
            </w:pPr>
            <w:r w:rsidRPr="00F86A4C">
              <w:t>3,6</w:t>
            </w:r>
          </w:p>
        </w:tc>
        <w:tc>
          <w:tcPr>
            <w:tcW w:w="514" w:type="dxa"/>
          </w:tcPr>
          <w:p w14:paraId="17BD75DF" w14:textId="77777777" w:rsidR="00BE6A5D" w:rsidRPr="003C12E0" w:rsidRDefault="00BE6A5D" w:rsidP="0086771F">
            <w:pPr>
              <w:pStyle w:val="TabNumeri"/>
            </w:pPr>
            <w:r w:rsidRPr="00F86A4C">
              <w:t>3,4</w:t>
            </w:r>
          </w:p>
        </w:tc>
      </w:tr>
      <w:tr w:rsidR="00BE6A5D" w:rsidRPr="003C12E0" w14:paraId="23AD435A" w14:textId="77777777" w:rsidTr="0086771F">
        <w:trPr>
          <w:cantSplit/>
          <w:trHeight w:val="255"/>
        </w:trPr>
        <w:tc>
          <w:tcPr>
            <w:tcW w:w="3402" w:type="dxa"/>
            <w:shd w:val="clear" w:color="auto" w:fill="F2F2F2" w:themeFill="background1" w:themeFillShade="F2"/>
          </w:tcPr>
          <w:p w14:paraId="258F80E1" w14:textId="77777777" w:rsidR="00BE6A5D" w:rsidRPr="00C103CD" w:rsidRDefault="00BE6A5D" w:rsidP="0086771F">
            <w:pPr>
              <w:pStyle w:val="TabEtichette"/>
            </w:pPr>
            <w:r w:rsidRPr="00C103CD">
              <w:t xml:space="preserve">  M. Oriente</w:t>
            </w:r>
            <w:r>
              <w:t>,</w:t>
            </w:r>
            <w:r w:rsidRPr="00C103CD">
              <w:t xml:space="preserve"> Nord Africa</w:t>
            </w:r>
            <w:r>
              <w:t>,</w:t>
            </w:r>
            <w:r w:rsidRPr="00C103CD">
              <w:t xml:space="preserve"> Afg</w:t>
            </w:r>
            <w:r>
              <w:t>anistan,</w:t>
            </w:r>
            <w:r w:rsidRPr="00C103CD">
              <w:t xml:space="preserve"> Pak</w:t>
            </w:r>
            <w:r>
              <w:t>istan</w:t>
            </w:r>
          </w:p>
        </w:tc>
        <w:tc>
          <w:tcPr>
            <w:tcW w:w="510" w:type="dxa"/>
            <w:shd w:val="clear" w:color="auto" w:fill="F2F2F2" w:themeFill="background1" w:themeFillShade="F2"/>
          </w:tcPr>
          <w:p w14:paraId="0D50091D" w14:textId="77777777" w:rsidR="00BE6A5D" w:rsidRPr="00D015E5" w:rsidRDefault="00BE6A5D" w:rsidP="0086771F">
            <w:pPr>
              <w:pStyle w:val="TabNumeri"/>
            </w:pPr>
            <w:r w:rsidRPr="003E444D">
              <w:t>-2,9</w:t>
            </w:r>
          </w:p>
        </w:tc>
        <w:tc>
          <w:tcPr>
            <w:tcW w:w="510" w:type="dxa"/>
            <w:shd w:val="clear" w:color="auto" w:fill="F2F2F2" w:themeFill="background1" w:themeFillShade="F2"/>
          </w:tcPr>
          <w:p w14:paraId="527A5B0D" w14:textId="77777777" w:rsidR="00BE6A5D" w:rsidRPr="00D015E5" w:rsidRDefault="00BE6A5D" w:rsidP="0086771F">
            <w:pPr>
              <w:pStyle w:val="TabNumeri"/>
            </w:pPr>
            <w:r w:rsidRPr="003E444D">
              <w:t>3,7</w:t>
            </w:r>
          </w:p>
        </w:tc>
        <w:tc>
          <w:tcPr>
            <w:tcW w:w="510" w:type="dxa"/>
            <w:shd w:val="clear" w:color="auto" w:fill="F2F2F2" w:themeFill="background1" w:themeFillShade="F2"/>
          </w:tcPr>
          <w:p w14:paraId="3B03E06F" w14:textId="77777777" w:rsidR="00BE6A5D" w:rsidRPr="00D015E5" w:rsidRDefault="00BE6A5D" w:rsidP="0086771F">
            <w:pPr>
              <w:pStyle w:val="TabNumeri"/>
            </w:pPr>
            <w:r w:rsidRPr="003E444D">
              <w:t>3,8</w:t>
            </w:r>
          </w:p>
        </w:tc>
        <w:tc>
          <w:tcPr>
            <w:tcW w:w="340" w:type="dxa"/>
            <w:shd w:val="clear" w:color="auto" w:fill="F2F2F2" w:themeFill="background1" w:themeFillShade="F2"/>
          </w:tcPr>
          <w:p w14:paraId="1EC5CC95" w14:textId="77777777" w:rsidR="00BE6A5D" w:rsidRPr="00BC2A0C" w:rsidRDefault="00BE6A5D" w:rsidP="0086771F">
            <w:pPr>
              <w:pStyle w:val="TabEtichette"/>
            </w:pPr>
          </w:p>
        </w:tc>
        <w:tc>
          <w:tcPr>
            <w:tcW w:w="2552" w:type="dxa"/>
            <w:shd w:val="clear" w:color="auto" w:fill="F2F2F2" w:themeFill="background1" w:themeFillShade="F2"/>
          </w:tcPr>
          <w:p w14:paraId="254623D5" w14:textId="77777777" w:rsidR="00BE6A5D" w:rsidRPr="00903CBB" w:rsidRDefault="00BE6A5D" w:rsidP="0086771F">
            <w:pPr>
              <w:pStyle w:val="TabEtichette"/>
            </w:pPr>
            <w:r w:rsidRPr="00903CBB">
              <w:t xml:space="preserve">  Francia</w:t>
            </w:r>
          </w:p>
        </w:tc>
        <w:tc>
          <w:tcPr>
            <w:tcW w:w="510" w:type="dxa"/>
            <w:shd w:val="clear" w:color="auto" w:fill="F2F2F2" w:themeFill="background1" w:themeFillShade="F2"/>
          </w:tcPr>
          <w:p w14:paraId="0ED96299" w14:textId="77777777" w:rsidR="00BE6A5D" w:rsidRPr="003C12E0" w:rsidRDefault="00BE6A5D" w:rsidP="0086771F">
            <w:pPr>
              <w:pStyle w:val="TabNumeri"/>
            </w:pPr>
            <w:r w:rsidRPr="00F86A4C">
              <w:t>-8,2</w:t>
            </w:r>
          </w:p>
        </w:tc>
        <w:tc>
          <w:tcPr>
            <w:tcW w:w="510" w:type="dxa"/>
            <w:shd w:val="clear" w:color="auto" w:fill="F2F2F2" w:themeFill="background1" w:themeFillShade="F2"/>
          </w:tcPr>
          <w:p w14:paraId="44A82E3F" w14:textId="77777777" w:rsidR="00BE6A5D" w:rsidRPr="003C12E0" w:rsidRDefault="00BE6A5D" w:rsidP="0086771F">
            <w:pPr>
              <w:pStyle w:val="TabNumeri"/>
            </w:pPr>
            <w:r w:rsidRPr="00F86A4C">
              <w:t>5,8</w:t>
            </w:r>
          </w:p>
        </w:tc>
        <w:tc>
          <w:tcPr>
            <w:tcW w:w="514" w:type="dxa"/>
            <w:shd w:val="clear" w:color="auto" w:fill="F2F2F2" w:themeFill="background1" w:themeFillShade="F2"/>
          </w:tcPr>
          <w:p w14:paraId="0302F63D" w14:textId="77777777" w:rsidR="00BE6A5D" w:rsidRPr="003C12E0" w:rsidRDefault="00BE6A5D" w:rsidP="0086771F">
            <w:pPr>
              <w:pStyle w:val="TabNumeri"/>
            </w:pPr>
            <w:r w:rsidRPr="00F86A4C">
              <w:t>4,2</w:t>
            </w:r>
          </w:p>
        </w:tc>
      </w:tr>
      <w:tr w:rsidR="00BE6A5D" w:rsidRPr="003C12E0" w14:paraId="037C37C1" w14:textId="77777777" w:rsidTr="0086771F">
        <w:trPr>
          <w:cantSplit/>
          <w:trHeight w:val="255"/>
        </w:trPr>
        <w:tc>
          <w:tcPr>
            <w:tcW w:w="3402" w:type="dxa"/>
          </w:tcPr>
          <w:p w14:paraId="48FD8839" w14:textId="77777777" w:rsidR="00BE6A5D" w:rsidRPr="00C103CD" w:rsidRDefault="00BE6A5D" w:rsidP="0086771F">
            <w:pPr>
              <w:pStyle w:val="TabEtichette"/>
            </w:pPr>
            <w:r w:rsidRPr="00C103CD">
              <w:t xml:space="preserve">  Africa Sub-Sahariana</w:t>
            </w:r>
          </w:p>
        </w:tc>
        <w:tc>
          <w:tcPr>
            <w:tcW w:w="510" w:type="dxa"/>
          </w:tcPr>
          <w:p w14:paraId="415FC9D9" w14:textId="77777777" w:rsidR="00BE6A5D" w:rsidRPr="00D015E5" w:rsidRDefault="00BE6A5D" w:rsidP="0086771F">
            <w:pPr>
              <w:pStyle w:val="TabNumeri"/>
            </w:pPr>
            <w:r w:rsidRPr="003E444D">
              <w:t>-1,9</w:t>
            </w:r>
          </w:p>
        </w:tc>
        <w:tc>
          <w:tcPr>
            <w:tcW w:w="510" w:type="dxa"/>
          </w:tcPr>
          <w:p w14:paraId="12CF6D31" w14:textId="77777777" w:rsidR="00BE6A5D" w:rsidRPr="00D015E5" w:rsidRDefault="00BE6A5D" w:rsidP="0086771F">
            <w:pPr>
              <w:pStyle w:val="TabNumeri"/>
            </w:pPr>
            <w:r w:rsidRPr="003E444D">
              <w:t>3,4</w:t>
            </w:r>
          </w:p>
        </w:tc>
        <w:tc>
          <w:tcPr>
            <w:tcW w:w="510" w:type="dxa"/>
          </w:tcPr>
          <w:p w14:paraId="3A9C9EBC" w14:textId="77777777" w:rsidR="00BE6A5D" w:rsidRPr="00D015E5" w:rsidRDefault="00BE6A5D" w:rsidP="0086771F">
            <w:pPr>
              <w:pStyle w:val="TabNumeri"/>
            </w:pPr>
            <w:r w:rsidRPr="003E444D">
              <w:t>4,0</w:t>
            </w:r>
          </w:p>
        </w:tc>
        <w:tc>
          <w:tcPr>
            <w:tcW w:w="340" w:type="dxa"/>
          </w:tcPr>
          <w:p w14:paraId="25825309" w14:textId="77777777" w:rsidR="00BE6A5D" w:rsidRPr="00BC2A0C" w:rsidRDefault="00BE6A5D" w:rsidP="0086771F">
            <w:pPr>
              <w:pStyle w:val="TabEtichette"/>
            </w:pPr>
          </w:p>
        </w:tc>
        <w:tc>
          <w:tcPr>
            <w:tcW w:w="2552" w:type="dxa"/>
          </w:tcPr>
          <w:p w14:paraId="13B857B7" w14:textId="77777777" w:rsidR="00BE6A5D" w:rsidRPr="00903CBB" w:rsidRDefault="00BE6A5D" w:rsidP="0086771F">
            <w:pPr>
              <w:pStyle w:val="TabEtichette"/>
            </w:pPr>
            <w:r w:rsidRPr="00903CBB">
              <w:t>Russia</w:t>
            </w:r>
          </w:p>
        </w:tc>
        <w:tc>
          <w:tcPr>
            <w:tcW w:w="510" w:type="dxa"/>
          </w:tcPr>
          <w:p w14:paraId="2209B9FC" w14:textId="77777777" w:rsidR="00BE6A5D" w:rsidRPr="003C12E0" w:rsidRDefault="00BE6A5D" w:rsidP="0086771F">
            <w:pPr>
              <w:pStyle w:val="TabNumeri"/>
            </w:pPr>
            <w:r w:rsidRPr="00F86A4C">
              <w:t>-3,1</w:t>
            </w:r>
          </w:p>
        </w:tc>
        <w:tc>
          <w:tcPr>
            <w:tcW w:w="510" w:type="dxa"/>
          </w:tcPr>
          <w:p w14:paraId="6A30BC5B" w14:textId="77777777" w:rsidR="00BE6A5D" w:rsidRPr="003C12E0" w:rsidRDefault="00BE6A5D" w:rsidP="0086771F">
            <w:pPr>
              <w:pStyle w:val="TabNumeri"/>
            </w:pPr>
            <w:r w:rsidRPr="00F86A4C">
              <w:t>3,8</w:t>
            </w:r>
          </w:p>
        </w:tc>
        <w:tc>
          <w:tcPr>
            <w:tcW w:w="514" w:type="dxa"/>
          </w:tcPr>
          <w:p w14:paraId="6AB6D7A8" w14:textId="77777777" w:rsidR="00BE6A5D" w:rsidRPr="003C12E0" w:rsidRDefault="00BE6A5D" w:rsidP="0086771F">
            <w:pPr>
              <w:pStyle w:val="TabNumeri"/>
            </w:pPr>
            <w:r w:rsidRPr="00F86A4C">
              <w:t>3,8</w:t>
            </w:r>
          </w:p>
        </w:tc>
      </w:tr>
      <w:tr w:rsidR="00BE6A5D" w:rsidRPr="003C12E0" w14:paraId="5DF9B25F" w14:textId="77777777" w:rsidTr="0086771F">
        <w:trPr>
          <w:cantSplit/>
          <w:trHeight w:val="255"/>
        </w:trPr>
        <w:tc>
          <w:tcPr>
            <w:tcW w:w="3402" w:type="dxa"/>
            <w:shd w:val="clear" w:color="auto" w:fill="F2F2F2" w:themeFill="background1" w:themeFillShade="F2"/>
          </w:tcPr>
          <w:p w14:paraId="4F7393EB" w14:textId="77777777" w:rsidR="00BE6A5D" w:rsidRDefault="00BE6A5D" w:rsidP="0086771F">
            <w:pPr>
              <w:pStyle w:val="TabEtichette"/>
            </w:pPr>
            <w:r w:rsidRPr="00C103CD">
              <w:t xml:space="preserve">  America Latina e Caraibi</w:t>
            </w:r>
          </w:p>
        </w:tc>
        <w:tc>
          <w:tcPr>
            <w:tcW w:w="510" w:type="dxa"/>
            <w:shd w:val="clear" w:color="auto" w:fill="F2F2F2" w:themeFill="background1" w:themeFillShade="F2"/>
          </w:tcPr>
          <w:p w14:paraId="1FFE900A" w14:textId="77777777" w:rsidR="00BE6A5D" w:rsidRPr="00D015E5" w:rsidRDefault="00BE6A5D" w:rsidP="0086771F">
            <w:pPr>
              <w:pStyle w:val="TabNumeri"/>
            </w:pPr>
            <w:r w:rsidRPr="003E444D">
              <w:t>-7,0</w:t>
            </w:r>
          </w:p>
        </w:tc>
        <w:tc>
          <w:tcPr>
            <w:tcW w:w="510" w:type="dxa"/>
            <w:shd w:val="clear" w:color="auto" w:fill="F2F2F2" w:themeFill="background1" w:themeFillShade="F2"/>
          </w:tcPr>
          <w:p w14:paraId="03E8982B" w14:textId="77777777" w:rsidR="00BE6A5D" w:rsidRPr="00D015E5" w:rsidRDefault="00BE6A5D" w:rsidP="0086771F">
            <w:pPr>
              <w:pStyle w:val="TabNumeri"/>
            </w:pPr>
            <w:r w:rsidRPr="003E444D">
              <w:t>4,6</w:t>
            </w:r>
          </w:p>
        </w:tc>
        <w:tc>
          <w:tcPr>
            <w:tcW w:w="510" w:type="dxa"/>
            <w:shd w:val="clear" w:color="auto" w:fill="F2F2F2" w:themeFill="background1" w:themeFillShade="F2"/>
          </w:tcPr>
          <w:p w14:paraId="0D225682" w14:textId="77777777" w:rsidR="00BE6A5D" w:rsidRPr="00D015E5" w:rsidRDefault="00BE6A5D" w:rsidP="0086771F">
            <w:pPr>
              <w:pStyle w:val="TabNumeri"/>
            </w:pPr>
            <w:r w:rsidRPr="003E444D">
              <w:t>3,1</w:t>
            </w:r>
          </w:p>
        </w:tc>
        <w:tc>
          <w:tcPr>
            <w:tcW w:w="340" w:type="dxa"/>
            <w:shd w:val="clear" w:color="auto" w:fill="F2F2F2" w:themeFill="background1" w:themeFillShade="F2"/>
          </w:tcPr>
          <w:p w14:paraId="795D6522" w14:textId="77777777" w:rsidR="00BE6A5D" w:rsidRPr="00BC2A0C" w:rsidRDefault="00BE6A5D" w:rsidP="0086771F">
            <w:pPr>
              <w:pStyle w:val="TabEtichette"/>
            </w:pPr>
          </w:p>
        </w:tc>
        <w:tc>
          <w:tcPr>
            <w:tcW w:w="2552" w:type="dxa"/>
            <w:shd w:val="clear" w:color="auto" w:fill="F2F2F2" w:themeFill="background1" w:themeFillShade="F2"/>
          </w:tcPr>
          <w:p w14:paraId="0EFDB421" w14:textId="77777777" w:rsidR="00BE6A5D" w:rsidRPr="00903CBB" w:rsidRDefault="00BE6A5D" w:rsidP="0086771F">
            <w:pPr>
              <w:pStyle w:val="TabEtichette"/>
            </w:pPr>
            <w:r w:rsidRPr="00903CBB">
              <w:t>India</w:t>
            </w:r>
          </w:p>
        </w:tc>
        <w:tc>
          <w:tcPr>
            <w:tcW w:w="510" w:type="dxa"/>
            <w:shd w:val="clear" w:color="auto" w:fill="F2F2F2" w:themeFill="background1" w:themeFillShade="F2"/>
          </w:tcPr>
          <w:p w14:paraId="35F40352" w14:textId="77777777" w:rsidR="00BE6A5D" w:rsidRPr="003C12E0" w:rsidRDefault="00BE6A5D" w:rsidP="0086771F">
            <w:pPr>
              <w:pStyle w:val="TabNumeri"/>
            </w:pPr>
            <w:r w:rsidRPr="00F86A4C">
              <w:t>-8,0</w:t>
            </w:r>
          </w:p>
        </w:tc>
        <w:tc>
          <w:tcPr>
            <w:tcW w:w="510" w:type="dxa"/>
            <w:shd w:val="clear" w:color="auto" w:fill="F2F2F2" w:themeFill="background1" w:themeFillShade="F2"/>
          </w:tcPr>
          <w:p w14:paraId="6D303681" w14:textId="77777777" w:rsidR="00BE6A5D" w:rsidRPr="003C12E0" w:rsidRDefault="00BE6A5D" w:rsidP="0086771F">
            <w:pPr>
              <w:pStyle w:val="TabNumeri"/>
            </w:pPr>
            <w:r w:rsidRPr="00F86A4C">
              <w:t>12,5</w:t>
            </w:r>
          </w:p>
        </w:tc>
        <w:tc>
          <w:tcPr>
            <w:tcW w:w="514" w:type="dxa"/>
            <w:shd w:val="clear" w:color="auto" w:fill="F2F2F2" w:themeFill="background1" w:themeFillShade="F2"/>
          </w:tcPr>
          <w:p w14:paraId="6DA7EB45" w14:textId="77777777" w:rsidR="00BE6A5D" w:rsidRPr="003C12E0" w:rsidRDefault="00BE6A5D" w:rsidP="0086771F">
            <w:pPr>
              <w:pStyle w:val="TabNumeri"/>
            </w:pPr>
            <w:r w:rsidRPr="00F86A4C">
              <w:t>6,9</w:t>
            </w:r>
          </w:p>
        </w:tc>
      </w:tr>
      <w:tr w:rsidR="00BE6A5D" w:rsidRPr="003C12E0" w14:paraId="3010E4B3" w14:textId="77777777" w:rsidTr="0086771F">
        <w:trPr>
          <w:cantSplit/>
          <w:trHeight w:val="255"/>
        </w:trPr>
        <w:tc>
          <w:tcPr>
            <w:tcW w:w="3402" w:type="dxa"/>
          </w:tcPr>
          <w:p w14:paraId="4F3CCD8A" w14:textId="77777777" w:rsidR="00BE6A5D" w:rsidRDefault="00BE6A5D" w:rsidP="0086771F">
            <w:pPr>
              <w:pStyle w:val="TabEtichette"/>
            </w:pPr>
          </w:p>
        </w:tc>
        <w:tc>
          <w:tcPr>
            <w:tcW w:w="510" w:type="dxa"/>
          </w:tcPr>
          <w:p w14:paraId="6AA5F79B" w14:textId="77777777" w:rsidR="00BE6A5D" w:rsidRPr="00A8489B" w:rsidRDefault="00BE6A5D" w:rsidP="0086771F">
            <w:pPr>
              <w:pStyle w:val="TabNumeri"/>
            </w:pPr>
          </w:p>
        </w:tc>
        <w:tc>
          <w:tcPr>
            <w:tcW w:w="510" w:type="dxa"/>
          </w:tcPr>
          <w:p w14:paraId="7C18D24B" w14:textId="77777777" w:rsidR="00BE6A5D" w:rsidRPr="00A8489B" w:rsidRDefault="00BE6A5D" w:rsidP="0086771F">
            <w:pPr>
              <w:pStyle w:val="TabNumeri"/>
            </w:pPr>
          </w:p>
        </w:tc>
        <w:tc>
          <w:tcPr>
            <w:tcW w:w="510" w:type="dxa"/>
          </w:tcPr>
          <w:p w14:paraId="5F48710B" w14:textId="77777777" w:rsidR="00BE6A5D" w:rsidRDefault="00BE6A5D" w:rsidP="0086771F">
            <w:pPr>
              <w:pStyle w:val="TabNumeri"/>
            </w:pPr>
          </w:p>
        </w:tc>
        <w:tc>
          <w:tcPr>
            <w:tcW w:w="340" w:type="dxa"/>
          </w:tcPr>
          <w:p w14:paraId="79259F1D" w14:textId="77777777" w:rsidR="00BE6A5D" w:rsidRPr="00BC2A0C" w:rsidRDefault="00BE6A5D" w:rsidP="0086771F">
            <w:pPr>
              <w:pStyle w:val="TabEtichette"/>
            </w:pPr>
          </w:p>
        </w:tc>
        <w:tc>
          <w:tcPr>
            <w:tcW w:w="2552" w:type="dxa"/>
          </w:tcPr>
          <w:p w14:paraId="33561FDC" w14:textId="77777777" w:rsidR="00BE6A5D" w:rsidRPr="00903CBB" w:rsidRDefault="00BE6A5D" w:rsidP="0086771F">
            <w:pPr>
              <w:pStyle w:val="TabEtichette"/>
            </w:pPr>
            <w:r w:rsidRPr="00903CBB">
              <w:t>Brasile</w:t>
            </w:r>
          </w:p>
        </w:tc>
        <w:tc>
          <w:tcPr>
            <w:tcW w:w="510" w:type="dxa"/>
          </w:tcPr>
          <w:p w14:paraId="0A110C5F" w14:textId="77777777" w:rsidR="00BE6A5D" w:rsidRPr="003C12E0" w:rsidRDefault="00BE6A5D" w:rsidP="0086771F">
            <w:pPr>
              <w:pStyle w:val="TabNumeri"/>
            </w:pPr>
            <w:r w:rsidRPr="00F86A4C">
              <w:t>-4,1</w:t>
            </w:r>
          </w:p>
        </w:tc>
        <w:tc>
          <w:tcPr>
            <w:tcW w:w="510" w:type="dxa"/>
          </w:tcPr>
          <w:p w14:paraId="4B145CFF" w14:textId="77777777" w:rsidR="00BE6A5D" w:rsidRPr="003C12E0" w:rsidRDefault="00BE6A5D" w:rsidP="0086771F">
            <w:pPr>
              <w:pStyle w:val="TabNumeri"/>
            </w:pPr>
            <w:r w:rsidRPr="00F86A4C">
              <w:t>3,7</w:t>
            </w:r>
          </w:p>
        </w:tc>
        <w:tc>
          <w:tcPr>
            <w:tcW w:w="514" w:type="dxa"/>
          </w:tcPr>
          <w:p w14:paraId="67407D39" w14:textId="77777777" w:rsidR="00BE6A5D" w:rsidRPr="003C12E0" w:rsidRDefault="00BE6A5D" w:rsidP="0086771F">
            <w:pPr>
              <w:pStyle w:val="TabNumeri"/>
            </w:pPr>
            <w:r w:rsidRPr="00F86A4C">
              <w:t>2,6</w:t>
            </w:r>
          </w:p>
        </w:tc>
      </w:tr>
      <w:tr w:rsidR="00BE6A5D" w14:paraId="6504560B" w14:textId="77777777" w:rsidTr="0086771F">
        <w:trPr>
          <w:cantSplit/>
          <w:trHeight w:val="255"/>
        </w:trPr>
        <w:tc>
          <w:tcPr>
            <w:tcW w:w="3402" w:type="dxa"/>
            <w:shd w:val="clear" w:color="auto" w:fill="F2F2F2" w:themeFill="background1" w:themeFillShade="F2"/>
          </w:tcPr>
          <w:p w14:paraId="13227D93" w14:textId="77777777" w:rsidR="00BE6A5D" w:rsidRPr="007C2916" w:rsidRDefault="00BE6A5D" w:rsidP="0086771F">
            <w:pPr>
              <w:pStyle w:val="TabEtichette"/>
            </w:pPr>
          </w:p>
        </w:tc>
        <w:tc>
          <w:tcPr>
            <w:tcW w:w="510" w:type="dxa"/>
            <w:shd w:val="clear" w:color="auto" w:fill="F2F2F2" w:themeFill="background1" w:themeFillShade="F2"/>
          </w:tcPr>
          <w:p w14:paraId="2D381C03" w14:textId="77777777" w:rsidR="00BE6A5D" w:rsidRPr="003234B1" w:rsidRDefault="00BE6A5D" w:rsidP="0086771F">
            <w:pPr>
              <w:pStyle w:val="TabNumeri"/>
            </w:pPr>
          </w:p>
        </w:tc>
        <w:tc>
          <w:tcPr>
            <w:tcW w:w="510" w:type="dxa"/>
            <w:shd w:val="clear" w:color="auto" w:fill="F2F2F2" w:themeFill="background1" w:themeFillShade="F2"/>
          </w:tcPr>
          <w:p w14:paraId="5C976DFD" w14:textId="77777777" w:rsidR="00BE6A5D" w:rsidRPr="003234B1" w:rsidRDefault="00BE6A5D" w:rsidP="0086771F">
            <w:pPr>
              <w:pStyle w:val="TabNumeri"/>
            </w:pPr>
          </w:p>
        </w:tc>
        <w:tc>
          <w:tcPr>
            <w:tcW w:w="510" w:type="dxa"/>
            <w:shd w:val="clear" w:color="auto" w:fill="F2F2F2" w:themeFill="background1" w:themeFillShade="F2"/>
          </w:tcPr>
          <w:p w14:paraId="38636704" w14:textId="77777777" w:rsidR="00BE6A5D" w:rsidRPr="003234B1" w:rsidRDefault="00BE6A5D" w:rsidP="0086771F">
            <w:pPr>
              <w:pStyle w:val="TabNumeri"/>
            </w:pPr>
          </w:p>
        </w:tc>
        <w:tc>
          <w:tcPr>
            <w:tcW w:w="340" w:type="dxa"/>
            <w:shd w:val="clear" w:color="auto" w:fill="F2F2F2" w:themeFill="background1" w:themeFillShade="F2"/>
          </w:tcPr>
          <w:p w14:paraId="5873D1B4" w14:textId="77777777" w:rsidR="00BE6A5D" w:rsidRPr="00BC2A0C" w:rsidRDefault="00BE6A5D" w:rsidP="0086771F">
            <w:pPr>
              <w:pStyle w:val="TabEtichette"/>
            </w:pPr>
          </w:p>
        </w:tc>
        <w:tc>
          <w:tcPr>
            <w:tcW w:w="2552" w:type="dxa"/>
            <w:shd w:val="clear" w:color="auto" w:fill="F2F2F2" w:themeFill="background1" w:themeFillShade="F2"/>
          </w:tcPr>
          <w:p w14:paraId="6E40CAA4" w14:textId="77777777" w:rsidR="00BE6A5D" w:rsidRDefault="00BE6A5D" w:rsidP="0086771F">
            <w:pPr>
              <w:pStyle w:val="TabEtichette"/>
            </w:pPr>
            <w:r w:rsidRPr="00903CBB">
              <w:t>Messico</w:t>
            </w:r>
          </w:p>
        </w:tc>
        <w:tc>
          <w:tcPr>
            <w:tcW w:w="510" w:type="dxa"/>
            <w:shd w:val="clear" w:color="auto" w:fill="F2F2F2" w:themeFill="background1" w:themeFillShade="F2"/>
          </w:tcPr>
          <w:p w14:paraId="46AAF721" w14:textId="77777777" w:rsidR="00BE6A5D" w:rsidRPr="003C12E0" w:rsidRDefault="00BE6A5D" w:rsidP="0086771F">
            <w:pPr>
              <w:pStyle w:val="TabNumeri"/>
            </w:pPr>
            <w:r w:rsidRPr="00F86A4C">
              <w:t>-8,2</w:t>
            </w:r>
          </w:p>
        </w:tc>
        <w:tc>
          <w:tcPr>
            <w:tcW w:w="510" w:type="dxa"/>
            <w:shd w:val="clear" w:color="auto" w:fill="F2F2F2" w:themeFill="background1" w:themeFillShade="F2"/>
          </w:tcPr>
          <w:p w14:paraId="27D78914" w14:textId="77777777" w:rsidR="00BE6A5D" w:rsidRPr="003C12E0" w:rsidRDefault="00BE6A5D" w:rsidP="0086771F">
            <w:pPr>
              <w:pStyle w:val="TabNumeri"/>
            </w:pPr>
            <w:r w:rsidRPr="00F86A4C">
              <w:t>5,0</w:t>
            </w:r>
          </w:p>
        </w:tc>
        <w:tc>
          <w:tcPr>
            <w:tcW w:w="514" w:type="dxa"/>
            <w:shd w:val="clear" w:color="auto" w:fill="F2F2F2" w:themeFill="background1" w:themeFillShade="F2"/>
          </w:tcPr>
          <w:p w14:paraId="12B280D0" w14:textId="77777777" w:rsidR="00BE6A5D" w:rsidRDefault="00BE6A5D" w:rsidP="0086771F">
            <w:pPr>
              <w:pStyle w:val="TabNumeri"/>
            </w:pPr>
            <w:r w:rsidRPr="00F86A4C">
              <w:t>3,0</w:t>
            </w:r>
          </w:p>
        </w:tc>
      </w:tr>
      <w:tr w:rsidR="00BE6A5D" w:rsidRPr="009100D8" w14:paraId="49E1EAD8" w14:textId="77777777" w:rsidTr="0086771F">
        <w:trPr>
          <w:cantSplit/>
          <w:trHeight w:val="255"/>
        </w:trPr>
        <w:tc>
          <w:tcPr>
            <w:tcW w:w="9358" w:type="dxa"/>
            <w:gridSpan w:val="9"/>
          </w:tcPr>
          <w:p w14:paraId="7265E3D2" w14:textId="77777777" w:rsidR="00BE6A5D" w:rsidRPr="009100D8" w:rsidRDefault="00BE6A5D" w:rsidP="0086771F">
            <w:pPr>
              <w:pStyle w:val="TabIntestaSup"/>
            </w:pPr>
            <w:r>
              <w:t>Commercio mondiale</w:t>
            </w:r>
          </w:p>
        </w:tc>
      </w:tr>
      <w:tr w:rsidR="00BE6A5D" w:rsidRPr="006129FC" w14:paraId="0ADF5DB0" w14:textId="77777777" w:rsidTr="0086771F">
        <w:trPr>
          <w:cantSplit/>
          <w:trHeight w:val="255"/>
        </w:trPr>
        <w:tc>
          <w:tcPr>
            <w:tcW w:w="3402" w:type="dxa"/>
            <w:shd w:val="clear" w:color="auto" w:fill="F2F2F2" w:themeFill="background1" w:themeFillShade="F2"/>
          </w:tcPr>
          <w:p w14:paraId="7AFB4E89" w14:textId="77777777" w:rsidR="00BE6A5D" w:rsidRPr="00BC2A0C" w:rsidRDefault="00BE6A5D" w:rsidP="0086771F">
            <w:pPr>
              <w:pStyle w:val="TabEtichette"/>
            </w:pPr>
            <w:r w:rsidRPr="00BC2A0C">
              <w:t>Commercio mondiale(c)</w:t>
            </w:r>
          </w:p>
        </w:tc>
        <w:tc>
          <w:tcPr>
            <w:tcW w:w="510" w:type="dxa"/>
            <w:shd w:val="clear" w:color="auto" w:fill="F2F2F2" w:themeFill="background1" w:themeFillShade="F2"/>
          </w:tcPr>
          <w:p w14:paraId="1600D775" w14:textId="77777777" w:rsidR="00BE6A5D" w:rsidRPr="00FB0BDD" w:rsidRDefault="00BE6A5D" w:rsidP="0086771F">
            <w:pPr>
              <w:pStyle w:val="TabNumeri"/>
            </w:pPr>
            <w:r w:rsidRPr="00C03FE6">
              <w:t>-8,5</w:t>
            </w:r>
          </w:p>
        </w:tc>
        <w:tc>
          <w:tcPr>
            <w:tcW w:w="510" w:type="dxa"/>
            <w:shd w:val="clear" w:color="auto" w:fill="F2F2F2" w:themeFill="background1" w:themeFillShade="F2"/>
          </w:tcPr>
          <w:p w14:paraId="39565662" w14:textId="77777777" w:rsidR="00BE6A5D" w:rsidRPr="00FB0BDD" w:rsidRDefault="00BE6A5D" w:rsidP="0086771F">
            <w:pPr>
              <w:pStyle w:val="TabNumeri"/>
            </w:pPr>
            <w:r w:rsidRPr="00C03FE6">
              <w:t>8,4</w:t>
            </w:r>
          </w:p>
        </w:tc>
        <w:tc>
          <w:tcPr>
            <w:tcW w:w="510" w:type="dxa"/>
            <w:shd w:val="clear" w:color="auto" w:fill="F2F2F2" w:themeFill="background1" w:themeFillShade="F2"/>
          </w:tcPr>
          <w:p w14:paraId="403CADE4" w14:textId="77777777" w:rsidR="00BE6A5D" w:rsidRPr="00FB0BDD" w:rsidRDefault="00BE6A5D" w:rsidP="0086771F">
            <w:pPr>
              <w:pStyle w:val="TabNumeri"/>
            </w:pPr>
            <w:r w:rsidRPr="00C03FE6">
              <w:t>6,5</w:t>
            </w:r>
          </w:p>
        </w:tc>
        <w:tc>
          <w:tcPr>
            <w:tcW w:w="340" w:type="dxa"/>
            <w:shd w:val="clear" w:color="auto" w:fill="F2F2F2" w:themeFill="background1" w:themeFillShade="F2"/>
          </w:tcPr>
          <w:p w14:paraId="72E7D7D2" w14:textId="77777777" w:rsidR="00BE6A5D" w:rsidRPr="00BC2A0C" w:rsidRDefault="00BE6A5D" w:rsidP="0086771F">
            <w:pPr>
              <w:pStyle w:val="TabEtichette"/>
            </w:pPr>
          </w:p>
        </w:tc>
        <w:tc>
          <w:tcPr>
            <w:tcW w:w="2552" w:type="dxa"/>
            <w:shd w:val="clear" w:color="auto" w:fill="F2F2F2" w:themeFill="background1" w:themeFillShade="F2"/>
          </w:tcPr>
          <w:p w14:paraId="434F84E1" w14:textId="77777777" w:rsidR="00BE6A5D" w:rsidRPr="00BC2A0C" w:rsidRDefault="00BE6A5D" w:rsidP="0086771F">
            <w:pPr>
              <w:pStyle w:val="TabEtichette"/>
            </w:pPr>
          </w:p>
        </w:tc>
        <w:tc>
          <w:tcPr>
            <w:tcW w:w="510" w:type="dxa"/>
            <w:shd w:val="clear" w:color="auto" w:fill="F2F2F2" w:themeFill="background1" w:themeFillShade="F2"/>
          </w:tcPr>
          <w:p w14:paraId="5CA993AA" w14:textId="77777777" w:rsidR="00BE6A5D" w:rsidRPr="006129FC" w:rsidRDefault="00BE6A5D" w:rsidP="0086771F">
            <w:pPr>
              <w:pStyle w:val="TabNumeri"/>
            </w:pPr>
          </w:p>
        </w:tc>
        <w:tc>
          <w:tcPr>
            <w:tcW w:w="510" w:type="dxa"/>
            <w:shd w:val="clear" w:color="auto" w:fill="F2F2F2" w:themeFill="background1" w:themeFillShade="F2"/>
          </w:tcPr>
          <w:p w14:paraId="7092B81F" w14:textId="77777777" w:rsidR="00BE6A5D" w:rsidRPr="006129FC" w:rsidRDefault="00BE6A5D" w:rsidP="0086771F">
            <w:pPr>
              <w:pStyle w:val="TabNumeri"/>
            </w:pPr>
          </w:p>
        </w:tc>
        <w:tc>
          <w:tcPr>
            <w:tcW w:w="514" w:type="dxa"/>
            <w:shd w:val="clear" w:color="auto" w:fill="F2F2F2" w:themeFill="background1" w:themeFillShade="F2"/>
          </w:tcPr>
          <w:p w14:paraId="47AE7586" w14:textId="77777777" w:rsidR="00BE6A5D" w:rsidRPr="006129FC" w:rsidRDefault="00BE6A5D" w:rsidP="0086771F">
            <w:pPr>
              <w:pStyle w:val="TabNumeri"/>
            </w:pPr>
          </w:p>
        </w:tc>
      </w:tr>
      <w:tr w:rsidR="00BE6A5D" w:rsidRPr="000A7543" w14:paraId="416167CC" w14:textId="77777777" w:rsidTr="0086771F">
        <w:trPr>
          <w:cantSplit/>
          <w:trHeight w:val="255"/>
        </w:trPr>
        <w:tc>
          <w:tcPr>
            <w:tcW w:w="3402" w:type="dxa"/>
          </w:tcPr>
          <w:p w14:paraId="3619F1C5" w14:textId="77777777" w:rsidR="00BE6A5D" w:rsidRPr="000A7543" w:rsidRDefault="00BE6A5D" w:rsidP="0086771F">
            <w:pPr>
              <w:pStyle w:val="TabEtichette"/>
            </w:pPr>
            <w:r w:rsidRPr="000A7543">
              <w:t>Importazioni</w:t>
            </w:r>
          </w:p>
        </w:tc>
        <w:tc>
          <w:tcPr>
            <w:tcW w:w="510" w:type="dxa"/>
          </w:tcPr>
          <w:p w14:paraId="1C5CDB53" w14:textId="77777777" w:rsidR="00BE6A5D" w:rsidRPr="000A7543" w:rsidRDefault="00BE6A5D" w:rsidP="0086771F">
            <w:pPr>
              <w:pStyle w:val="TabNumeri"/>
            </w:pPr>
          </w:p>
        </w:tc>
        <w:tc>
          <w:tcPr>
            <w:tcW w:w="510" w:type="dxa"/>
          </w:tcPr>
          <w:p w14:paraId="3156C0F1" w14:textId="77777777" w:rsidR="00BE6A5D" w:rsidRPr="000A7543" w:rsidRDefault="00BE6A5D" w:rsidP="0086771F">
            <w:pPr>
              <w:pStyle w:val="TabNumeri"/>
            </w:pPr>
          </w:p>
        </w:tc>
        <w:tc>
          <w:tcPr>
            <w:tcW w:w="510" w:type="dxa"/>
          </w:tcPr>
          <w:p w14:paraId="6834A375" w14:textId="77777777" w:rsidR="00BE6A5D" w:rsidRPr="000A7543" w:rsidRDefault="00BE6A5D" w:rsidP="0086771F">
            <w:pPr>
              <w:pStyle w:val="TabNumeri"/>
            </w:pPr>
          </w:p>
        </w:tc>
        <w:tc>
          <w:tcPr>
            <w:tcW w:w="340" w:type="dxa"/>
          </w:tcPr>
          <w:p w14:paraId="466FAB67" w14:textId="77777777" w:rsidR="00BE6A5D" w:rsidRPr="000A7543" w:rsidRDefault="00BE6A5D" w:rsidP="0086771F">
            <w:pPr>
              <w:pStyle w:val="TabEtichette"/>
            </w:pPr>
          </w:p>
        </w:tc>
        <w:tc>
          <w:tcPr>
            <w:tcW w:w="2552" w:type="dxa"/>
          </w:tcPr>
          <w:p w14:paraId="450F5779" w14:textId="77777777" w:rsidR="00BE6A5D" w:rsidRPr="000A7543" w:rsidRDefault="00BE6A5D" w:rsidP="0086771F">
            <w:pPr>
              <w:pStyle w:val="TabEtichette"/>
            </w:pPr>
            <w:r w:rsidRPr="000A7543">
              <w:t>Esportazioni</w:t>
            </w:r>
          </w:p>
        </w:tc>
        <w:tc>
          <w:tcPr>
            <w:tcW w:w="510" w:type="dxa"/>
          </w:tcPr>
          <w:p w14:paraId="789B9A9D" w14:textId="77777777" w:rsidR="00BE6A5D" w:rsidRPr="000A7543" w:rsidRDefault="00BE6A5D" w:rsidP="0086771F">
            <w:pPr>
              <w:pStyle w:val="TabNumeri"/>
            </w:pPr>
          </w:p>
        </w:tc>
        <w:tc>
          <w:tcPr>
            <w:tcW w:w="510" w:type="dxa"/>
          </w:tcPr>
          <w:p w14:paraId="04877B31" w14:textId="77777777" w:rsidR="00BE6A5D" w:rsidRPr="000A7543" w:rsidRDefault="00BE6A5D" w:rsidP="0086771F">
            <w:pPr>
              <w:pStyle w:val="TabNumeri"/>
            </w:pPr>
          </w:p>
        </w:tc>
        <w:tc>
          <w:tcPr>
            <w:tcW w:w="514" w:type="dxa"/>
          </w:tcPr>
          <w:p w14:paraId="5C8DA78B" w14:textId="77777777" w:rsidR="00BE6A5D" w:rsidRPr="000A7543" w:rsidRDefault="00BE6A5D" w:rsidP="0086771F">
            <w:pPr>
              <w:pStyle w:val="TabNumeri"/>
            </w:pPr>
          </w:p>
        </w:tc>
      </w:tr>
      <w:tr w:rsidR="00BE6A5D" w:rsidRPr="000A7543" w14:paraId="7AC5E7B8" w14:textId="77777777" w:rsidTr="0086771F">
        <w:trPr>
          <w:cantSplit/>
          <w:trHeight w:val="255"/>
        </w:trPr>
        <w:tc>
          <w:tcPr>
            <w:tcW w:w="3402" w:type="dxa"/>
            <w:shd w:val="clear" w:color="auto" w:fill="F2F2F2" w:themeFill="background1" w:themeFillShade="F2"/>
          </w:tcPr>
          <w:p w14:paraId="50D7D0F4" w14:textId="77777777" w:rsidR="00BE6A5D" w:rsidRPr="000A7543" w:rsidRDefault="00BE6A5D" w:rsidP="0086771F">
            <w:pPr>
              <w:pStyle w:val="TabEtichette"/>
            </w:pPr>
            <w:r w:rsidRPr="000A7543">
              <w:t xml:space="preserve">  Economie avanzate</w:t>
            </w:r>
          </w:p>
        </w:tc>
        <w:tc>
          <w:tcPr>
            <w:tcW w:w="510" w:type="dxa"/>
            <w:shd w:val="clear" w:color="auto" w:fill="F2F2F2" w:themeFill="background1" w:themeFillShade="F2"/>
          </w:tcPr>
          <w:p w14:paraId="0278044D" w14:textId="77777777" w:rsidR="00BE6A5D" w:rsidRPr="000A7543" w:rsidRDefault="00BE6A5D" w:rsidP="0086771F">
            <w:pPr>
              <w:pStyle w:val="TabNumeri"/>
            </w:pPr>
            <w:r w:rsidRPr="000A7543">
              <w:t>-9,1</w:t>
            </w:r>
          </w:p>
        </w:tc>
        <w:tc>
          <w:tcPr>
            <w:tcW w:w="510" w:type="dxa"/>
            <w:shd w:val="clear" w:color="auto" w:fill="F2F2F2" w:themeFill="background1" w:themeFillShade="F2"/>
          </w:tcPr>
          <w:p w14:paraId="5149A16A" w14:textId="77777777" w:rsidR="00BE6A5D" w:rsidRPr="000A7543" w:rsidRDefault="00BE6A5D" w:rsidP="0086771F">
            <w:pPr>
              <w:pStyle w:val="TabNumeri"/>
            </w:pPr>
            <w:r w:rsidRPr="000A7543">
              <w:t>9,1</w:t>
            </w:r>
          </w:p>
        </w:tc>
        <w:tc>
          <w:tcPr>
            <w:tcW w:w="510" w:type="dxa"/>
            <w:shd w:val="clear" w:color="auto" w:fill="F2F2F2" w:themeFill="background1" w:themeFillShade="F2"/>
          </w:tcPr>
          <w:p w14:paraId="10C23621" w14:textId="77777777" w:rsidR="00BE6A5D" w:rsidRPr="000A7543" w:rsidRDefault="00BE6A5D" w:rsidP="0086771F">
            <w:pPr>
              <w:pStyle w:val="TabNumeri"/>
            </w:pPr>
            <w:r w:rsidRPr="000A7543">
              <w:t>6,4</w:t>
            </w:r>
          </w:p>
        </w:tc>
        <w:tc>
          <w:tcPr>
            <w:tcW w:w="340" w:type="dxa"/>
            <w:shd w:val="clear" w:color="auto" w:fill="F2F2F2" w:themeFill="background1" w:themeFillShade="F2"/>
          </w:tcPr>
          <w:p w14:paraId="05A35992" w14:textId="77777777" w:rsidR="00BE6A5D" w:rsidRPr="000A7543" w:rsidRDefault="00BE6A5D" w:rsidP="0086771F">
            <w:pPr>
              <w:pStyle w:val="TabEtichette"/>
            </w:pPr>
          </w:p>
        </w:tc>
        <w:tc>
          <w:tcPr>
            <w:tcW w:w="2552" w:type="dxa"/>
            <w:shd w:val="clear" w:color="auto" w:fill="F2F2F2" w:themeFill="background1" w:themeFillShade="F2"/>
          </w:tcPr>
          <w:p w14:paraId="66AFF7C0" w14:textId="77777777" w:rsidR="00BE6A5D" w:rsidRPr="000A7543" w:rsidRDefault="00BE6A5D" w:rsidP="0086771F">
            <w:pPr>
              <w:pStyle w:val="TabEtichette"/>
            </w:pPr>
            <w:r w:rsidRPr="000A7543">
              <w:t xml:space="preserve">  Economie avanzate</w:t>
            </w:r>
          </w:p>
        </w:tc>
        <w:tc>
          <w:tcPr>
            <w:tcW w:w="510" w:type="dxa"/>
            <w:shd w:val="clear" w:color="auto" w:fill="F2F2F2" w:themeFill="background1" w:themeFillShade="F2"/>
          </w:tcPr>
          <w:p w14:paraId="07C0660F" w14:textId="77777777" w:rsidR="00BE6A5D" w:rsidRPr="000A7543" w:rsidRDefault="00BE6A5D" w:rsidP="0086771F">
            <w:pPr>
              <w:pStyle w:val="TabNumeri"/>
            </w:pPr>
            <w:r w:rsidRPr="000A7543">
              <w:t>-9,5</w:t>
            </w:r>
          </w:p>
        </w:tc>
        <w:tc>
          <w:tcPr>
            <w:tcW w:w="510" w:type="dxa"/>
            <w:shd w:val="clear" w:color="auto" w:fill="F2F2F2" w:themeFill="background1" w:themeFillShade="F2"/>
          </w:tcPr>
          <w:p w14:paraId="7B17F0BD" w14:textId="77777777" w:rsidR="00BE6A5D" w:rsidRPr="000A7543" w:rsidRDefault="00BE6A5D" w:rsidP="0086771F">
            <w:pPr>
              <w:pStyle w:val="TabNumeri"/>
            </w:pPr>
            <w:r w:rsidRPr="000A7543">
              <w:t>7,9</w:t>
            </w:r>
          </w:p>
        </w:tc>
        <w:tc>
          <w:tcPr>
            <w:tcW w:w="514" w:type="dxa"/>
            <w:shd w:val="clear" w:color="auto" w:fill="F2F2F2" w:themeFill="background1" w:themeFillShade="F2"/>
          </w:tcPr>
          <w:p w14:paraId="607B71B4" w14:textId="77777777" w:rsidR="00BE6A5D" w:rsidRPr="000A7543" w:rsidRDefault="00BE6A5D" w:rsidP="0086771F">
            <w:pPr>
              <w:pStyle w:val="TabNumeri"/>
            </w:pPr>
            <w:r w:rsidRPr="000A7543">
              <w:t>6,4</w:t>
            </w:r>
          </w:p>
        </w:tc>
      </w:tr>
      <w:tr w:rsidR="00BE6A5D" w:rsidRPr="000A7543" w14:paraId="5C77B41D" w14:textId="77777777" w:rsidTr="0086771F">
        <w:trPr>
          <w:cantSplit/>
          <w:trHeight w:val="255"/>
        </w:trPr>
        <w:tc>
          <w:tcPr>
            <w:tcW w:w="3402" w:type="dxa"/>
          </w:tcPr>
          <w:p w14:paraId="15577C2D" w14:textId="77777777" w:rsidR="00BE6A5D" w:rsidRPr="000A7543" w:rsidRDefault="00BE6A5D" w:rsidP="0086771F">
            <w:pPr>
              <w:pStyle w:val="TabEtichette"/>
            </w:pPr>
            <w:r w:rsidRPr="000A7543">
              <w:t xml:space="preserve">  Economie emergenti e in sviluppo</w:t>
            </w:r>
          </w:p>
        </w:tc>
        <w:tc>
          <w:tcPr>
            <w:tcW w:w="510" w:type="dxa"/>
          </w:tcPr>
          <w:p w14:paraId="5843876A" w14:textId="77777777" w:rsidR="00BE6A5D" w:rsidRPr="000A7543" w:rsidRDefault="00BE6A5D" w:rsidP="0086771F">
            <w:pPr>
              <w:pStyle w:val="TabNumeri"/>
            </w:pPr>
            <w:r w:rsidRPr="000A7543">
              <w:t>-8,6</w:t>
            </w:r>
          </w:p>
        </w:tc>
        <w:tc>
          <w:tcPr>
            <w:tcW w:w="510" w:type="dxa"/>
          </w:tcPr>
          <w:p w14:paraId="31AEC8C6" w14:textId="77777777" w:rsidR="00BE6A5D" w:rsidRPr="000A7543" w:rsidRDefault="00BE6A5D" w:rsidP="0086771F">
            <w:pPr>
              <w:pStyle w:val="TabNumeri"/>
            </w:pPr>
            <w:r w:rsidRPr="000A7543">
              <w:t>9,0</w:t>
            </w:r>
          </w:p>
        </w:tc>
        <w:tc>
          <w:tcPr>
            <w:tcW w:w="510" w:type="dxa"/>
          </w:tcPr>
          <w:p w14:paraId="1959108D" w14:textId="77777777" w:rsidR="00BE6A5D" w:rsidRPr="000A7543" w:rsidRDefault="00BE6A5D" w:rsidP="0086771F">
            <w:pPr>
              <w:pStyle w:val="TabNumeri"/>
            </w:pPr>
            <w:r w:rsidRPr="000A7543">
              <w:t>7,4</w:t>
            </w:r>
          </w:p>
        </w:tc>
        <w:tc>
          <w:tcPr>
            <w:tcW w:w="340" w:type="dxa"/>
          </w:tcPr>
          <w:p w14:paraId="08DCA2AE" w14:textId="77777777" w:rsidR="00BE6A5D" w:rsidRPr="000A7543" w:rsidRDefault="00BE6A5D" w:rsidP="0086771F">
            <w:pPr>
              <w:pStyle w:val="TabEtichette"/>
            </w:pPr>
          </w:p>
        </w:tc>
        <w:tc>
          <w:tcPr>
            <w:tcW w:w="2552" w:type="dxa"/>
          </w:tcPr>
          <w:p w14:paraId="13599C32" w14:textId="77777777" w:rsidR="00BE6A5D" w:rsidRPr="000A7543" w:rsidRDefault="00BE6A5D" w:rsidP="0086771F">
            <w:pPr>
              <w:pStyle w:val="TabEtichette"/>
            </w:pPr>
            <w:r w:rsidRPr="000A7543">
              <w:t xml:space="preserve">  Economie emergenti e in sviluppo</w:t>
            </w:r>
          </w:p>
        </w:tc>
        <w:tc>
          <w:tcPr>
            <w:tcW w:w="510" w:type="dxa"/>
          </w:tcPr>
          <w:p w14:paraId="6FC9D95E" w14:textId="77777777" w:rsidR="00BE6A5D" w:rsidRPr="000A7543" w:rsidRDefault="00BE6A5D" w:rsidP="0086771F">
            <w:pPr>
              <w:pStyle w:val="TabNumeri"/>
            </w:pPr>
            <w:r w:rsidRPr="000A7543">
              <w:t>-5,7</w:t>
            </w:r>
          </w:p>
        </w:tc>
        <w:tc>
          <w:tcPr>
            <w:tcW w:w="510" w:type="dxa"/>
          </w:tcPr>
          <w:p w14:paraId="2DA4D59F" w14:textId="77777777" w:rsidR="00BE6A5D" w:rsidRPr="000A7543" w:rsidRDefault="00BE6A5D" w:rsidP="0086771F">
            <w:pPr>
              <w:pStyle w:val="TabNumeri"/>
            </w:pPr>
            <w:r w:rsidRPr="000A7543">
              <w:t>7,6</w:t>
            </w:r>
          </w:p>
        </w:tc>
        <w:tc>
          <w:tcPr>
            <w:tcW w:w="514" w:type="dxa"/>
          </w:tcPr>
          <w:p w14:paraId="27A412F3" w14:textId="77777777" w:rsidR="00BE6A5D" w:rsidRPr="000A7543" w:rsidRDefault="00BE6A5D" w:rsidP="0086771F">
            <w:pPr>
              <w:pStyle w:val="TabNumeri"/>
            </w:pPr>
            <w:r w:rsidRPr="000A7543">
              <w:t>6,0</w:t>
            </w:r>
          </w:p>
        </w:tc>
      </w:tr>
      <w:tr w:rsidR="00BE6A5D" w:rsidRPr="009100D8" w14:paraId="4802005E" w14:textId="77777777" w:rsidTr="0086771F">
        <w:trPr>
          <w:cantSplit/>
          <w:trHeight w:val="255"/>
        </w:trPr>
        <w:tc>
          <w:tcPr>
            <w:tcW w:w="9358" w:type="dxa"/>
            <w:gridSpan w:val="9"/>
            <w:shd w:val="clear" w:color="auto" w:fill="F2F2F2" w:themeFill="background1" w:themeFillShade="F2"/>
          </w:tcPr>
          <w:p w14:paraId="7745B371" w14:textId="77777777" w:rsidR="00BE6A5D" w:rsidRPr="009100D8" w:rsidRDefault="00BE6A5D" w:rsidP="0086771F">
            <w:pPr>
              <w:pStyle w:val="TabIntestaSup"/>
            </w:pPr>
            <w:r>
              <w:t>Prezzi</w:t>
            </w:r>
          </w:p>
        </w:tc>
      </w:tr>
      <w:tr w:rsidR="00BE6A5D" w:rsidRPr="006129FC" w14:paraId="3B38FB15" w14:textId="77777777" w:rsidTr="0086771F">
        <w:trPr>
          <w:cantSplit/>
          <w:trHeight w:val="255"/>
        </w:trPr>
        <w:tc>
          <w:tcPr>
            <w:tcW w:w="3402" w:type="dxa"/>
          </w:tcPr>
          <w:p w14:paraId="0FD4FBFB" w14:textId="77777777" w:rsidR="00BE6A5D" w:rsidRPr="00BC2A0C" w:rsidRDefault="00BE6A5D" w:rsidP="0086771F">
            <w:pPr>
              <w:pStyle w:val="TabEtichette"/>
            </w:pPr>
            <w:r w:rsidRPr="00BC2A0C">
              <w:t xml:space="preserve">Prezzi materie prime (in </w:t>
            </w:r>
            <w:proofErr w:type="spellStart"/>
            <w:r w:rsidRPr="00BC2A0C">
              <w:t>Usd</w:t>
            </w:r>
            <w:proofErr w:type="spellEnd"/>
            <w:r w:rsidRPr="00BC2A0C">
              <w:t>)</w:t>
            </w:r>
          </w:p>
        </w:tc>
        <w:tc>
          <w:tcPr>
            <w:tcW w:w="510" w:type="dxa"/>
          </w:tcPr>
          <w:p w14:paraId="78D379E3" w14:textId="77777777" w:rsidR="00BE6A5D" w:rsidRPr="006129FC" w:rsidRDefault="00BE6A5D" w:rsidP="0086771F">
            <w:pPr>
              <w:pStyle w:val="TabNumeri"/>
            </w:pPr>
          </w:p>
        </w:tc>
        <w:tc>
          <w:tcPr>
            <w:tcW w:w="510" w:type="dxa"/>
          </w:tcPr>
          <w:p w14:paraId="63F7F206" w14:textId="77777777" w:rsidR="00BE6A5D" w:rsidRPr="006129FC" w:rsidRDefault="00BE6A5D" w:rsidP="0086771F">
            <w:pPr>
              <w:pStyle w:val="TabNumeri"/>
            </w:pPr>
          </w:p>
        </w:tc>
        <w:tc>
          <w:tcPr>
            <w:tcW w:w="510" w:type="dxa"/>
          </w:tcPr>
          <w:p w14:paraId="3A0CB40F" w14:textId="77777777" w:rsidR="00BE6A5D" w:rsidRPr="006129FC" w:rsidRDefault="00BE6A5D" w:rsidP="0086771F">
            <w:pPr>
              <w:pStyle w:val="TabNumeri"/>
            </w:pPr>
          </w:p>
        </w:tc>
        <w:tc>
          <w:tcPr>
            <w:tcW w:w="340" w:type="dxa"/>
          </w:tcPr>
          <w:p w14:paraId="14648229" w14:textId="77777777" w:rsidR="00BE6A5D" w:rsidRPr="00BC2A0C" w:rsidRDefault="00BE6A5D" w:rsidP="0086771F">
            <w:pPr>
              <w:pStyle w:val="TabEtichette"/>
            </w:pPr>
          </w:p>
        </w:tc>
        <w:tc>
          <w:tcPr>
            <w:tcW w:w="2552" w:type="dxa"/>
          </w:tcPr>
          <w:p w14:paraId="6EE22925" w14:textId="77777777" w:rsidR="00BE6A5D" w:rsidRPr="00BC2A0C" w:rsidRDefault="00BE6A5D" w:rsidP="0086771F">
            <w:pPr>
              <w:pStyle w:val="TabEtichette"/>
            </w:pPr>
            <w:r w:rsidRPr="00BC2A0C">
              <w:t>Prezzi al consumo</w:t>
            </w:r>
          </w:p>
        </w:tc>
        <w:tc>
          <w:tcPr>
            <w:tcW w:w="510" w:type="dxa"/>
          </w:tcPr>
          <w:p w14:paraId="755170DE" w14:textId="77777777" w:rsidR="00BE6A5D" w:rsidRPr="006129FC" w:rsidRDefault="00BE6A5D" w:rsidP="0086771F">
            <w:pPr>
              <w:pStyle w:val="TabNumeri"/>
            </w:pPr>
          </w:p>
        </w:tc>
        <w:tc>
          <w:tcPr>
            <w:tcW w:w="510" w:type="dxa"/>
          </w:tcPr>
          <w:p w14:paraId="5063DB60" w14:textId="77777777" w:rsidR="00BE6A5D" w:rsidRPr="006129FC" w:rsidRDefault="00BE6A5D" w:rsidP="0086771F">
            <w:pPr>
              <w:pStyle w:val="TabNumeri"/>
            </w:pPr>
          </w:p>
        </w:tc>
        <w:tc>
          <w:tcPr>
            <w:tcW w:w="514" w:type="dxa"/>
          </w:tcPr>
          <w:p w14:paraId="21E3CCEA" w14:textId="77777777" w:rsidR="00BE6A5D" w:rsidRPr="006129FC" w:rsidRDefault="00BE6A5D" w:rsidP="0086771F">
            <w:pPr>
              <w:pStyle w:val="TabNumeri"/>
            </w:pPr>
          </w:p>
        </w:tc>
      </w:tr>
      <w:tr w:rsidR="00BE6A5D" w:rsidRPr="004D3DF1" w14:paraId="77CEA685" w14:textId="77777777" w:rsidTr="0086771F">
        <w:trPr>
          <w:cantSplit/>
          <w:trHeight w:val="255"/>
        </w:trPr>
        <w:tc>
          <w:tcPr>
            <w:tcW w:w="3402" w:type="dxa"/>
            <w:shd w:val="clear" w:color="auto" w:fill="F2F2F2" w:themeFill="background1" w:themeFillShade="F2"/>
          </w:tcPr>
          <w:p w14:paraId="140538D0" w14:textId="77777777" w:rsidR="00BE6A5D" w:rsidRPr="00BC2A0C" w:rsidRDefault="00BE6A5D" w:rsidP="0086771F">
            <w:pPr>
              <w:pStyle w:val="TabEtichette"/>
            </w:pPr>
            <w:r w:rsidRPr="00BC2A0C">
              <w:t xml:space="preserve"> - Petrolio (d)</w:t>
            </w:r>
          </w:p>
        </w:tc>
        <w:tc>
          <w:tcPr>
            <w:tcW w:w="510" w:type="dxa"/>
            <w:shd w:val="clear" w:color="auto" w:fill="F2F2F2" w:themeFill="background1" w:themeFillShade="F2"/>
          </w:tcPr>
          <w:p w14:paraId="2761316C" w14:textId="77777777" w:rsidR="00BE6A5D" w:rsidRPr="00EF30EB" w:rsidRDefault="00BE6A5D" w:rsidP="0086771F">
            <w:pPr>
              <w:pStyle w:val="TabNumeri"/>
            </w:pPr>
            <w:r w:rsidRPr="00352A97">
              <w:t>-32,7</w:t>
            </w:r>
          </w:p>
        </w:tc>
        <w:tc>
          <w:tcPr>
            <w:tcW w:w="510" w:type="dxa"/>
            <w:shd w:val="clear" w:color="auto" w:fill="F2F2F2" w:themeFill="background1" w:themeFillShade="F2"/>
          </w:tcPr>
          <w:p w14:paraId="56B1B601" w14:textId="77777777" w:rsidR="00BE6A5D" w:rsidRPr="00EF30EB" w:rsidRDefault="00BE6A5D" w:rsidP="0086771F">
            <w:pPr>
              <w:pStyle w:val="TabNumeri"/>
            </w:pPr>
            <w:r w:rsidRPr="00352A97">
              <w:t>41,7</w:t>
            </w:r>
          </w:p>
        </w:tc>
        <w:tc>
          <w:tcPr>
            <w:tcW w:w="510" w:type="dxa"/>
            <w:shd w:val="clear" w:color="auto" w:fill="F2F2F2" w:themeFill="background1" w:themeFillShade="F2"/>
          </w:tcPr>
          <w:p w14:paraId="7AA01FEC" w14:textId="77777777" w:rsidR="00BE6A5D" w:rsidRPr="00EF30EB" w:rsidRDefault="00BE6A5D" w:rsidP="0086771F">
            <w:pPr>
              <w:pStyle w:val="TabNumeri"/>
            </w:pPr>
            <w:r w:rsidRPr="00352A97">
              <w:t>-6,3</w:t>
            </w:r>
          </w:p>
        </w:tc>
        <w:tc>
          <w:tcPr>
            <w:tcW w:w="340" w:type="dxa"/>
            <w:shd w:val="clear" w:color="auto" w:fill="F2F2F2" w:themeFill="background1" w:themeFillShade="F2"/>
          </w:tcPr>
          <w:p w14:paraId="6BF59F96" w14:textId="77777777" w:rsidR="00BE6A5D" w:rsidRPr="00BC2A0C" w:rsidRDefault="00BE6A5D" w:rsidP="0086771F">
            <w:pPr>
              <w:pStyle w:val="TabEtichette"/>
            </w:pPr>
          </w:p>
        </w:tc>
        <w:tc>
          <w:tcPr>
            <w:tcW w:w="2552" w:type="dxa"/>
            <w:shd w:val="clear" w:color="auto" w:fill="F2F2F2" w:themeFill="background1" w:themeFillShade="F2"/>
          </w:tcPr>
          <w:p w14:paraId="48F82B43" w14:textId="77777777" w:rsidR="00BE6A5D" w:rsidRPr="00BC2A0C" w:rsidRDefault="00BE6A5D" w:rsidP="0086771F">
            <w:pPr>
              <w:pStyle w:val="TabEtichette"/>
            </w:pPr>
            <w:r w:rsidRPr="00BC2A0C">
              <w:t xml:space="preserve">  Economie avanzate</w:t>
            </w:r>
          </w:p>
        </w:tc>
        <w:tc>
          <w:tcPr>
            <w:tcW w:w="510" w:type="dxa"/>
            <w:shd w:val="clear" w:color="auto" w:fill="F2F2F2" w:themeFill="background1" w:themeFillShade="F2"/>
          </w:tcPr>
          <w:p w14:paraId="73A08739" w14:textId="77777777" w:rsidR="00BE6A5D" w:rsidRPr="004D3DF1" w:rsidRDefault="00BE6A5D" w:rsidP="0086771F">
            <w:pPr>
              <w:pStyle w:val="TabNumeri"/>
            </w:pPr>
            <w:r w:rsidRPr="001E119C">
              <w:t>0,7</w:t>
            </w:r>
          </w:p>
        </w:tc>
        <w:tc>
          <w:tcPr>
            <w:tcW w:w="510" w:type="dxa"/>
            <w:shd w:val="clear" w:color="auto" w:fill="F2F2F2" w:themeFill="background1" w:themeFillShade="F2"/>
          </w:tcPr>
          <w:p w14:paraId="70708666" w14:textId="77777777" w:rsidR="00BE6A5D" w:rsidRPr="004D3DF1" w:rsidRDefault="00BE6A5D" w:rsidP="0086771F">
            <w:pPr>
              <w:pStyle w:val="TabNumeri"/>
            </w:pPr>
            <w:r w:rsidRPr="001E119C">
              <w:t>1,6</w:t>
            </w:r>
          </w:p>
        </w:tc>
        <w:tc>
          <w:tcPr>
            <w:tcW w:w="514" w:type="dxa"/>
            <w:shd w:val="clear" w:color="auto" w:fill="F2F2F2" w:themeFill="background1" w:themeFillShade="F2"/>
          </w:tcPr>
          <w:p w14:paraId="27E0D817" w14:textId="77777777" w:rsidR="00BE6A5D" w:rsidRPr="004D3DF1" w:rsidRDefault="00BE6A5D" w:rsidP="0086771F">
            <w:pPr>
              <w:pStyle w:val="TabNumeri"/>
            </w:pPr>
            <w:r w:rsidRPr="001E119C">
              <w:t>1,7</w:t>
            </w:r>
          </w:p>
        </w:tc>
      </w:tr>
      <w:tr w:rsidR="00BE6A5D" w14:paraId="0DA95683" w14:textId="77777777" w:rsidTr="0086771F">
        <w:trPr>
          <w:cantSplit/>
          <w:trHeight w:val="255"/>
        </w:trPr>
        <w:tc>
          <w:tcPr>
            <w:tcW w:w="3402" w:type="dxa"/>
          </w:tcPr>
          <w:p w14:paraId="4DD7370C" w14:textId="77777777" w:rsidR="00BE6A5D" w:rsidRPr="00BC2A0C" w:rsidRDefault="00BE6A5D" w:rsidP="0086771F">
            <w:pPr>
              <w:pStyle w:val="TabEtichette"/>
            </w:pPr>
            <w:r w:rsidRPr="00BC2A0C">
              <w:t xml:space="preserve"> - Materie prime non energetiche(e)</w:t>
            </w:r>
          </w:p>
        </w:tc>
        <w:tc>
          <w:tcPr>
            <w:tcW w:w="510" w:type="dxa"/>
          </w:tcPr>
          <w:p w14:paraId="5467B594" w14:textId="77777777" w:rsidR="00BE6A5D" w:rsidRPr="00EF30EB" w:rsidRDefault="00BE6A5D" w:rsidP="0086771F">
            <w:pPr>
              <w:pStyle w:val="TabNumeri"/>
            </w:pPr>
            <w:r w:rsidRPr="00352A97">
              <w:t>6,7</w:t>
            </w:r>
          </w:p>
        </w:tc>
        <w:tc>
          <w:tcPr>
            <w:tcW w:w="510" w:type="dxa"/>
          </w:tcPr>
          <w:p w14:paraId="29ADD006" w14:textId="77777777" w:rsidR="00BE6A5D" w:rsidRPr="00EF30EB" w:rsidRDefault="00BE6A5D" w:rsidP="0086771F">
            <w:pPr>
              <w:pStyle w:val="TabNumeri"/>
            </w:pPr>
            <w:r w:rsidRPr="00352A97">
              <w:t>16,1</w:t>
            </w:r>
          </w:p>
        </w:tc>
        <w:tc>
          <w:tcPr>
            <w:tcW w:w="510" w:type="dxa"/>
          </w:tcPr>
          <w:p w14:paraId="0C12472E" w14:textId="77777777" w:rsidR="00BE6A5D" w:rsidRDefault="00BE6A5D" w:rsidP="0086771F">
            <w:pPr>
              <w:pStyle w:val="TabNumeri"/>
            </w:pPr>
            <w:r w:rsidRPr="00352A97">
              <w:t>-1,9</w:t>
            </w:r>
          </w:p>
        </w:tc>
        <w:tc>
          <w:tcPr>
            <w:tcW w:w="340" w:type="dxa"/>
          </w:tcPr>
          <w:p w14:paraId="344170C0" w14:textId="77777777" w:rsidR="00BE6A5D" w:rsidRPr="00BC2A0C" w:rsidRDefault="00BE6A5D" w:rsidP="0086771F">
            <w:pPr>
              <w:pStyle w:val="TabEtichette"/>
            </w:pPr>
          </w:p>
        </w:tc>
        <w:tc>
          <w:tcPr>
            <w:tcW w:w="2552" w:type="dxa"/>
          </w:tcPr>
          <w:p w14:paraId="4D8F42B3" w14:textId="77777777" w:rsidR="00BE6A5D" w:rsidRPr="00BC2A0C" w:rsidRDefault="00BE6A5D" w:rsidP="0086771F">
            <w:pPr>
              <w:pStyle w:val="TabEtichette"/>
            </w:pPr>
            <w:r w:rsidRPr="00BC2A0C">
              <w:t xml:space="preserve">  Economie emergenti e in sviluppo</w:t>
            </w:r>
          </w:p>
        </w:tc>
        <w:tc>
          <w:tcPr>
            <w:tcW w:w="510" w:type="dxa"/>
          </w:tcPr>
          <w:p w14:paraId="0BFEBBC6" w14:textId="77777777" w:rsidR="00BE6A5D" w:rsidRPr="004D3DF1" w:rsidRDefault="00BE6A5D" w:rsidP="0086771F">
            <w:pPr>
              <w:pStyle w:val="TabNumeri"/>
            </w:pPr>
            <w:r w:rsidRPr="001E119C">
              <w:t>5,1</w:t>
            </w:r>
          </w:p>
        </w:tc>
        <w:tc>
          <w:tcPr>
            <w:tcW w:w="510" w:type="dxa"/>
          </w:tcPr>
          <w:p w14:paraId="4676603D" w14:textId="77777777" w:rsidR="00BE6A5D" w:rsidRPr="004D3DF1" w:rsidRDefault="00BE6A5D" w:rsidP="0086771F">
            <w:pPr>
              <w:pStyle w:val="TabNumeri"/>
            </w:pPr>
            <w:r w:rsidRPr="001E119C">
              <w:t>4,9</w:t>
            </w:r>
          </w:p>
        </w:tc>
        <w:tc>
          <w:tcPr>
            <w:tcW w:w="514" w:type="dxa"/>
          </w:tcPr>
          <w:p w14:paraId="4656DEAC" w14:textId="77777777" w:rsidR="00BE6A5D" w:rsidRDefault="00BE6A5D" w:rsidP="0086771F">
            <w:pPr>
              <w:pStyle w:val="TabNumeri"/>
            </w:pPr>
            <w:r w:rsidRPr="001E119C">
              <w:t>4,4</w:t>
            </w:r>
          </w:p>
        </w:tc>
      </w:tr>
      <w:tr w:rsidR="00BE6A5D" w:rsidRPr="009100D8" w14:paraId="2AFE636D" w14:textId="77777777" w:rsidTr="0086771F">
        <w:trPr>
          <w:cantSplit/>
          <w:trHeight w:val="255"/>
        </w:trPr>
        <w:tc>
          <w:tcPr>
            <w:tcW w:w="9358" w:type="dxa"/>
            <w:gridSpan w:val="9"/>
            <w:shd w:val="clear" w:color="auto" w:fill="F2F2F2" w:themeFill="background1" w:themeFillShade="F2"/>
          </w:tcPr>
          <w:p w14:paraId="346893E4" w14:textId="77777777" w:rsidR="00BE6A5D" w:rsidRPr="009100D8" w:rsidRDefault="00BE6A5D" w:rsidP="0086771F">
            <w:pPr>
              <w:pStyle w:val="TabIntestaSup"/>
            </w:pPr>
            <w:r w:rsidRPr="00241825">
              <w:t>Libor su depositi in (f)</w:t>
            </w:r>
          </w:p>
        </w:tc>
      </w:tr>
      <w:tr w:rsidR="00BE6A5D" w14:paraId="1CB83339" w14:textId="77777777" w:rsidTr="0086771F">
        <w:trPr>
          <w:cantSplit/>
          <w:trHeight w:val="255"/>
        </w:trPr>
        <w:tc>
          <w:tcPr>
            <w:tcW w:w="3402" w:type="dxa"/>
            <w:shd w:val="clear" w:color="auto" w:fill="auto"/>
          </w:tcPr>
          <w:p w14:paraId="7C391F04" w14:textId="77777777" w:rsidR="00BE6A5D" w:rsidRPr="00BC2A0C" w:rsidRDefault="00BE6A5D" w:rsidP="0086771F">
            <w:pPr>
              <w:pStyle w:val="TabEtichette"/>
            </w:pPr>
            <w:r w:rsidRPr="00BC2A0C">
              <w:t>Dollari Usa</w:t>
            </w:r>
          </w:p>
        </w:tc>
        <w:tc>
          <w:tcPr>
            <w:tcW w:w="510" w:type="dxa"/>
            <w:shd w:val="clear" w:color="auto" w:fill="auto"/>
          </w:tcPr>
          <w:p w14:paraId="3667D52A" w14:textId="77777777" w:rsidR="00BE6A5D" w:rsidRPr="00882FA7" w:rsidRDefault="00BE6A5D" w:rsidP="0086771F">
            <w:pPr>
              <w:pStyle w:val="TabNumeri"/>
            </w:pPr>
            <w:r w:rsidRPr="00C723AE">
              <w:t>0,7</w:t>
            </w:r>
          </w:p>
        </w:tc>
        <w:tc>
          <w:tcPr>
            <w:tcW w:w="510" w:type="dxa"/>
            <w:shd w:val="clear" w:color="auto" w:fill="auto"/>
          </w:tcPr>
          <w:p w14:paraId="486977B6" w14:textId="77777777" w:rsidR="00BE6A5D" w:rsidRPr="00882FA7" w:rsidRDefault="00BE6A5D" w:rsidP="0086771F">
            <w:pPr>
              <w:pStyle w:val="TabNumeri"/>
            </w:pPr>
            <w:r w:rsidRPr="00C723AE">
              <w:t>0,3</w:t>
            </w:r>
          </w:p>
        </w:tc>
        <w:tc>
          <w:tcPr>
            <w:tcW w:w="510" w:type="dxa"/>
            <w:shd w:val="clear" w:color="auto" w:fill="auto"/>
          </w:tcPr>
          <w:p w14:paraId="11225796" w14:textId="77777777" w:rsidR="00BE6A5D" w:rsidRPr="00882FA7" w:rsidRDefault="00BE6A5D" w:rsidP="0086771F">
            <w:pPr>
              <w:pStyle w:val="TabNumeri"/>
            </w:pPr>
            <w:r w:rsidRPr="00C723AE">
              <w:t>0,4</w:t>
            </w:r>
          </w:p>
        </w:tc>
        <w:tc>
          <w:tcPr>
            <w:tcW w:w="340" w:type="dxa"/>
            <w:shd w:val="clear" w:color="auto" w:fill="auto"/>
          </w:tcPr>
          <w:p w14:paraId="6D86E07E" w14:textId="77777777" w:rsidR="00BE6A5D" w:rsidRPr="00BC2A0C" w:rsidRDefault="00BE6A5D" w:rsidP="0086771F">
            <w:pPr>
              <w:pStyle w:val="TabEtichette"/>
            </w:pPr>
          </w:p>
        </w:tc>
        <w:tc>
          <w:tcPr>
            <w:tcW w:w="2552" w:type="dxa"/>
            <w:shd w:val="clear" w:color="auto" w:fill="auto"/>
          </w:tcPr>
          <w:p w14:paraId="6A5F3B28" w14:textId="77777777" w:rsidR="00BE6A5D" w:rsidRPr="00BC2A0C" w:rsidRDefault="00BE6A5D" w:rsidP="0086771F">
            <w:pPr>
              <w:pStyle w:val="TabEtichette"/>
            </w:pPr>
            <w:r>
              <w:t>Yen</w:t>
            </w:r>
          </w:p>
        </w:tc>
        <w:tc>
          <w:tcPr>
            <w:tcW w:w="510" w:type="dxa"/>
            <w:shd w:val="clear" w:color="auto" w:fill="auto"/>
          </w:tcPr>
          <w:p w14:paraId="626D5142" w14:textId="77777777" w:rsidR="00BE6A5D" w:rsidRPr="00CD16EC" w:rsidRDefault="00BE6A5D" w:rsidP="0086771F">
            <w:pPr>
              <w:pStyle w:val="TabNumeri"/>
            </w:pPr>
            <w:r w:rsidRPr="00CD16EC">
              <w:t>0,0</w:t>
            </w:r>
          </w:p>
        </w:tc>
        <w:tc>
          <w:tcPr>
            <w:tcW w:w="510" w:type="dxa"/>
            <w:shd w:val="clear" w:color="auto" w:fill="auto"/>
          </w:tcPr>
          <w:p w14:paraId="16D3481E" w14:textId="77777777" w:rsidR="00BE6A5D" w:rsidRPr="00CD16EC" w:rsidRDefault="00BE6A5D" w:rsidP="0086771F">
            <w:pPr>
              <w:pStyle w:val="TabNumeri"/>
            </w:pPr>
            <w:r w:rsidRPr="00F315D5">
              <w:t>-0,1</w:t>
            </w:r>
          </w:p>
        </w:tc>
        <w:tc>
          <w:tcPr>
            <w:tcW w:w="514" w:type="dxa"/>
            <w:shd w:val="clear" w:color="auto" w:fill="auto"/>
          </w:tcPr>
          <w:p w14:paraId="42825308" w14:textId="77777777" w:rsidR="00BE6A5D" w:rsidRDefault="00BE6A5D" w:rsidP="0086771F">
            <w:pPr>
              <w:pStyle w:val="TabNumeri"/>
            </w:pPr>
            <w:r w:rsidRPr="00F315D5">
              <w:t>0,</w:t>
            </w:r>
            <w:r>
              <w:t>0</w:t>
            </w:r>
          </w:p>
        </w:tc>
      </w:tr>
      <w:tr w:rsidR="00BE6A5D" w14:paraId="2D4F6223" w14:textId="77777777" w:rsidTr="0086771F">
        <w:trPr>
          <w:cantSplit/>
          <w:trHeight w:val="255"/>
        </w:trPr>
        <w:tc>
          <w:tcPr>
            <w:tcW w:w="3402" w:type="dxa"/>
            <w:shd w:val="clear" w:color="auto" w:fill="F2F2F2" w:themeFill="background1" w:themeFillShade="F2"/>
          </w:tcPr>
          <w:p w14:paraId="6191D8F6" w14:textId="77777777" w:rsidR="00BE6A5D" w:rsidRPr="00BC2A0C" w:rsidRDefault="00BE6A5D" w:rsidP="0086771F">
            <w:pPr>
              <w:pStyle w:val="TabEtichette"/>
            </w:pPr>
            <w:r>
              <w:t>Euro</w:t>
            </w:r>
          </w:p>
        </w:tc>
        <w:tc>
          <w:tcPr>
            <w:tcW w:w="510" w:type="dxa"/>
            <w:shd w:val="clear" w:color="auto" w:fill="F2F2F2" w:themeFill="background1" w:themeFillShade="F2"/>
          </w:tcPr>
          <w:p w14:paraId="333D4B9B" w14:textId="77777777" w:rsidR="00BE6A5D" w:rsidRPr="00882FA7" w:rsidRDefault="00BE6A5D" w:rsidP="0086771F">
            <w:pPr>
              <w:pStyle w:val="TabNumeri"/>
            </w:pPr>
            <w:r w:rsidRPr="00C723AE">
              <w:t>-0,4</w:t>
            </w:r>
          </w:p>
        </w:tc>
        <w:tc>
          <w:tcPr>
            <w:tcW w:w="510" w:type="dxa"/>
            <w:shd w:val="clear" w:color="auto" w:fill="F2F2F2" w:themeFill="background1" w:themeFillShade="F2"/>
          </w:tcPr>
          <w:p w14:paraId="518A44E9" w14:textId="77777777" w:rsidR="00BE6A5D" w:rsidRPr="00882FA7" w:rsidRDefault="00BE6A5D" w:rsidP="0086771F">
            <w:pPr>
              <w:pStyle w:val="TabNumeri"/>
            </w:pPr>
            <w:r w:rsidRPr="00C723AE">
              <w:t>-0,5</w:t>
            </w:r>
          </w:p>
        </w:tc>
        <w:tc>
          <w:tcPr>
            <w:tcW w:w="510" w:type="dxa"/>
            <w:shd w:val="clear" w:color="auto" w:fill="F2F2F2" w:themeFill="background1" w:themeFillShade="F2"/>
          </w:tcPr>
          <w:p w14:paraId="4082830C" w14:textId="77777777" w:rsidR="00BE6A5D" w:rsidRDefault="00BE6A5D" w:rsidP="0086771F">
            <w:pPr>
              <w:pStyle w:val="TabNumeri"/>
            </w:pPr>
            <w:r w:rsidRPr="00C723AE">
              <w:t>-0,5</w:t>
            </w:r>
          </w:p>
        </w:tc>
        <w:tc>
          <w:tcPr>
            <w:tcW w:w="340" w:type="dxa"/>
            <w:shd w:val="clear" w:color="auto" w:fill="F2F2F2" w:themeFill="background1" w:themeFillShade="F2"/>
          </w:tcPr>
          <w:p w14:paraId="69EA4C7B" w14:textId="77777777" w:rsidR="00BE6A5D" w:rsidRPr="00BC2A0C" w:rsidRDefault="00BE6A5D" w:rsidP="0086771F">
            <w:pPr>
              <w:pStyle w:val="TabEtichette"/>
            </w:pPr>
          </w:p>
        </w:tc>
        <w:tc>
          <w:tcPr>
            <w:tcW w:w="2552" w:type="dxa"/>
            <w:shd w:val="clear" w:color="auto" w:fill="F2F2F2" w:themeFill="background1" w:themeFillShade="F2"/>
          </w:tcPr>
          <w:p w14:paraId="5C8504D1" w14:textId="77777777" w:rsidR="00BE6A5D" w:rsidRPr="00BC2A0C" w:rsidRDefault="00BE6A5D" w:rsidP="0086771F">
            <w:pPr>
              <w:pStyle w:val="TabEtichette"/>
            </w:pPr>
          </w:p>
        </w:tc>
        <w:tc>
          <w:tcPr>
            <w:tcW w:w="510" w:type="dxa"/>
            <w:shd w:val="clear" w:color="auto" w:fill="F2F2F2" w:themeFill="background1" w:themeFillShade="F2"/>
          </w:tcPr>
          <w:p w14:paraId="7616A29C" w14:textId="77777777" w:rsidR="00BE6A5D" w:rsidRPr="00CD16EC" w:rsidRDefault="00BE6A5D" w:rsidP="0086771F">
            <w:pPr>
              <w:pStyle w:val="TabNumeri"/>
            </w:pPr>
          </w:p>
        </w:tc>
        <w:tc>
          <w:tcPr>
            <w:tcW w:w="510" w:type="dxa"/>
            <w:shd w:val="clear" w:color="auto" w:fill="F2F2F2" w:themeFill="background1" w:themeFillShade="F2"/>
          </w:tcPr>
          <w:p w14:paraId="5D692EF6" w14:textId="77777777" w:rsidR="00BE6A5D" w:rsidRPr="00CD16EC" w:rsidRDefault="00BE6A5D" w:rsidP="0086771F">
            <w:pPr>
              <w:pStyle w:val="TabNumeri"/>
            </w:pPr>
          </w:p>
        </w:tc>
        <w:tc>
          <w:tcPr>
            <w:tcW w:w="514" w:type="dxa"/>
            <w:shd w:val="clear" w:color="auto" w:fill="F2F2F2" w:themeFill="background1" w:themeFillShade="F2"/>
          </w:tcPr>
          <w:p w14:paraId="273B699D" w14:textId="77777777" w:rsidR="00BE6A5D" w:rsidRDefault="00BE6A5D" w:rsidP="0086771F">
            <w:pPr>
              <w:pStyle w:val="TabNumeri"/>
            </w:pPr>
          </w:p>
        </w:tc>
      </w:tr>
      <w:tr w:rsidR="00BE6A5D" w:rsidRPr="00EE3209" w14:paraId="0BC06842" w14:textId="77777777" w:rsidTr="0086771F">
        <w:trPr>
          <w:cantSplit/>
        </w:trPr>
        <w:tc>
          <w:tcPr>
            <w:tcW w:w="9358" w:type="dxa"/>
            <w:gridSpan w:val="9"/>
            <w:tcBorders>
              <w:top w:val="single" w:sz="4" w:space="0" w:color="800000"/>
            </w:tcBorders>
          </w:tcPr>
          <w:p w14:paraId="597491BC" w14:textId="77777777" w:rsidR="00BE6A5D" w:rsidRPr="000A7543" w:rsidRDefault="00BE6A5D" w:rsidP="0086771F">
            <w:pPr>
              <w:pStyle w:val="TabNoteSuperiori"/>
            </w:pPr>
            <w:r w:rsidRPr="000A7543">
              <w:t xml:space="preserve">(a) Le assunzioni della previsione economica sono alla sezione </w:t>
            </w:r>
            <w:proofErr w:type="spellStart"/>
            <w:r w:rsidRPr="000A7543">
              <w:t>Assumption</w:t>
            </w:r>
            <w:proofErr w:type="spellEnd"/>
            <w:r w:rsidRPr="000A7543">
              <w:t xml:space="preserve"> and Conventions. (b) Tasso di variazione percentuale sul periodo precedente. (c) Beni e servizi in volume. (d) Media dei prezzi spot del petrolio greggio Brent, Dubai e West Texas Intermediate. (e) Media dei prezzi mondiali delle materie prime non </w:t>
            </w:r>
            <w:proofErr w:type="spellStart"/>
            <w:r w:rsidRPr="000A7543">
              <w:t>fuel</w:t>
            </w:r>
            <w:proofErr w:type="spellEnd"/>
            <w:r w:rsidRPr="000A7543">
              <w:t xml:space="preserve"> (energia) pesata per la loro quota media delle esportazioni di materie prime. (f) LIBOR (London </w:t>
            </w:r>
            <w:proofErr w:type="spellStart"/>
            <w:r w:rsidRPr="000A7543">
              <w:t>Interbank</w:t>
            </w:r>
            <w:proofErr w:type="spellEnd"/>
            <w:r w:rsidRPr="000A7543">
              <w:t xml:space="preserve"> </w:t>
            </w:r>
            <w:proofErr w:type="spellStart"/>
            <w:r w:rsidRPr="000A7543">
              <w:t>Offered</w:t>
            </w:r>
            <w:proofErr w:type="spellEnd"/>
            <w:r w:rsidRPr="000A7543">
              <w:t xml:space="preserve"> Rate), tasso di interesse percentuale: a) sui depositi a 6 mesi in U.S.$; sui depositi a 6 mesi in yen; sui depositi a 3 mesi in euro. </w:t>
            </w:r>
          </w:p>
          <w:p w14:paraId="6807BBE6" w14:textId="77777777" w:rsidR="00BE6A5D" w:rsidRPr="000A7543" w:rsidRDefault="00BE6A5D" w:rsidP="0086771F">
            <w:pPr>
              <w:pStyle w:val="TabNoteSuperiori"/>
              <w:rPr>
                <w:lang w:val="en-US"/>
              </w:rPr>
            </w:pPr>
            <w:r w:rsidRPr="000A7543">
              <w:rPr>
                <w:lang w:val="en-GB"/>
              </w:rPr>
              <w:t xml:space="preserve">IMF, World Economic Outlook, 06 </w:t>
            </w:r>
            <w:proofErr w:type="spellStart"/>
            <w:r w:rsidRPr="000A7543">
              <w:rPr>
                <w:lang w:val="en-GB"/>
              </w:rPr>
              <w:t>aprile</w:t>
            </w:r>
            <w:proofErr w:type="spellEnd"/>
            <w:r w:rsidRPr="000A7543">
              <w:rPr>
                <w:lang w:val="en-GB"/>
              </w:rPr>
              <w:t xml:space="preserve"> </w:t>
            </w:r>
            <w:r w:rsidRPr="000A7543">
              <w:rPr>
                <w:lang w:val="en-US"/>
              </w:rPr>
              <w:t>2021</w:t>
            </w:r>
          </w:p>
        </w:tc>
      </w:tr>
    </w:tbl>
    <w:p w14:paraId="258C2D25" w14:textId="0099D9AD" w:rsidR="00BA6EC0" w:rsidRDefault="00C43F0D" w:rsidP="00BA6EC0">
      <w:pPr>
        <w:pStyle w:val="Titolo2"/>
      </w:pPr>
      <w:r>
        <w:t>L’economia mondiale</w:t>
      </w:r>
    </w:p>
    <w:p w14:paraId="11D4FC34" w14:textId="17652E78" w:rsidR="005D3AA6" w:rsidRDefault="005D3AA6" w:rsidP="005D3AA6">
      <w:r>
        <w:t xml:space="preserve">Le prospettive dell’economia mondiale stanno migliorando sensibilmente, grazie ai progressi della vaccinazione, all’evidenza che l’attività economica riesce a fare fronte meglio ai provvedimenti di restrizione in vigore e all’annuncio di nuove misure di sostegno fiscale da parte di diversi paesi. In particolare, il notevole stimolo fiscale adottato da parte degli Stati Uniti, il più rilevante dal secondo dopoguerra e molto più ampio in percentuale del Pil di quanto fatto da altri paesi, secondo l’Ocse potrà sostenere la crescita statunitense di quasi </w:t>
      </w:r>
      <w:proofErr w:type="gramStart"/>
      <w:r>
        <w:t>4</w:t>
      </w:r>
      <w:proofErr w:type="gramEnd"/>
      <w:r>
        <w:t xml:space="preserve"> punti percentuali nel primo anno, trascinerà la crescita mondiale di oltre un punto percentuale e di un mezzo punto percentuale nell’area dell’euro. </w:t>
      </w:r>
    </w:p>
    <w:p w14:paraId="42452EB1" w14:textId="05CCCA68" w:rsidR="005D3AA6" w:rsidRDefault="005D3AA6" w:rsidP="005D3AA6">
      <w:r>
        <w:t xml:space="preserve">A livello mondiale prosegue e si rafforza il sostegno all’attività economica e ai redditi da parte delle politiche fiscali e il loro riequilibrio non pare a vista nel breve. Ma il livello di indebitamento nel sistema continuerà a salire notevolmente, con il rischio di crisi del debito e della trasformazione dell’emergenza sanitaria </w:t>
      </w:r>
      <w:proofErr w:type="gramStart"/>
      <w:r>
        <w:t>e</w:t>
      </w:r>
      <w:proofErr w:type="gramEnd"/>
      <w:r>
        <w:t xml:space="preserve"> economica in crisi finanziaria. Le condizioni eccezionalmente accomodanti delle politiche monetarie adottate dalle principali banche centrali saranno mantenute a lungo, anche a fronte di un picco </w:t>
      </w:r>
      <w:r>
        <w:lastRenderedPageBreak/>
        <w:t xml:space="preserve">d’inflazione temporaneo, ma i rendimenti di mercato dei titoli governativi statunitensi sono tornati ai livelli precedenti la pandemia. </w:t>
      </w:r>
    </w:p>
    <w:p w14:paraId="3BF75B19" w14:textId="77777777" w:rsidR="005D3AA6" w:rsidRDefault="005D3AA6" w:rsidP="005D3AA6">
      <w:r>
        <w:t xml:space="preserve">La ripresa della domanda ha esercitato una sensibile pressione sui prezzi delle materie prime, evidenziata dalle quotazioni del petrolio, sostenute anche da ingenti tagli alla produzione, e, a fronte di carenze di offerta in specifici settori, ha condotto a incrementi dei costi di prodotti intermedi. Ma le aspettative di inflazione di lungo periodo rimangono modeste e bene ancorate al di sotto degli obbiettivi, anche per la notevole capacità produttiva inutilizzata a livello mondiale. </w:t>
      </w:r>
    </w:p>
    <w:p w14:paraId="1B6E98F0" w14:textId="77777777" w:rsidR="005D3AA6" w:rsidRDefault="005D3AA6" w:rsidP="005D3AA6">
      <w:r>
        <w:t xml:space="preserve">Nonostante le misure a difesa dei redditi e dell’occupazione, nel complesso dei paesi sviluppati ci sono </w:t>
      </w:r>
      <w:proofErr w:type="gramStart"/>
      <w:r>
        <w:t>10</w:t>
      </w:r>
      <w:proofErr w:type="gramEnd"/>
      <w:r>
        <w:t xml:space="preserve"> milioni di disoccupati in più rispetto allo scorso anno, è aumentato il tasso di inattività e si è ridotto quello di occupazione. Nei paesi in via di sviluppo, la perdita di molti posti di lavoro ha sostanzialmente aumentato i livelli di povertà per milioni di persone. </w:t>
      </w:r>
    </w:p>
    <w:p w14:paraId="7CEDF445" w14:textId="4EC3DB29" w:rsidR="005D3AA6" w:rsidRDefault="005D3AA6" w:rsidP="005D3AA6">
      <w:r>
        <w:t>La pandemia ha avuto pesanti effetti, particolarmente sulle donne, i giovani, i più poveri, i lavoratori dell’economia informale e dei settori che richiedono un contatto con il pubblico e ha ridotto il capitale umano dei paesi soggetti a limitazioni al sistema educativo. Sono aumentate le diseguaglianze tra i paesi e all’interno di questi tra piccole e grandi imprese, uomini e donne, lavoratori garantiti e precari, classi sociali e livelli di educazione.</w:t>
      </w:r>
    </w:p>
    <w:p w14:paraId="6AC35FAD" w14:textId="1A8F1C12" w:rsidR="005D3AA6" w:rsidRDefault="005D3AA6" w:rsidP="005D3AA6">
      <w:r>
        <w:t>Il Fondo monetario internazionale stima al 3,3 per cento la riduzione del prodotto mondiale nel 2020, un fatto senza precedenti per velocità e sincronismo, ma, rispetto allo scorso gennaio, prospetta una più forte ripresa nel 2021 (+6,0 per cento), che proseguirà solo più contenuta nel 2022 (+4,4 per cento). Il Fondo, inoltre, riduce la stima della brusca contrazione del commercio mondiale nel 2020 (-8,5 per cento) e ne prevede una ripresa consistente nel 2021 (+8,4 per cento), destinata a proseguire nel 2022.</w:t>
      </w:r>
    </w:p>
    <w:p w14:paraId="643A6675" w14:textId="1A47460A" w:rsidR="005D3AA6" w:rsidRDefault="005D3AA6" w:rsidP="005D3AA6">
      <w:r>
        <w:t>Come è stata disomogenea la recessione, la ripresa procederà con intensità e tempi diversi tra paesi e settori di attività, in funzione delle misure di contenimento imposte, dei progressi della vaccinazione, delle politiche di sostegno adottate e di fattori strutturali, come il ruolo del turismo nelle economie. Sarà quindi una ripresa a diverse velocità tra i paesi e i settori, caratterizzata da debolezza del mercato del lavoro, divergenza tra economia reale e mercati finanziari e un forte aumento della diseguaglianza.</w:t>
      </w:r>
    </w:p>
    <w:tbl>
      <w:tblPr>
        <w:tblStyle w:val="Grigliatabella"/>
        <w:tblpPr w:topFromText="425" w:bottomFromText="425" w:horzAnchor="margin" w:tblpXSpec="right" w:tblpYSpec="top"/>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BE6A5D" w:rsidRPr="002B550F" w14:paraId="7B665FF9" w14:textId="77777777" w:rsidTr="0086771F">
        <w:tc>
          <w:tcPr>
            <w:tcW w:w="9356" w:type="dxa"/>
          </w:tcPr>
          <w:p w14:paraId="44A4A54D" w14:textId="77777777" w:rsidR="00BE6A5D" w:rsidRPr="002B550F" w:rsidRDefault="00BE6A5D" w:rsidP="0086771F">
            <w:pPr>
              <w:pStyle w:val="FigTitolo"/>
            </w:pPr>
            <w:r w:rsidRPr="002B550F">
              <w:t>La previsione del</w:t>
            </w:r>
            <w:r>
              <w:t xml:space="preserve">l’Ocse, </w:t>
            </w:r>
            <w:r w:rsidRPr="002B550F">
              <w:t xml:space="preserve">tasso di variazione del </w:t>
            </w:r>
            <w:r>
              <w:t>p</w:t>
            </w:r>
            <w:r w:rsidRPr="002B550F">
              <w:t>rodotto interno lordo</w:t>
            </w:r>
          </w:p>
        </w:tc>
      </w:tr>
      <w:tr w:rsidR="00BE6A5D" w:rsidRPr="002B550F" w14:paraId="4BF655F8" w14:textId="77777777" w:rsidTr="0086771F">
        <w:tc>
          <w:tcPr>
            <w:tcW w:w="9356" w:type="dxa"/>
          </w:tcPr>
          <w:p w14:paraId="217CCDF8" w14:textId="4E2C8A8C" w:rsidR="00BE6A5D" w:rsidRPr="004C3A94" w:rsidRDefault="00185B3E" w:rsidP="0086771F">
            <w:pPr>
              <w:pStyle w:val="Figure"/>
            </w:pPr>
            <w:r>
              <w:rPr>
                <w:noProof/>
              </w:rPr>
              <w:drawing>
                <wp:inline distT="0" distB="0" distL="0" distR="0" wp14:anchorId="1DCC0756" wp14:editId="374225FD">
                  <wp:extent cx="5868000" cy="1980000"/>
                  <wp:effectExtent l="0" t="0" r="0" b="0"/>
                  <wp:docPr id="9" name="Gra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r w:rsidR="00BE6A5D" w:rsidRPr="0038435E" w14:paraId="5D927AD4" w14:textId="77777777" w:rsidTr="0086771F">
        <w:tc>
          <w:tcPr>
            <w:tcW w:w="9356" w:type="dxa"/>
          </w:tcPr>
          <w:p w14:paraId="444CF1BF" w14:textId="77777777" w:rsidR="00BE6A5D" w:rsidRDefault="00BE6A5D" w:rsidP="0086771F">
            <w:pPr>
              <w:pStyle w:val="Fineoggettoword"/>
            </w:pPr>
          </w:p>
          <w:p w14:paraId="56E30061" w14:textId="1BDBE32B" w:rsidR="00BE6A5D" w:rsidRPr="0038435E" w:rsidRDefault="00BE6A5D" w:rsidP="0086771F">
            <w:pPr>
              <w:pStyle w:val="TabNoteInferiori"/>
              <w:rPr>
                <w:lang w:val="en-GB"/>
              </w:rPr>
            </w:pPr>
            <w:r w:rsidRPr="0038435E">
              <w:rPr>
                <w:lang w:val="en-GB"/>
              </w:rPr>
              <w:t xml:space="preserve">Fonte: </w:t>
            </w:r>
            <w:proofErr w:type="spellStart"/>
            <w:r w:rsidRPr="0038435E">
              <w:rPr>
                <w:lang w:val="en-GB"/>
              </w:rPr>
              <w:t>Oecd</w:t>
            </w:r>
            <w:proofErr w:type="spellEnd"/>
            <w:r w:rsidRPr="0038435E">
              <w:rPr>
                <w:lang w:val="en-GB"/>
              </w:rPr>
              <w:t xml:space="preserve">, Interim Economic Outlook, </w:t>
            </w:r>
            <w:r w:rsidRPr="0038435E">
              <w:rPr>
                <w:color w:val="FF0000"/>
                <w:lang w:val="en-GB"/>
              </w:rPr>
              <w:t>09</w:t>
            </w:r>
            <w:r w:rsidRPr="0038435E">
              <w:rPr>
                <w:lang w:val="en-GB"/>
              </w:rPr>
              <w:t xml:space="preserve"> </w:t>
            </w:r>
            <w:proofErr w:type="spellStart"/>
            <w:r>
              <w:rPr>
                <w:lang w:val="en-GB"/>
              </w:rPr>
              <w:t>marzo</w:t>
            </w:r>
            <w:proofErr w:type="spellEnd"/>
            <w:r w:rsidRPr="0038435E">
              <w:rPr>
                <w:lang w:val="en-GB"/>
              </w:rPr>
              <w:t xml:space="preserve"> </w:t>
            </w:r>
            <w:r w:rsidRPr="00B77704">
              <w:rPr>
                <w:color w:val="E36C0A" w:themeColor="accent6" w:themeShade="BF"/>
                <w:lang w:val="en-US"/>
              </w:rPr>
              <w:fldChar w:fldCharType="begin"/>
            </w:r>
            <w:r w:rsidRPr="00B77704">
              <w:rPr>
                <w:color w:val="E36C0A" w:themeColor="accent6" w:themeShade="BF"/>
                <w:lang w:val="en-US"/>
              </w:rPr>
              <w:instrText xml:space="preserve"> DATE  \@ "yyyy"  \* MERGEFORMAT </w:instrText>
            </w:r>
            <w:r w:rsidRPr="00B77704">
              <w:rPr>
                <w:color w:val="E36C0A" w:themeColor="accent6" w:themeShade="BF"/>
                <w:lang w:val="en-US"/>
              </w:rPr>
              <w:fldChar w:fldCharType="separate"/>
            </w:r>
            <w:r w:rsidR="00EE3209">
              <w:rPr>
                <w:noProof/>
                <w:color w:val="E36C0A" w:themeColor="accent6" w:themeShade="BF"/>
                <w:lang w:val="en-US"/>
              </w:rPr>
              <w:t>2021</w:t>
            </w:r>
            <w:r w:rsidRPr="00B77704">
              <w:rPr>
                <w:color w:val="E36C0A" w:themeColor="accent6" w:themeShade="BF"/>
                <w:lang w:val="en-US"/>
              </w:rPr>
              <w:fldChar w:fldCharType="end"/>
            </w:r>
            <w:r w:rsidRPr="007C05D9">
              <w:rPr>
                <w:lang w:val="en-US"/>
              </w:rPr>
              <w:t>.</w:t>
            </w:r>
          </w:p>
        </w:tc>
      </w:tr>
    </w:tbl>
    <w:p w14:paraId="32CF322E" w14:textId="3C0FAFFB" w:rsidR="00C43F0D" w:rsidRPr="007D4EF0" w:rsidRDefault="005D3AA6" w:rsidP="005D3AA6">
      <w:r>
        <w:t>Considerando le maggiori economie extra</w:t>
      </w:r>
      <w:r w:rsidR="00897A4F">
        <w:t xml:space="preserve"> </w:t>
      </w:r>
      <w:r>
        <w:t xml:space="preserve">Ue, dopo una recessione del 3,5 per cento nel 2020, il Fmi si attende che gli Stati Uniti recuperino il livello </w:t>
      </w:r>
      <w:proofErr w:type="spellStart"/>
      <w:proofErr w:type="gramStart"/>
      <w:r w:rsidR="00897A4F">
        <w:t>pre</w:t>
      </w:r>
      <w:proofErr w:type="spellEnd"/>
      <w:r w:rsidR="00897A4F">
        <w:t xml:space="preserve"> </w:t>
      </w:r>
      <w:r>
        <w:t>Covid</w:t>
      </w:r>
      <w:proofErr w:type="gramEnd"/>
      <w:r>
        <w:t xml:space="preserve"> del Pil nel corso del 2021 con una notevole crescita (+6,4 per cento) sostenuta dalle imponenti misure di politica fiscale adottate. Nonostante la caduta nel primo trimestre dello scorso anno, grazie a una successiva ripresa a “V”, il prodotto interno lordo cinese è ritornato ai livelli </w:t>
      </w:r>
      <w:proofErr w:type="spellStart"/>
      <w:proofErr w:type="gramStart"/>
      <w:r>
        <w:t>pre</w:t>
      </w:r>
      <w:proofErr w:type="spellEnd"/>
      <w:r w:rsidR="00897A4F">
        <w:t xml:space="preserve"> </w:t>
      </w:r>
      <w:r>
        <w:t>Covid</w:t>
      </w:r>
      <w:proofErr w:type="gramEnd"/>
      <w:r>
        <w:t xml:space="preserve"> già nel corso del 2020, che si e chiuso con una crescita del 2,3 per cento. Grazie alle misure di sostegno introdotte, l’accelerazione della crescita sarà notevole nel 2021 (+8,4 per cento). Il livello dell’indebitamento si è però notevolmente accresciuto. Il Giappone ha sperimentando la più profonda recessione dal dopoguerra che ha ridotto il Pil del 4,8 per cento nel 2020. Le ampie misure di stimolo adottate per il 2021 dovrebbero condurre a una consistente, ma parziale ripresa (+3,3 per cento). </w:t>
      </w:r>
    </w:p>
    <w:p w14:paraId="51C4CBDA" w14:textId="29987904" w:rsidR="00C43F0D" w:rsidRPr="00DB2CF9" w:rsidRDefault="00C43F0D" w:rsidP="00C43F0D">
      <w:pPr>
        <w:pStyle w:val="Titolo2"/>
      </w:pPr>
      <w:r>
        <w:t>L’a</w:t>
      </w:r>
      <w:r w:rsidRPr="00DB2CF9">
        <w:t>rea dell’euro</w:t>
      </w:r>
    </w:p>
    <w:p w14:paraId="2ECCA888" w14:textId="7E94621E" w:rsidR="00DE5BDC" w:rsidRDefault="00DE5BDC" w:rsidP="00DE5BDC">
      <w:r>
        <w:t>Particolarmente nell’Area dell’euro, l’andamento dell’attiv</w:t>
      </w:r>
      <w:r w:rsidR="00897A4F">
        <w:t>i</w:t>
      </w:r>
      <w:r>
        <w:t xml:space="preserve">tà economica nel breve termine dipende dalla rapidità con la quale il progredire della vaccinazione di massa permetterà di eliminare le misure di contenimento adottate. La pressione della pandemia a fine 2020 e all’inizio del 2021 aveva portato a </w:t>
      </w:r>
      <w:r>
        <w:lastRenderedPageBreak/>
        <w:t>febbraio la Commissione europea, a stimare una crescita del Pil dell’area dell’euro del 3,8 per sia nel 2021, sia nel 2022.</w:t>
      </w:r>
      <w:r w:rsidR="001405BD">
        <w:t xml:space="preserve"> </w:t>
      </w:r>
      <w:r>
        <w:t>Le proiezioni della Banca centrale europea di marzo si fondano sull’ipotesi di un rapido allentamento delle misure di contenimento dal secondo trimestre del 2021 e di una piena soluzione della crisi sanitaria dall’inizio del 2022. Inoltre</w:t>
      </w:r>
      <w:r w:rsidR="00897A4F">
        <w:t>,</w:t>
      </w:r>
      <w:r>
        <w:t xml:space="preserve"> ipotizzano il successo delle politiche monetarie, fiscali e del mercato del lavoro adottate nel contenere gli effetti economici negativi (caduta dei redditi, dell’occupazione e aumento dei fallimenti) e nel prevenire la loro amplificazione in un circuito negativo tra economia reale e canali finanziari. Rispetto alle precedenti previsioni dell’Istituto centrale, la forte recessione del prodotto interno lordo dell’area nel 2020 è risultata più contenuta (-6,8 per cento), grazie a un positivo andamento della produzione industriale e dell’attività nelle costruzioni, mentre resta penalizzato l’andamento nei servizi. Sotto le precedenti ipotesi, la Banca centrale europea, a marzo, ha previsto una più forte ripresa dell’attività nella seconda metà del 2021, tanto che l’anno si chiuderà con un recupero del Pil del 4,0 per cento e una crescita analoga si avrà anche nel 2022 (+4,1 per cento). </w:t>
      </w:r>
      <w:bookmarkStart w:id="0" w:name="_Hlk69729610"/>
      <w:r w:rsidR="001405BD">
        <w:t>A inizio aprile, r</w:t>
      </w:r>
      <w:r>
        <w:t xml:space="preserve">ivista </w:t>
      </w:r>
      <w:bookmarkEnd w:id="0"/>
      <w:r>
        <w:t>la caduta del Pil dell’area al 6,6 per cento nel 2020, il Fondo monetario internazionale ampia la crescita prevista per il 2021 al 4,4 per cento, ma al termine del 2022 si prevede che il livello di attività risulterà ancora inferiore a quello del 2019.</w:t>
      </w:r>
    </w:p>
    <w:tbl>
      <w:tblPr>
        <w:tblStyle w:val="Grigliatabella"/>
        <w:tblpPr w:topFromText="284" w:bottomFromText="284" w:horzAnchor="margin" w:tblpXSpec="center" w:tblpYSpec="top"/>
        <w:tblOverlap w:val="never"/>
        <w:tblW w:w="9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211"/>
        <w:gridCol w:w="737"/>
        <w:gridCol w:w="737"/>
        <w:gridCol w:w="737"/>
        <w:gridCol w:w="510"/>
        <w:gridCol w:w="2211"/>
        <w:gridCol w:w="737"/>
        <w:gridCol w:w="737"/>
        <w:gridCol w:w="737"/>
        <w:gridCol w:w="16"/>
      </w:tblGrid>
      <w:tr w:rsidR="00666BD4" w14:paraId="3B99EACB" w14:textId="77777777" w:rsidTr="00666BD4">
        <w:trPr>
          <w:cantSplit/>
          <w:trHeight w:val="255"/>
        </w:trPr>
        <w:tc>
          <w:tcPr>
            <w:tcW w:w="9370" w:type="dxa"/>
            <w:gridSpan w:val="10"/>
            <w:tcBorders>
              <w:bottom w:val="single" w:sz="4" w:space="0" w:color="632423" w:themeColor="accent2" w:themeShade="80"/>
            </w:tcBorders>
            <w:noWrap/>
          </w:tcPr>
          <w:p w14:paraId="335AC08F" w14:textId="77777777" w:rsidR="00666BD4" w:rsidRDefault="00666BD4" w:rsidP="00666BD4">
            <w:pPr>
              <w:pStyle w:val="TabTitolo"/>
            </w:pPr>
            <w:r>
              <w:t xml:space="preserve">Proiezioni </w:t>
            </w:r>
            <w:proofErr w:type="gramStart"/>
            <w:r>
              <w:t>macro economiche</w:t>
            </w:r>
            <w:proofErr w:type="gramEnd"/>
            <w:r>
              <w:t xml:space="preserve"> per l’area dell’euro.</w:t>
            </w:r>
          </w:p>
        </w:tc>
      </w:tr>
      <w:tr w:rsidR="00666BD4" w:rsidRPr="00DD211F" w14:paraId="4785AD50" w14:textId="77777777" w:rsidTr="00666BD4">
        <w:tblPrEx>
          <w:tblBorders>
            <w:top w:val="single" w:sz="4" w:space="0" w:color="632423" w:themeColor="accent2" w:themeShade="80"/>
            <w:bottom w:val="single" w:sz="4" w:space="0" w:color="632423" w:themeColor="accent2" w:themeShade="80"/>
          </w:tblBorders>
        </w:tblPrEx>
        <w:trPr>
          <w:gridAfter w:val="1"/>
          <w:wAfter w:w="16" w:type="dxa"/>
          <w:cantSplit/>
        </w:trPr>
        <w:tc>
          <w:tcPr>
            <w:tcW w:w="2211" w:type="dxa"/>
            <w:noWrap/>
          </w:tcPr>
          <w:p w14:paraId="1AD1341B" w14:textId="77777777" w:rsidR="00666BD4" w:rsidRPr="00DD211F" w:rsidRDefault="00666BD4" w:rsidP="00666BD4">
            <w:pPr>
              <w:pStyle w:val="TabIntestazioni"/>
            </w:pPr>
          </w:p>
        </w:tc>
        <w:tc>
          <w:tcPr>
            <w:tcW w:w="737" w:type="dxa"/>
            <w:noWrap/>
          </w:tcPr>
          <w:p w14:paraId="66C8B8C9" w14:textId="77777777" w:rsidR="00666BD4" w:rsidRPr="00DD211F" w:rsidRDefault="00666BD4" w:rsidP="00666BD4">
            <w:pPr>
              <w:pStyle w:val="TabIntestazioni"/>
            </w:pPr>
            <w:r w:rsidRPr="009C013A">
              <w:t>2020</w:t>
            </w:r>
          </w:p>
        </w:tc>
        <w:tc>
          <w:tcPr>
            <w:tcW w:w="737" w:type="dxa"/>
          </w:tcPr>
          <w:p w14:paraId="3D65F413" w14:textId="77777777" w:rsidR="00666BD4" w:rsidRPr="00DD211F" w:rsidRDefault="00666BD4" w:rsidP="00666BD4">
            <w:pPr>
              <w:pStyle w:val="TabIntestazioni"/>
            </w:pPr>
            <w:r w:rsidRPr="009C013A">
              <w:t>2021</w:t>
            </w:r>
          </w:p>
        </w:tc>
        <w:tc>
          <w:tcPr>
            <w:tcW w:w="737" w:type="dxa"/>
          </w:tcPr>
          <w:p w14:paraId="0B515CD0" w14:textId="77777777" w:rsidR="00666BD4" w:rsidRPr="00DD211F" w:rsidRDefault="00666BD4" w:rsidP="00666BD4">
            <w:pPr>
              <w:pStyle w:val="TabIntestazioni"/>
            </w:pPr>
            <w:r w:rsidRPr="009C013A">
              <w:t>2022</w:t>
            </w:r>
          </w:p>
        </w:tc>
        <w:tc>
          <w:tcPr>
            <w:tcW w:w="510" w:type="dxa"/>
            <w:noWrap/>
          </w:tcPr>
          <w:p w14:paraId="4B625E38" w14:textId="77777777" w:rsidR="00666BD4" w:rsidRPr="00DD211F" w:rsidRDefault="00666BD4" w:rsidP="00666BD4">
            <w:pPr>
              <w:pStyle w:val="TabIntestazioni"/>
            </w:pPr>
          </w:p>
        </w:tc>
        <w:tc>
          <w:tcPr>
            <w:tcW w:w="2211" w:type="dxa"/>
          </w:tcPr>
          <w:p w14:paraId="17C56F33" w14:textId="77777777" w:rsidR="00666BD4" w:rsidRPr="00DD211F" w:rsidRDefault="00666BD4" w:rsidP="00666BD4">
            <w:pPr>
              <w:pStyle w:val="TabIntestazioni"/>
            </w:pPr>
          </w:p>
        </w:tc>
        <w:tc>
          <w:tcPr>
            <w:tcW w:w="737" w:type="dxa"/>
          </w:tcPr>
          <w:p w14:paraId="0C47BDBD" w14:textId="77777777" w:rsidR="00666BD4" w:rsidRPr="00DD211F" w:rsidRDefault="00666BD4" w:rsidP="00666BD4">
            <w:pPr>
              <w:pStyle w:val="TabIntestazioni"/>
            </w:pPr>
            <w:r w:rsidRPr="00B81BCF">
              <w:t>2020</w:t>
            </w:r>
          </w:p>
        </w:tc>
        <w:tc>
          <w:tcPr>
            <w:tcW w:w="737" w:type="dxa"/>
          </w:tcPr>
          <w:p w14:paraId="3746B6B4" w14:textId="77777777" w:rsidR="00666BD4" w:rsidRPr="00DD211F" w:rsidRDefault="00666BD4" w:rsidP="00666BD4">
            <w:pPr>
              <w:pStyle w:val="TabIntestazioni"/>
            </w:pPr>
            <w:r w:rsidRPr="00B81BCF">
              <w:t>2021</w:t>
            </w:r>
          </w:p>
        </w:tc>
        <w:tc>
          <w:tcPr>
            <w:tcW w:w="737" w:type="dxa"/>
          </w:tcPr>
          <w:p w14:paraId="2EDBF653" w14:textId="77777777" w:rsidR="00666BD4" w:rsidRPr="00DD211F" w:rsidRDefault="00666BD4" w:rsidP="00666BD4">
            <w:pPr>
              <w:pStyle w:val="TabIntestazioni"/>
            </w:pPr>
            <w:r w:rsidRPr="00B81BCF">
              <w:t>2022</w:t>
            </w:r>
          </w:p>
        </w:tc>
      </w:tr>
      <w:tr w:rsidR="00666BD4" w14:paraId="5BB2A8D6" w14:textId="77777777" w:rsidTr="00666BD4">
        <w:trPr>
          <w:gridAfter w:val="1"/>
          <w:wAfter w:w="16" w:type="dxa"/>
          <w:cantSplit/>
          <w:trHeight w:hRule="exact" w:val="113"/>
        </w:trPr>
        <w:tc>
          <w:tcPr>
            <w:tcW w:w="2211" w:type="dxa"/>
            <w:tcBorders>
              <w:top w:val="single" w:sz="4" w:space="0" w:color="632423" w:themeColor="accent2" w:themeShade="80"/>
            </w:tcBorders>
            <w:noWrap/>
          </w:tcPr>
          <w:p w14:paraId="6E56A3C3" w14:textId="77777777" w:rsidR="00666BD4" w:rsidRDefault="00666BD4" w:rsidP="00666BD4">
            <w:pPr>
              <w:pStyle w:val="TabEtichette"/>
            </w:pPr>
          </w:p>
        </w:tc>
        <w:tc>
          <w:tcPr>
            <w:tcW w:w="737" w:type="dxa"/>
            <w:tcBorders>
              <w:top w:val="single" w:sz="4" w:space="0" w:color="632423" w:themeColor="accent2" w:themeShade="80"/>
            </w:tcBorders>
            <w:noWrap/>
          </w:tcPr>
          <w:p w14:paraId="0CD5578B" w14:textId="77777777" w:rsidR="00666BD4" w:rsidRDefault="00666BD4" w:rsidP="00666BD4">
            <w:pPr>
              <w:pStyle w:val="TabNumeri"/>
            </w:pPr>
          </w:p>
        </w:tc>
        <w:tc>
          <w:tcPr>
            <w:tcW w:w="737" w:type="dxa"/>
            <w:tcBorders>
              <w:top w:val="single" w:sz="4" w:space="0" w:color="632423" w:themeColor="accent2" w:themeShade="80"/>
            </w:tcBorders>
            <w:noWrap/>
          </w:tcPr>
          <w:p w14:paraId="6F8C31F4" w14:textId="77777777" w:rsidR="00666BD4" w:rsidRDefault="00666BD4" w:rsidP="00666BD4">
            <w:pPr>
              <w:pStyle w:val="TabNumeri"/>
            </w:pPr>
          </w:p>
        </w:tc>
        <w:tc>
          <w:tcPr>
            <w:tcW w:w="737" w:type="dxa"/>
            <w:tcBorders>
              <w:top w:val="single" w:sz="4" w:space="0" w:color="632423" w:themeColor="accent2" w:themeShade="80"/>
            </w:tcBorders>
            <w:noWrap/>
          </w:tcPr>
          <w:p w14:paraId="70656243" w14:textId="77777777" w:rsidR="00666BD4" w:rsidRDefault="00666BD4" w:rsidP="00666BD4">
            <w:pPr>
              <w:pStyle w:val="TabNumeri"/>
            </w:pPr>
          </w:p>
        </w:tc>
        <w:tc>
          <w:tcPr>
            <w:tcW w:w="510" w:type="dxa"/>
            <w:tcBorders>
              <w:top w:val="single" w:sz="4" w:space="0" w:color="632423" w:themeColor="accent2" w:themeShade="80"/>
            </w:tcBorders>
            <w:noWrap/>
          </w:tcPr>
          <w:p w14:paraId="7C7791A8" w14:textId="77777777" w:rsidR="00666BD4" w:rsidRDefault="00666BD4" w:rsidP="00666BD4">
            <w:pPr>
              <w:pStyle w:val="TabNumeri"/>
            </w:pPr>
          </w:p>
        </w:tc>
        <w:tc>
          <w:tcPr>
            <w:tcW w:w="2211" w:type="dxa"/>
            <w:tcBorders>
              <w:top w:val="single" w:sz="4" w:space="0" w:color="632423" w:themeColor="accent2" w:themeShade="80"/>
            </w:tcBorders>
          </w:tcPr>
          <w:p w14:paraId="121BDAD6" w14:textId="77777777" w:rsidR="00666BD4" w:rsidRDefault="00666BD4" w:rsidP="00666BD4">
            <w:pPr>
              <w:pStyle w:val="TabEtichette"/>
            </w:pPr>
          </w:p>
        </w:tc>
        <w:tc>
          <w:tcPr>
            <w:tcW w:w="737" w:type="dxa"/>
            <w:tcBorders>
              <w:top w:val="single" w:sz="4" w:space="0" w:color="632423" w:themeColor="accent2" w:themeShade="80"/>
            </w:tcBorders>
            <w:noWrap/>
          </w:tcPr>
          <w:p w14:paraId="51A70082" w14:textId="77777777" w:rsidR="00666BD4" w:rsidRDefault="00666BD4" w:rsidP="00666BD4">
            <w:pPr>
              <w:pStyle w:val="TabNumeri"/>
            </w:pPr>
          </w:p>
        </w:tc>
        <w:tc>
          <w:tcPr>
            <w:tcW w:w="737" w:type="dxa"/>
            <w:tcBorders>
              <w:top w:val="single" w:sz="4" w:space="0" w:color="632423" w:themeColor="accent2" w:themeShade="80"/>
            </w:tcBorders>
          </w:tcPr>
          <w:p w14:paraId="0ECB60FC" w14:textId="77777777" w:rsidR="00666BD4" w:rsidRDefault="00666BD4" w:rsidP="00666BD4">
            <w:pPr>
              <w:pStyle w:val="TabNumeri"/>
            </w:pPr>
          </w:p>
        </w:tc>
        <w:tc>
          <w:tcPr>
            <w:tcW w:w="737" w:type="dxa"/>
            <w:tcBorders>
              <w:top w:val="single" w:sz="4" w:space="0" w:color="632423" w:themeColor="accent2" w:themeShade="80"/>
            </w:tcBorders>
            <w:noWrap/>
          </w:tcPr>
          <w:p w14:paraId="2B544A49" w14:textId="77777777" w:rsidR="00666BD4" w:rsidRDefault="00666BD4" w:rsidP="00666BD4">
            <w:pPr>
              <w:pStyle w:val="TabNumeri"/>
            </w:pPr>
          </w:p>
        </w:tc>
      </w:tr>
      <w:tr w:rsidR="00666BD4" w:rsidRPr="008D37A3" w14:paraId="53894A67" w14:textId="77777777" w:rsidTr="00666BD4">
        <w:trPr>
          <w:gridAfter w:val="1"/>
          <w:wAfter w:w="16" w:type="dxa"/>
          <w:cantSplit/>
          <w:trHeight w:val="255"/>
        </w:trPr>
        <w:tc>
          <w:tcPr>
            <w:tcW w:w="2211" w:type="dxa"/>
            <w:noWrap/>
          </w:tcPr>
          <w:p w14:paraId="7003FD2B" w14:textId="77777777" w:rsidR="00666BD4" w:rsidRPr="00233F5C" w:rsidRDefault="00666BD4" w:rsidP="00666BD4">
            <w:pPr>
              <w:pStyle w:val="TabEtichette"/>
            </w:pPr>
            <w:r w:rsidRPr="00233F5C">
              <w:t>Prodotto interno lordo</w:t>
            </w:r>
            <w:r>
              <w:t xml:space="preserve"> (1, 2)</w:t>
            </w:r>
          </w:p>
        </w:tc>
        <w:tc>
          <w:tcPr>
            <w:tcW w:w="737" w:type="dxa"/>
            <w:noWrap/>
          </w:tcPr>
          <w:p w14:paraId="64145C3F" w14:textId="77777777" w:rsidR="00666BD4" w:rsidRPr="00902005" w:rsidRDefault="00666BD4" w:rsidP="00666BD4">
            <w:pPr>
              <w:pStyle w:val="TabNumeri"/>
            </w:pPr>
            <w:r w:rsidRPr="009C013A">
              <w:t>-6,9</w:t>
            </w:r>
          </w:p>
        </w:tc>
        <w:tc>
          <w:tcPr>
            <w:tcW w:w="737" w:type="dxa"/>
            <w:noWrap/>
          </w:tcPr>
          <w:p w14:paraId="7C23C003" w14:textId="77777777" w:rsidR="00666BD4" w:rsidRPr="00902005" w:rsidRDefault="00666BD4" w:rsidP="00666BD4">
            <w:pPr>
              <w:pStyle w:val="TabNumeri"/>
            </w:pPr>
            <w:r w:rsidRPr="009C013A">
              <w:t>4,0</w:t>
            </w:r>
          </w:p>
        </w:tc>
        <w:tc>
          <w:tcPr>
            <w:tcW w:w="737" w:type="dxa"/>
            <w:noWrap/>
          </w:tcPr>
          <w:p w14:paraId="028A3F36" w14:textId="77777777" w:rsidR="00666BD4" w:rsidRPr="00902005" w:rsidRDefault="00666BD4" w:rsidP="00666BD4">
            <w:pPr>
              <w:pStyle w:val="TabNumeri"/>
            </w:pPr>
            <w:r w:rsidRPr="009C013A">
              <w:t>4,1</w:t>
            </w:r>
          </w:p>
        </w:tc>
        <w:tc>
          <w:tcPr>
            <w:tcW w:w="510" w:type="dxa"/>
            <w:noWrap/>
          </w:tcPr>
          <w:p w14:paraId="0CA7A182" w14:textId="77777777" w:rsidR="00666BD4" w:rsidRPr="000770A1" w:rsidRDefault="00666BD4" w:rsidP="00666BD4">
            <w:pPr>
              <w:pStyle w:val="TabNumeri"/>
              <w:rPr>
                <w:sz w:val="14"/>
                <w:szCs w:val="14"/>
              </w:rPr>
            </w:pPr>
          </w:p>
        </w:tc>
        <w:tc>
          <w:tcPr>
            <w:tcW w:w="2211" w:type="dxa"/>
          </w:tcPr>
          <w:p w14:paraId="15EBB61F" w14:textId="77777777" w:rsidR="00666BD4" w:rsidRPr="00233F5C" w:rsidRDefault="00666BD4" w:rsidP="00666BD4">
            <w:pPr>
              <w:pStyle w:val="TabEtichette"/>
            </w:pPr>
            <w:r>
              <w:t>Saldo di conto corrente (4)</w:t>
            </w:r>
          </w:p>
        </w:tc>
        <w:tc>
          <w:tcPr>
            <w:tcW w:w="737" w:type="dxa"/>
            <w:noWrap/>
          </w:tcPr>
          <w:p w14:paraId="0EB68F15" w14:textId="77777777" w:rsidR="00666BD4" w:rsidRPr="008D37A3" w:rsidRDefault="00666BD4" w:rsidP="00666BD4">
            <w:pPr>
              <w:pStyle w:val="TabNumeri"/>
            </w:pPr>
            <w:r w:rsidRPr="00B81BCF">
              <w:t>2,2</w:t>
            </w:r>
          </w:p>
        </w:tc>
        <w:tc>
          <w:tcPr>
            <w:tcW w:w="737" w:type="dxa"/>
          </w:tcPr>
          <w:p w14:paraId="0C9BDC55" w14:textId="77777777" w:rsidR="00666BD4" w:rsidRPr="008D37A3" w:rsidRDefault="00666BD4" w:rsidP="00666BD4">
            <w:pPr>
              <w:pStyle w:val="TabNumeri"/>
            </w:pPr>
            <w:r w:rsidRPr="00B81BCF">
              <w:t>2,0</w:t>
            </w:r>
          </w:p>
        </w:tc>
        <w:tc>
          <w:tcPr>
            <w:tcW w:w="737" w:type="dxa"/>
            <w:noWrap/>
          </w:tcPr>
          <w:p w14:paraId="52604D7B" w14:textId="77777777" w:rsidR="00666BD4" w:rsidRPr="008D37A3" w:rsidRDefault="00666BD4" w:rsidP="00666BD4">
            <w:pPr>
              <w:pStyle w:val="TabNumeri"/>
            </w:pPr>
            <w:r w:rsidRPr="00B81BCF">
              <w:t>1,7</w:t>
            </w:r>
          </w:p>
        </w:tc>
      </w:tr>
      <w:tr w:rsidR="00666BD4" w:rsidRPr="008D37A3" w14:paraId="6FC165EF" w14:textId="77777777" w:rsidTr="00666BD4">
        <w:trPr>
          <w:gridAfter w:val="1"/>
          <w:wAfter w:w="16" w:type="dxa"/>
          <w:cantSplit/>
          <w:trHeight w:val="255"/>
        </w:trPr>
        <w:tc>
          <w:tcPr>
            <w:tcW w:w="2211" w:type="dxa"/>
            <w:shd w:val="clear" w:color="auto" w:fill="EAF1DD" w:themeFill="accent3" w:themeFillTint="33"/>
            <w:noWrap/>
          </w:tcPr>
          <w:p w14:paraId="54F823FD" w14:textId="77777777" w:rsidR="00666BD4" w:rsidRPr="00233F5C" w:rsidRDefault="00666BD4" w:rsidP="00666BD4">
            <w:pPr>
              <w:pStyle w:val="TabEtichette"/>
            </w:pPr>
            <w:r w:rsidRPr="00233F5C">
              <w:t xml:space="preserve">Consumi </w:t>
            </w:r>
            <w:r>
              <w:t>privati (1, 2)</w:t>
            </w:r>
          </w:p>
        </w:tc>
        <w:tc>
          <w:tcPr>
            <w:tcW w:w="737" w:type="dxa"/>
            <w:shd w:val="clear" w:color="auto" w:fill="EAF1DD" w:themeFill="accent3" w:themeFillTint="33"/>
            <w:noWrap/>
          </w:tcPr>
          <w:p w14:paraId="4E898131" w14:textId="77777777" w:rsidR="00666BD4" w:rsidRPr="00902005" w:rsidRDefault="00666BD4" w:rsidP="00666BD4">
            <w:pPr>
              <w:pStyle w:val="TabNumeri"/>
            </w:pPr>
            <w:r w:rsidRPr="009C013A">
              <w:t>-8,0</w:t>
            </w:r>
          </w:p>
        </w:tc>
        <w:tc>
          <w:tcPr>
            <w:tcW w:w="737" w:type="dxa"/>
            <w:shd w:val="clear" w:color="auto" w:fill="EAF1DD" w:themeFill="accent3" w:themeFillTint="33"/>
            <w:noWrap/>
          </w:tcPr>
          <w:p w14:paraId="0C2E1E4E" w14:textId="77777777" w:rsidR="00666BD4" w:rsidRPr="00902005" w:rsidRDefault="00666BD4" w:rsidP="00666BD4">
            <w:pPr>
              <w:pStyle w:val="TabNumeri"/>
            </w:pPr>
            <w:r w:rsidRPr="009C013A">
              <w:t>3,0</w:t>
            </w:r>
          </w:p>
        </w:tc>
        <w:tc>
          <w:tcPr>
            <w:tcW w:w="737" w:type="dxa"/>
            <w:shd w:val="clear" w:color="auto" w:fill="EAF1DD" w:themeFill="accent3" w:themeFillTint="33"/>
            <w:noWrap/>
          </w:tcPr>
          <w:p w14:paraId="604D4038" w14:textId="77777777" w:rsidR="00666BD4" w:rsidRPr="00902005" w:rsidRDefault="00666BD4" w:rsidP="00666BD4">
            <w:pPr>
              <w:pStyle w:val="TabNumeri"/>
            </w:pPr>
            <w:r w:rsidRPr="009C013A">
              <w:t>5,9</w:t>
            </w:r>
          </w:p>
        </w:tc>
        <w:tc>
          <w:tcPr>
            <w:tcW w:w="510" w:type="dxa"/>
            <w:shd w:val="clear" w:color="auto" w:fill="EAF1DD" w:themeFill="accent3" w:themeFillTint="33"/>
            <w:noWrap/>
          </w:tcPr>
          <w:p w14:paraId="0EA592CB" w14:textId="77777777" w:rsidR="00666BD4" w:rsidRPr="000770A1" w:rsidRDefault="00666BD4" w:rsidP="00666BD4">
            <w:pPr>
              <w:pStyle w:val="TabNumeri"/>
              <w:rPr>
                <w:sz w:val="14"/>
                <w:szCs w:val="14"/>
              </w:rPr>
            </w:pPr>
          </w:p>
        </w:tc>
        <w:tc>
          <w:tcPr>
            <w:tcW w:w="2211" w:type="dxa"/>
            <w:shd w:val="clear" w:color="auto" w:fill="EAF1DD" w:themeFill="accent3" w:themeFillTint="33"/>
          </w:tcPr>
          <w:p w14:paraId="00FD1F30" w14:textId="77777777" w:rsidR="00666BD4" w:rsidRPr="00233F5C" w:rsidRDefault="00666BD4" w:rsidP="00666BD4">
            <w:pPr>
              <w:pStyle w:val="TabEtichette"/>
            </w:pPr>
            <w:r>
              <w:t>Occupazione (1)</w:t>
            </w:r>
          </w:p>
        </w:tc>
        <w:tc>
          <w:tcPr>
            <w:tcW w:w="737" w:type="dxa"/>
            <w:shd w:val="clear" w:color="auto" w:fill="EAF1DD" w:themeFill="accent3" w:themeFillTint="33"/>
            <w:noWrap/>
          </w:tcPr>
          <w:p w14:paraId="09A212B6" w14:textId="77777777" w:rsidR="00666BD4" w:rsidRPr="008D37A3" w:rsidRDefault="00666BD4" w:rsidP="00666BD4">
            <w:pPr>
              <w:pStyle w:val="TabNumeri"/>
            </w:pPr>
            <w:r w:rsidRPr="00B81BCF">
              <w:t>-1,7</w:t>
            </w:r>
          </w:p>
        </w:tc>
        <w:tc>
          <w:tcPr>
            <w:tcW w:w="737" w:type="dxa"/>
            <w:shd w:val="clear" w:color="auto" w:fill="EAF1DD" w:themeFill="accent3" w:themeFillTint="33"/>
          </w:tcPr>
          <w:p w14:paraId="29B49248" w14:textId="77777777" w:rsidR="00666BD4" w:rsidRPr="008D37A3" w:rsidRDefault="00666BD4" w:rsidP="00666BD4">
            <w:pPr>
              <w:pStyle w:val="TabNumeri"/>
            </w:pPr>
            <w:r w:rsidRPr="00B81BCF">
              <w:t>-0,2</w:t>
            </w:r>
          </w:p>
        </w:tc>
        <w:tc>
          <w:tcPr>
            <w:tcW w:w="737" w:type="dxa"/>
            <w:shd w:val="clear" w:color="auto" w:fill="EAF1DD" w:themeFill="accent3" w:themeFillTint="33"/>
            <w:noWrap/>
          </w:tcPr>
          <w:p w14:paraId="0F5CA20C" w14:textId="77777777" w:rsidR="00666BD4" w:rsidRPr="008D37A3" w:rsidRDefault="00666BD4" w:rsidP="00666BD4">
            <w:pPr>
              <w:pStyle w:val="TabNumeri"/>
            </w:pPr>
            <w:r w:rsidRPr="00B81BCF">
              <w:t>1,3</w:t>
            </w:r>
          </w:p>
        </w:tc>
      </w:tr>
      <w:tr w:rsidR="00666BD4" w:rsidRPr="008D37A3" w14:paraId="1BC0A1E9" w14:textId="77777777" w:rsidTr="00666BD4">
        <w:trPr>
          <w:gridAfter w:val="1"/>
          <w:wAfter w:w="16" w:type="dxa"/>
          <w:cantSplit/>
          <w:trHeight w:val="255"/>
        </w:trPr>
        <w:tc>
          <w:tcPr>
            <w:tcW w:w="2211" w:type="dxa"/>
            <w:noWrap/>
          </w:tcPr>
          <w:p w14:paraId="69707387" w14:textId="77777777" w:rsidR="00666BD4" w:rsidRPr="00233F5C" w:rsidRDefault="00666BD4" w:rsidP="00666BD4">
            <w:pPr>
              <w:pStyle w:val="TabEtichette"/>
            </w:pPr>
            <w:r w:rsidRPr="00233F5C">
              <w:t xml:space="preserve">Consumi </w:t>
            </w:r>
            <w:r>
              <w:t>pubblici (1, 2)</w:t>
            </w:r>
          </w:p>
        </w:tc>
        <w:tc>
          <w:tcPr>
            <w:tcW w:w="737" w:type="dxa"/>
            <w:noWrap/>
          </w:tcPr>
          <w:p w14:paraId="1A0CE148" w14:textId="77777777" w:rsidR="00666BD4" w:rsidRPr="00902005" w:rsidRDefault="00666BD4" w:rsidP="00666BD4">
            <w:pPr>
              <w:pStyle w:val="TabNumeri"/>
            </w:pPr>
            <w:r w:rsidRPr="009C013A">
              <w:t>1,0</w:t>
            </w:r>
          </w:p>
        </w:tc>
        <w:tc>
          <w:tcPr>
            <w:tcW w:w="737" w:type="dxa"/>
            <w:noWrap/>
          </w:tcPr>
          <w:p w14:paraId="7B2B3575" w14:textId="77777777" w:rsidR="00666BD4" w:rsidRPr="00902005" w:rsidRDefault="00666BD4" w:rsidP="00666BD4">
            <w:pPr>
              <w:pStyle w:val="TabNumeri"/>
            </w:pPr>
            <w:r w:rsidRPr="009C013A">
              <w:t>2,9</w:t>
            </w:r>
          </w:p>
        </w:tc>
        <w:tc>
          <w:tcPr>
            <w:tcW w:w="737" w:type="dxa"/>
            <w:noWrap/>
          </w:tcPr>
          <w:p w14:paraId="43AED372" w14:textId="77777777" w:rsidR="00666BD4" w:rsidRPr="00902005" w:rsidRDefault="00666BD4" w:rsidP="00666BD4">
            <w:pPr>
              <w:pStyle w:val="TabNumeri"/>
            </w:pPr>
            <w:r w:rsidRPr="009C013A">
              <w:t>0,1</w:t>
            </w:r>
          </w:p>
        </w:tc>
        <w:tc>
          <w:tcPr>
            <w:tcW w:w="510" w:type="dxa"/>
            <w:noWrap/>
          </w:tcPr>
          <w:p w14:paraId="24F2A5B1" w14:textId="77777777" w:rsidR="00666BD4" w:rsidRPr="000770A1" w:rsidRDefault="00666BD4" w:rsidP="00666BD4">
            <w:pPr>
              <w:pStyle w:val="TabNumeri"/>
              <w:rPr>
                <w:sz w:val="14"/>
                <w:szCs w:val="14"/>
              </w:rPr>
            </w:pPr>
          </w:p>
        </w:tc>
        <w:tc>
          <w:tcPr>
            <w:tcW w:w="2211" w:type="dxa"/>
          </w:tcPr>
          <w:p w14:paraId="0BCB32A6" w14:textId="77777777" w:rsidR="00666BD4" w:rsidRPr="00233F5C" w:rsidRDefault="00666BD4" w:rsidP="00666BD4">
            <w:pPr>
              <w:pStyle w:val="TabEtichette"/>
            </w:pPr>
            <w:r>
              <w:t>Tasso di d</w:t>
            </w:r>
            <w:r w:rsidRPr="00233F5C">
              <w:t>isoccupazione [</w:t>
            </w:r>
            <w:r>
              <w:t>5</w:t>
            </w:r>
            <w:r w:rsidRPr="00233F5C">
              <w:t>]</w:t>
            </w:r>
          </w:p>
        </w:tc>
        <w:tc>
          <w:tcPr>
            <w:tcW w:w="737" w:type="dxa"/>
            <w:noWrap/>
          </w:tcPr>
          <w:p w14:paraId="0D62B864" w14:textId="77777777" w:rsidR="00666BD4" w:rsidRPr="008D37A3" w:rsidRDefault="00666BD4" w:rsidP="00666BD4">
            <w:pPr>
              <w:pStyle w:val="TabNumeri"/>
            </w:pPr>
            <w:r w:rsidRPr="00B81BCF">
              <w:t>7,8</w:t>
            </w:r>
          </w:p>
        </w:tc>
        <w:tc>
          <w:tcPr>
            <w:tcW w:w="737" w:type="dxa"/>
          </w:tcPr>
          <w:p w14:paraId="1F487CA4" w14:textId="77777777" w:rsidR="00666BD4" w:rsidRPr="008D37A3" w:rsidRDefault="00666BD4" w:rsidP="00666BD4">
            <w:pPr>
              <w:pStyle w:val="TabNumeri"/>
            </w:pPr>
            <w:r w:rsidRPr="00B81BCF">
              <w:t>8,6</w:t>
            </w:r>
          </w:p>
        </w:tc>
        <w:tc>
          <w:tcPr>
            <w:tcW w:w="737" w:type="dxa"/>
            <w:noWrap/>
          </w:tcPr>
          <w:p w14:paraId="3AE26EC7" w14:textId="77777777" w:rsidR="00666BD4" w:rsidRPr="008D37A3" w:rsidRDefault="00666BD4" w:rsidP="00666BD4">
            <w:pPr>
              <w:pStyle w:val="TabNumeri"/>
            </w:pPr>
            <w:r w:rsidRPr="00B81BCF">
              <w:t>8,1</w:t>
            </w:r>
          </w:p>
        </w:tc>
      </w:tr>
      <w:tr w:rsidR="00666BD4" w:rsidRPr="008D37A3" w14:paraId="73930232" w14:textId="77777777" w:rsidTr="00666BD4">
        <w:trPr>
          <w:gridAfter w:val="1"/>
          <w:wAfter w:w="16" w:type="dxa"/>
          <w:cantSplit/>
          <w:trHeight w:val="255"/>
        </w:trPr>
        <w:tc>
          <w:tcPr>
            <w:tcW w:w="2211" w:type="dxa"/>
            <w:shd w:val="clear" w:color="auto" w:fill="EAF1DD" w:themeFill="accent3" w:themeFillTint="33"/>
            <w:noWrap/>
          </w:tcPr>
          <w:p w14:paraId="48102469" w14:textId="77777777" w:rsidR="00666BD4" w:rsidRPr="00233F5C" w:rsidRDefault="00666BD4" w:rsidP="00666BD4">
            <w:pPr>
              <w:pStyle w:val="TabEtichette"/>
            </w:pPr>
            <w:r w:rsidRPr="00233F5C">
              <w:t>Investimenti fissi lordi</w:t>
            </w:r>
            <w:r>
              <w:t xml:space="preserve"> (1, 2)</w:t>
            </w:r>
          </w:p>
        </w:tc>
        <w:tc>
          <w:tcPr>
            <w:tcW w:w="737" w:type="dxa"/>
            <w:shd w:val="clear" w:color="auto" w:fill="EAF1DD" w:themeFill="accent3" w:themeFillTint="33"/>
            <w:noWrap/>
          </w:tcPr>
          <w:p w14:paraId="2E51B5E6" w14:textId="77777777" w:rsidR="00666BD4" w:rsidRPr="00902005" w:rsidRDefault="00666BD4" w:rsidP="00666BD4">
            <w:pPr>
              <w:pStyle w:val="TabNumeri"/>
            </w:pPr>
            <w:r w:rsidRPr="009C013A">
              <w:t>-8,4</w:t>
            </w:r>
          </w:p>
        </w:tc>
        <w:tc>
          <w:tcPr>
            <w:tcW w:w="737" w:type="dxa"/>
            <w:shd w:val="clear" w:color="auto" w:fill="EAF1DD" w:themeFill="accent3" w:themeFillTint="33"/>
            <w:noWrap/>
          </w:tcPr>
          <w:p w14:paraId="0FBC05A9" w14:textId="77777777" w:rsidR="00666BD4" w:rsidRPr="00902005" w:rsidRDefault="00666BD4" w:rsidP="00666BD4">
            <w:pPr>
              <w:pStyle w:val="TabNumeri"/>
            </w:pPr>
            <w:r w:rsidRPr="009C013A">
              <w:t>5,5</w:t>
            </w:r>
          </w:p>
        </w:tc>
        <w:tc>
          <w:tcPr>
            <w:tcW w:w="737" w:type="dxa"/>
            <w:shd w:val="clear" w:color="auto" w:fill="EAF1DD" w:themeFill="accent3" w:themeFillTint="33"/>
            <w:noWrap/>
          </w:tcPr>
          <w:p w14:paraId="3B31D459" w14:textId="77777777" w:rsidR="00666BD4" w:rsidRPr="00902005" w:rsidRDefault="00666BD4" w:rsidP="00666BD4">
            <w:pPr>
              <w:pStyle w:val="TabNumeri"/>
            </w:pPr>
            <w:r w:rsidRPr="009C013A">
              <w:t>5,9</w:t>
            </w:r>
          </w:p>
        </w:tc>
        <w:tc>
          <w:tcPr>
            <w:tcW w:w="510" w:type="dxa"/>
            <w:shd w:val="clear" w:color="auto" w:fill="EAF1DD" w:themeFill="accent3" w:themeFillTint="33"/>
            <w:noWrap/>
          </w:tcPr>
          <w:p w14:paraId="01AC3DC4" w14:textId="77777777" w:rsidR="00666BD4" w:rsidRPr="000770A1" w:rsidRDefault="00666BD4" w:rsidP="00666BD4">
            <w:pPr>
              <w:pStyle w:val="TabNumeri"/>
              <w:rPr>
                <w:sz w:val="14"/>
                <w:szCs w:val="14"/>
              </w:rPr>
            </w:pPr>
          </w:p>
        </w:tc>
        <w:tc>
          <w:tcPr>
            <w:tcW w:w="2211" w:type="dxa"/>
            <w:shd w:val="clear" w:color="auto" w:fill="EAF1DD" w:themeFill="accent3" w:themeFillTint="33"/>
          </w:tcPr>
          <w:p w14:paraId="47CA3D1A" w14:textId="77777777" w:rsidR="00666BD4" w:rsidRPr="00233F5C" w:rsidRDefault="00666BD4" w:rsidP="00666BD4">
            <w:pPr>
              <w:pStyle w:val="TabEtichette"/>
            </w:pPr>
            <w:r w:rsidRPr="00233F5C">
              <w:t>Prezzi al consumo</w:t>
            </w:r>
            <w:r>
              <w:t xml:space="preserve"> [1, 6]</w:t>
            </w:r>
          </w:p>
        </w:tc>
        <w:tc>
          <w:tcPr>
            <w:tcW w:w="737" w:type="dxa"/>
            <w:shd w:val="clear" w:color="auto" w:fill="EAF1DD" w:themeFill="accent3" w:themeFillTint="33"/>
            <w:noWrap/>
          </w:tcPr>
          <w:p w14:paraId="3496F16E" w14:textId="77777777" w:rsidR="00666BD4" w:rsidRPr="008D37A3" w:rsidRDefault="00666BD4" w:rsidP="00666BD4">
            <w:pPr>
              <w:pStyle w:val="TabNumeri"/>
            </w:pPr>
            <w:r w:rsidRPr="00B81BCF">
              <w:t>0,3</w:t>
            </w:r>
          </w:p>
        </w:tc>
        <w:tc>
          <w:tcPr>
            <w:tcW w:w="737" w:type="dxa"/>
            <w:shd w:val="clear" w:color="auto" w:fill="EAF1DD" w:themeFill="accent3" w:themeFillTint="33"/>
          </w:tcPr>
          <w:p w14:paraId="1DB8D16B" w14:textId="77777777" w:rsidR="00666BD4" w:rsidRPr="008D37A3" w:rsidRDefault="00666BD4" w:rsidP="00666BD4">
            <w:pPr>
              <w:pStyle w:val="TabNumeri"/>
            </w:pPr>
            <w:r w:rsidRPr="00B81BCF">
              <w:t>1,5</w:t>
            </w:r>
          </w:p>
        </w:tc>
        <w:tc>
          <w:tcPr>
            <w:tcW w:w="737" w:type="dxa"/>
            <w:shd w:val="clear" w:color="auto" w:fill="EAF1DD" w:themeFill="accent3" w:themeFillTint="33"/>
            <w:noWrap/>
          </w:tcPr>
          <w:p w14:paraId="5646C226" w14:textId="77777777" w:rsidR="00666BD4" w:rsidRPr="008D37A3" w:rsidRDefault="00666BD4" w:rsidP="00666BD4">
            <w:pPr>
              <w:pStyle w:val="TabNumeri"/>
            </w:pPr>
            <w:r w:rsidRPr="00B81BCF">
              <w:t>1,2</w:t>
            </w:r>
          </w:p>
        </w:tc>
      </w:tr>
      <w:tr w:rsidR="00666BD4" w:rsidRPr="008D37A3" w14:paraId="140D1C1A" w14:textId="77777777" w:rsidTr="00666BD4">
        <w:trPr>
          <w:gridAfter w:val="1"/>
          <w:wAfter w:w="16" w:type="dxa"/>
          <w:cantSplit/>
          <w:trHeight w:val="255"/>
        </w:trPr>
        <w:tc>
          <w:tcPr>
            <w:tcW w:w="2211" w:type="dxa"/>
            <w:noWrap/>
          </w:tcPr>
          <w:p w14:paraId="69C8228F" w14:textId="77777777" w:rsidR="00666BD4" w:rsidRPr="00233F5C" w:rsidRDefault="00666BD4" w:rsidP="00666BD4">
            <w:pPr>
              <w:pStyle w:val="TabEtichette"/>
            </w:pPr>
            <w:r w:rsidRPr="00233F5C">
              <w:t>Esportazioni</w:t>
            </w:r>
            <w:r>
              <w:t xml:space="preserve"> (1, 2, 3)</w:t>
            </w:r>
          </w:p>
        </w:tc>
        <w:tc>
          <w:tcPr>
            <w:tcW w:w="737" w:type="dxa"/>
            <w:noWrap/>
          </w:tcPr>
          <w:p w14:paraId="3DE2C574" w14:textId="77777777" w:rsidR="00666BD4" w:rsidRPr="00902005" w:rsidRDefault="00666BD4" w:rsidP="00666BD4">
            <w:pPr>
              <w:pStyle w:val="TabNumeri"/>
            </w:pPr>
            <w:r w:rsidRPr="009C013A">
              <w:t>-10,5</w:t>
            </w:r>
          </w:p>
        </w:tc>
        <w:tc>
          <w:tcPr>
            <w:tcW w:w="737" w:type="dxa"/>
            <w:noWrap/>
          </w:tcPr>
          <w:p w14:paraId="3FBDD67F" w14:textId="77777777" w:rsidR="00666BD4" w:rsidRPr="00902005" w:rsidRDefault="00666BD4" w:rsidP="00666BD4">
            <w:pPr>
              <w:pStyle w:val="TabNumeri"/>
            </w:pPr>
            <w:r w:rsidRPr="009C013A">
              <w:t>7,5</w:t>
            </w:r>
          </w:p>
        </w:tc>
        <w:tc>
          <w:tcPr>
            <w:tcW w:w="737" w:type="dxa"/>
            <w:noWrap/>
          </w:tcPr>
          <w:p w14:paraId="70DA9A6E" w14:textId="77777777" w:rsidR="00666BD4" w:rsidRPr="00902005" w:rsidRDefault="00666BD4" w:rsidP="00666BD4">
            <w:pPr>
              <w:pStyle w:val="TabNumeri"/>
            </w:pPr>
            <w:r w:rsidRPr="009C013A">
              <w:t>5,5</w:t>
            </w:r>
          </w:p>
        </w:tc>
        <w:tc>
          <w:tcPr>
            <w:tcW w:w="510" w:type="dxa"/>
            <w:noWrap/>
          </w:tcPr>
          <w:p w14:paraId="0D635511" w14:textId="77777777" w:rsidR="00666BD4" w:rsidRPr="000770A1" w:rsidRDefault="00666BD4" w:rsidP="00666BD4">
            <w:pPr>
              <w:pStyle w:val="TabNumeri"/>
              <w:rPr>
                <w:sz w:val="14"/>
                <w:szCs w:val="14"/>
              </w:rPr>
            </w:pPr>
          </w:p>
        </w:tc>
        <w:tc>
          <w:tcPr>
            <w:tcW w:w="2211" w:type="dxa"/>
          </w:tcPr>
          <w:p w14:paraId="36C31E41" w14:textId="77777777" w:rsidR="00666BD4" w:rsidRPr="00233F5C" w:rsidRDefault="00666BD4" w:rsidP="00666BD4">
            <w:pPr>
              <w:pStyle w:val="TabEtichette"/>
            </w:pPr>
            <w:r w:rsidRPr="00233F5C">
              <w:t>Ind</w:t>
            </w:r>
            <w:r>
              <w:t>ebitamento della P.A. [4]</w:t>
            </w:r>
          </w:p>
        </w:tc>
        <w:tc>
          <w:tcPr>
            <w:tcW w:w="737" w:type="dxa"/>
            <w:noWrap/>
          </w:tcPr>
          <w:p w14:paraId="766C7C7A" w14:textId="77777777" w:rsidR="00666BD4" w:rsidRPr="008D37A3" w:rsidRDefault="00666BD4" w:rsidP="00666BD4">
            <w:pPr>
              <w:pStyle w:val="TabNumeri"/>
            </w:pPr>
            <w:r w:rsidRPr="00B81BCF">
              <w:t>8,0</w:t>
            </w:r>
          </w:p>
        </w:tc>
        <w:tc>
          <w:tcPr>
            <w:tcW w:w="737" w:type="dxa"/>
          </w:tcPr>
          <w:p w14:paraId="3AF03E7F" w14:textId="77777777" w:rsidR="00666BD4" w:rsidRPr="008D37A3" w:rsidRDefault="00666BD4" w:rsidP="00666BD4">
            <w:pPr>
              <w:pStyle w:val="TabNumeri"/>
            </w:pPr>
            <w:r w:rsidRPr="00B81BCF">
              <w:t>7,2</w:t>
            </w:r>
          </w:p>
        </w:tc>
        <w:tc>
          <w:tcPr>
            <w:tcW w:w="737" w:type="dxa"/>
            <w:noWrap/>
          </w:tcPr>
          <w:p w14:paraId="2D9A5073" w14:textId="77777777" w:rsidR="00666BD4" w:rsidRPr="008D37A3" w:rsidRDefault="00666BD4" w:rsidP="00666BD4">
            <w:pPr>
              <w:pStyle w:val="TabNumeri"/>
            </w:pPr>
            <w:r w:rsidRPr="00B81BCF">
              <w:t>6,1</w:t>
            </w:r>
          </w:p>
        </w:tc>
      </w:tr>
      <w:tr w:rsidR="00666BD4" w14:paraId="66138ADC" w14:textId="77777777" w:rsidTr="00666BD4">
        <w:trPr>
          <w:gridAfter w:val="1"/>
          <w:wAfter w:w="16" w:type="dxa"/>
          <w:cantSplit/>
          <w:trHeight w:val="255"/>
        </w:trPr>
        <w:tc>
          <w:tcPr>
            <w:tcW w:w="2211" w:type="dxa"/>
            <w:tcBorders>
              <w:bottom w:val="single" w:sz="4" w:space="0" w:color="632423" w:themeColor="accent2" w:themeShade="80"/>
            </w:tcBorders>
            <w:shd w:val="clear" w:color="auto" w:fill="EAF1DD" w:themeFill="accent3" w:themeFillTint="33"/>
            <w:noWrap/>
          </w:tcPr>
          <w:p w14:paraId="55FBE07E" w14:textId="77777777" w:rsidR="00666BD4" w:rsidRDefault="00666BD4" w:rsidP="00666BD4">
            <w:pPr>
              <w:pStyle w:val="TabEtichette"/>
            </w:pPr>
            <w:r w:rsidRPr="00233F5C">
              <w:t>Importazioni</w:t>
            </w:r>
            <w:r>
              <w:t xml:space="preserve"> (1, 2, 3)</w:t>
            </w:r>
          </w:p>
        </w:tc>
        <w:tc>
          <w:tcPr>
            <w:tcW w:w="737" w:type="dxa"/>
            <w:tcBorders>
              <w:bottom w:val="single" w:sz="4" w:space="0" w:color="632423" w:themeColor="accent2" w:themeShade="80"/>
            </w:tcBorders>
            <w:shd w:val="clear" w:color="auto" w:fill="EAF1DD" w:themeFill="accent3" w:themeFillTint="33"/>
            <w:noWrap/>
          </w:tcPr>
          <w:p w14:paraId="3AE033D1" w14:textId="77777777" w:rsidR="00666BD4" w:rsidRPr="00902005" w:rsidRDefault="00666BD4" w:rsidP="00666BD4">
            <w:pPr>
              <w:pStyle w:val="TabNumeri"/>
            </w:pPr>
            <w:r w:rsidRPr="009C013A">
              <w:t>-10,0</w:t>
            </w:r>
          </w:p>
        </w:tc>
        <w:tc>
          <w:tcPr>
            <w:tcW w:w="737" w:type="dxa"/>
            <w:tcBorders>
              <w:bottom w:val="single" w:sz="4" w:space="0" w:color="632423" w:themeColor="accent2" w:themeShade="80"/>
            </w:tcBorders>
            <w:shd w:val="clear" w:color="auto" w:fill="EAF1DD" w:themeFill="accent3" w:themeFillTint="33"/>
            <w:noWrap/>
          </w:tcPr>
          <w:p w14:paraId="46309DEF" w14:textId="77777777" w:rsidR="00666BD4" w:rsidRPr="00902005" w:rsidRDefault="00666BD4" w:rsidP="00666BD4">
            <w:pPr>
              <w:pStyle w:val="TabNumeri"/>
            </w:pPr>
            <w:r w:rsidRPr="009C013A">
              <w:t>6,6</w:t>
            </w:r>
          </w:p>
        </w:tc>
        <w:tc>
          <w:tcPr>
            <w:tcW w:w="737" w:type="dxa"/>
            <w:tcBorders>
              <w:bottom w:val="single" w:sz="4" w:space="0" w:color="632423" w:themeColor="accent2" w:themeShade="80"/>
            </w:tcBorders>
            <w:shd w:val="clear" w:color="auto" w:fill="EAF1DD" w:themeFill="accent3" w:themeFillTint="33"/>
            <w:noWrap/>
          </w:tcPr>
          <w:p w14:paraId="5227BED4" w14:textId="77777777" w:rsidR="00666BD4" w:rsidRDefault="00666BD4" w:rsidP="00666BD4">
            <w:pPr>
              <w:pStyle w:val="TabNumeri"/>
            </w:pPr>
            <w:r w:rsidRPr="009C013A">
              <w:t>6,4</w:t>
            </w:r>
          </w:p>
        </w:tc>
        <w:tc>
          <w:tcPr>
            <w:tcW w:w="510" w:type="dxa"/>
            <w:tcBorders>
              <w:bottom w:val="single" w:sz="4" w:space="0" w:color="632423" w:themeColor="accent2" w:themeShade="80"/>
            </w:tcBorders>
            <w:shd w:val="clear" w:color="auto" w:fill="EAF1DD" w:themeFill="accent3" w:themeFillTint="33"/>
            <w:noWrap/>
          </w:tcPr>
          <w:p w14:paraId="59D09F29" w14:textId="77777777" w:rsidR="00666BD4" w:rsidRPr="000770A1" w:rsidRDefault="00666BD4" w:rsidP="00666BD4">
            <w:pPr>
              <w:pStyle w:val="TabNumeri"/>
              <w:rPr>
                <w:sz w:val="14"/>
                <w:szCs w:val="14"/>
              </w:rPr>
            </w:pPr>
          </w:p>
        </w:tc>
        <w:tc>
          <w:tcPr>
            <w:tcW w:w="2211" w:type="dxa"/>
            <w:tcBorders>
              <w:bottom w:val="single" w:sz="4" w:space="0" w:color="632423" w:themeColor="accent2" w:themeShade="80"/>
            </w:tcBorders>
            <w:shd w:val="clear" w:color="auto" w:fill="EAF1DD" w:themeFill="accent3" w:themeFillTint="33"/>
          </w:tcPr>
          <w:p w14:paraId="3376C10F" w14:textId="77777777" w:rsidR="00666BD4" w:rsidRDefault="00666BD4" w:rsidP="00666BD4">
            <w:pPr>
              <w:pStyle w:val="TabEtichette"/>
            </w:pPr>
            <w:r>
              <w:t>Debito lordo della. P.A. [4</w:t>
            </w:r>
            <w:r w:rsidRPr="00233F5C">
              <w:t>]</w:t>
            </w:r>
          </w:p>
        </w:tc>
        <w:tc>
          <w:tcPr>
            <w:tcW w:w="737" w:type="dxa"/>
            <w:tcBorders>
              <w:bottom w:val="single" w:sz="4" w:space="0" w:color="632423" w:themeColor="accent2" w:themeShade="80"/>
            </w:tcBorders>
            <w:shd w:val="clear" w:color="auto" w:fill="EAF1DD" w:themeFill="accent3" w:themeFillTint="33"/>
            <w:noWrap/>
          </w:tcPr>
          <w:p w14:paraId="6DD93C21" w14:textId="77777777" w:rsidR="00666BD4" w:rsidRPr="008D37A3" w:rsidRDefault="00666BD4" w:rsidP="00666BD4">
            <w:pPr>
              <w:pStyle w:val="TabNumeri"/>
            </w:pPr>
            <w:r w:rsidRPr="00B81BCF">
              <w:t>96,9</w:t>
            </w:r>
          </w:p>
        </w:tc>
        <w:tc>
          <w:tcPr>
            <w:tcW w:w="737" w:type="dxa"/>
            <w:tcBorders>
              <w:bottom w:val="single" w:sz="4" w:space="0" w:color="632423" w:themeColor="accent2" w:themeShade="80"/>
            </w:tcBorders>
            <w:shd w:val="clear" w:color="auto" w:fill="EAF1DD" w:themeFill="accent3" w:themeFillTint="33"/>
          </w:tcPr>
          <w:p w14:paraId="41E4BC78" w14:textId="77777777" w:rsidR="00666BD4" w:rsidRPr="008D37A3" w:rsidRDefault="00666BD4" w:rsidP="00666BD4">
            <w:pPr>
              <w:pStyle w:val="TabNumeri"/>
            </w:pPr>
            <w:r w:rsidRPr="00B81BCF">
              <w:t>98,2</w:t>
            </w:r>
          </w:p>
        </w:tc>
        <w:tc>
          <w:tcPr>
            <w:tcW w:w="737" w:type="dxa"/>
            <w:tcBorders>
              <w:bottom w:val="single" w:sz="4" w:space="0" w:color="632423" w:themeColor="accent2" w:themeShade="80"/>
            </w:tcBorders>
            <w:shd w:val="clear" w:color="auto" w:fill="EAF1DD" w:themeFill="accent3" w:themeFillTint="33"/>
            <w:noWrap/>
          </w:tcPr>
          <w:p w14:paraId="7F1F1272" w14:textId="77777777" w:rsidR="00666BD4" w:rsidRDefault="00666BD4" w:rsidP="00666BD4">
            <w:pPr>
              <w:pStyle w:val="TabNumeri"/>
            </w:pPr>
            <w:r w:rsidRPr="00B81BCF">
              <w:t>96,1</w:t>
            </w:r>
          </w:p>
        </w:tc>
      </w:tr>
      <w:tr w:rsidR="00666BD4" w:rsidRPr="00897A4F" w14:paraId="6B76D54C" w14:textId="77777777" w:rsidTr="00666BD4">
        <w:trPr>
          <w:cantSplit/>
          <w:trHeight w:val="255"/>
        </w:trPr>
        <w:tc>
          <w:tcPr>
            <w:tcW w:w="9370" w:type="dxa"/>
            <w:gridSpan w:val="10"/>
            <w:tcBorders>
              <w:top w:val="single" w:sz="4" w:space="0" w:color="632423" w:themeColor="accent2" w:themeShade="80"/>
            </w:tcBorders>
            <w:noWrap/>
          </w:tcPr>
          <w:p w14:paraId="16C3060C" w14:textId="77777777" w:rsidR="00666BD4" w:rsidRPr="00D76DB6" w:rsidRDefault="00666BD4" w:rsidP="00666BD4">
            <w:pPr>
              <w:pStyle w:val="TabNoteSuperiori"/>
            </w:pPr>
            <w:r>
              <w:t>[1] T</w:t>
            </w:r>
            <w:r w:rsidRPr="000465E3">
              <w:t>assi di variazione tendenziale</w:t>
            </w:r>
            <w:r>
              <w:t xml:space="preserve"> percentuale- [2] Dati </w:t>
            </w:r>
            <w:r w:rsidRPr="000125CF">
              <w:t>corretti per il numero di giornate</w:t>
            </w:r>
            <w:r>
              <w:t xml:space="preserve"> lavorative. [3] Compreso il commercio all’interno dell’area dell’euro. </w:t>
            </w:r>
            <w:r w:rsidRPr="00D76DB6">
              <w:t>[</w:t>
            </w:r>
            <w:r>
              <w:t>4</w:t>
            </w:r>
            <w:r w:rsidRPr="00D76DB6">
              <w:t xml:space="preserve">] </w:t>
            </w:r>
            <w:r>
              <w:t>In p</w:t>
            </w:r>
            <w:r w:rsidRPr="00D76DB6">
              <w:t xml:space="preserve">ercentuale </w:t>
            </w:r>
            <w:r>
              <w:t>de</w:t>
            </w:r>
            <w:r w:rsidRPr="00D76DB6">
              <w:t xml:space="preserve">l Pil. </w:t>
            </w:r>
            <w:r>
              <w:t xml:space="preserve">[5] Percentuale della forza lavoro. [6] </w:t>
            </w:r>
            <w:r w:rsidRPr="00D76DB6">
              <w:t xml:space="preserve">Tasso di inflazione </w:t>
            </w:r>
            <w:r w:rsidRPr="0073321F">
              <w:t>armonizzato</w:t>
            </w:r>
            <w:r w:rsidRPr="00D76DB6">
              <w:t xml:space="preserve"> Ue. </w:t>
            </w:r>
          </w:p>
          <w:p w14:paraId="52CBB1F5" w14:textId="23CFDF10" w:rsidR="00666BD4" w:rsidRPr="00897A4F" w:rsidRDefault="00666BD4" w:rsidP="00666BD4">
            <w:pPr>
              <w:pStyle w:val="TabNoteInferiori"/>
              <w:rPr>
                <w:lang w:val="en-GB"/>
              </w:rPr>
            </w:pPr>
            <w:r w:rsidRPr="00897A4F">
              <w:rPr>
                <w:lang w:val="en-GB"/>
              </w:rPr>
              <w:t xml:space="preserve">Fonte: European Central Bank, ECB </w:t>
            </w:r>
            <w:r w:rsidR="00897A4F" w:rsidRPr="00897A4F">
              <w:rPr>
                <w:lang w:val="en-GB"/>
              </w:rPr>
              <w:t xml:space="preserve">Macroeconomic projections </w:t>
            </w:r>
            <w:r w:rsidRPr="00897A4F">
              <w:rPr>
                <w:lang w:val="en-GB"/>
              </w:rPr>
              <w:t xml:space="preserve">for the euro area, 11 </w:t>
            </w:r>
            <w:proofErr w:type="spellStart"/>
            <w:r w:rsidRPr="00897A4F">
              <w:rPr>
                <w:lang w:val="en-GB"/>
              </w:rPr>
              <w:t>marzo</w:t>
            </w:r>
            <w:proofErr w:type="spellEnd"/>
            <w:r w:rsidRPr="00897A4F">
              <w:rPr>
                <w:lang w:val="en-GB"/>
              </w:rPr>
              <w:t xml:space="preserve"> 2021</w:t>
            </w:r>
          </w:p>
        </w:tc>
      </w:tr>
    </w:tbl>
    <w:tbl>
      <w:tblPr>
        <w:tblStyle w:val="Grigliatabella"/>
        <w:tblpPr w:topFromText="284" w:bottomFromText="284" w:horzAnchor="margin" w:tblpXSpec="center"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356"/>
      </w:tblGrid>
      <w:tr w:rsidR="00556356" w:rsidRPr="002B550F" w14:paraId="2767F1F5" w14:textId="77777777" w:rsidTr="0086771F">
        <w:tc>
          <w:tcPr>
            <w:tcW w:w="9356" w:type="dxa"/>
          </w:tcPr>
          <w:p w14:paraId="7E4E92F0" w14:textId="77777777" w:rsidR="00556356" w:rsidRPr="002B550F" w:rsidRDefault="00556356" w:rsidP="0086771F">
            <w:pPr>
              <w:pStyle w:val="FigTitolo"/>
            </w:pPr>
            <w:r w:rsidRPr="002B550F">
              <w:t xml:space="preserve">Tasso di variazione del </w:t>
            </w:r>
            <w:r>
              <w:t>p</w:t>
            </w:r>
            <w:r w:rsidRPr="002B550F">
              <w:t>rodotto interno lordo</w:t>
            </w:r>
            <w:r>
              <w:t xml:space="preserve">. Area dell’euro, alcuni paesi appartenenti </w:t>
            </w:r>
            <w:proofErr w:type="gramStart"/>
            <w:r>
              <w:t>e</w:t>
            </w:r>
            <w:proofErr w:type="gramEnd"/>
            <w:r>
              <w:t xml:space="preserve"> esterni all’area e all’Unione Europea.</w:t>
            </w:r>
          </w:p>
        </w:tc>
      </w:tr>
      <w:tr w:rsidR="00556356" w:rsidRPr="002B550F" w14:paraId="507A22C8" w14:textId="77777777" w:rsidTr="0086771F">
        <w:tc>
          <w:tcPr>
            <w:tcW w:w="9356" w:type="dxa"/>
          </w:tcPr>
          <w:p w14:paraId="59BA05B7" w14:textId="77777777" w:rsidR="00556356" w:rsidRPr="00674C12" w:rsidRDefault="00556356" w:rsidP="0086771F">
            <w:pPr>
              <w:pStyle w:val="Figure"/>
            </w:pPr>
            <w:r>
              <w:rPr>
                <w:noProof/>
              </w:rPr>
              <w:drawing>
                <wp:inline distT="0" distB="0" distL="0" distR="0" wp14:anchorId="53F9AF60" wp14:editId="4EC82F7B">
                  <wp:extent cx="5904000" cy="1980000"/>
                  <wp:effectExtent l="0" t="0" r="1905" b="1270"/>
                  <wp:docPr id="2"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556356" w:rsidRPr="00EE3209" w14:paraId="112BAF88" w14:textId="77777777" w:rsidTr="0086771F">
        <w:tc>
          <w:tcPr>
            <w:tcW w:w="9356" w:type="dxa"/>
          </w:tcPr>
          <w:p w14:paraId="789542AC" w14:textId="77777777" w:rsidR="00556356" w:rsidRPr="00570902" w:rsidRDefault="00556356" w:rsidP="0086771F">
            <w:pPr>
              <w:pStyle w:val="TabNoteSuperiori"/>
              <w:rPr>
                <w:lang w:val="en-GB"/>
              </w:rPr>
            </w:pPr>
            <w:r w:rsidRPr="00BC2A0C">
              <w:rPr>
                <w:lang w:val="en-GB"/>
              </w:rPr>
              <w:t>IMF, World Economic Outl</w:t>
            </w:r>
            <w:r>
              <w:rPr>
                <w:lang w:val="en-GB"/>
              </w:rPr>
              <w:t xml:space="preserve">ook, </w:t>
            </w:r>
            <w:r>
              <w:rPr>
                <w:color w:val="FF0000"/>
                <w:lang w:val="en-GB"/>
              </w:rPr>
              <w:t>6</w:t>
            </w:r>
            <w:r w:rsidRPr="000B5C69">
              <w:rPr>
                <w:color w:val="FF0000"/>
                <w:lang w:val="en-GB"/>
              </w:rPr>
              <w:t xml:space="preserve"> </w:t>
            </w:r>
            <w:proofErr w:type="spellStart"/>
            <w:r>
              <w:rPr>
                <w:color w:val="FF0000"/>
                <w:lang w:val="en-GB"/>
              </w:rPr>
              <w:t>aprile</w:t>
            </w:r>
            <w:proofErr w:type="spellEnd"/>
            <w:r>
              <w:rPr>
                <w:color w:val="FF0000"/>
                <w:lang w:val="en-GB"/>
              </w:rPr>
              <w:t xml:space="preserve"> </w:t>
            </w:r>
            <w:r w:rsidRPr="000B5C69">
              <w:rPr>
                <w:color w:val="FF0000"/>
                <w:lang w:val="en-US"/>
              </w:rPr>
              <w:t>20</w:t>
            </w:r>
            <w:r>
              <w:rPr>
                <w:color w:val="FF0000"/>
                <w:lang w:val="en-US"/>
              </w:rPr>
              <w:t>21</w:t>
            </w:r>
          </w:p>
        </w:tc>
      </w:tr>
    </w:tbl>
    <w:p w14:paraId="12552890" w14:textId="4EB08B5C" w:rsidR="00DE5BDC" w:rsidRDefault="00DE5BDC" w:rsidP="00DE5BDC">
      <w:r>
        <w:t>Le misure di contenimento e quelle di sostegno ai redditi hanno determinato una compressione dei consumi e un aumento della propensione al risparmio nel 2020, che andrà riducendosi nel corso del 2021 fino a quando saranno i consumi a trascinare la crescita nel 2022. Il recupero degli investimenti immobil</w:t>
      </w:r>
      <w:r w:rsidR="00897A4F">
        <w:t>i</w:t>
      </w:r>
      <w:r>
        <w:t>ari sarà graduale, mentre gli investimenti industriali recupereranno sostanzialmente nel 2021 e 2022, nonostante il notevole incremento del debito delle società non finanziarie. La ripresa della domanda mondiale sosterrà la crescita delle esportazioni, che trascineranno la crescita nel 2021, determinando un contributo netto positivo del commercio internazionale, che si annullerà nel 2022 con la ripresa della domanda interna.</w:t>
      </w:r>
    </w:p>
    <w:p w14:paraId="3F2ECB1C" w14:textId="65DF3285" w:rsidR="00DE5BDC" w:rsidRDefault="001405BD" w:rsidP="00DE5BDC">
      <w:r>
        <w:t>L</w:t>
      </w:r>
      <w:r w:rsidR="00DE5BDC">
        <w:t>’inflazione si è ridotta allo 0,3 per cento nel 2020, ma dovrebbe rialzarsi temporaneamente all’1,5 per cento nel 2021, sotto la spinta della ripresa, dell’aumento delle materie prime e dei beni intermedi e di fattori temporanei, per poi rientrare nel 2022. Le misure adottate a salvaguardia dell’occupazione ne hanno contenuto la riduzione nel 2020, limitando l’aumento della disoccupazione, insieme con un’uscita dal mercato del lavoro. Ciò nonostante, la diminuzione dell’o</w:t>
      </w:r>
      <w:r w:rsidR="00897A4F">
        <w:t>c</w:t>
      </w:r>
      <w:r w:rsidR="00DE5BDC">
        <w:t xml:space="preserve">cupazione e la sua ripresa a fine 2020 non hanno precedenti per rapidità e ampiezza. La fine delle misure di salvaguardia e l’avvio della ripresa porteranno </w:t>
      </w:r>
      <w:r w:rsidR="00DE5BDC">
        <w:lastRenderedPageBreak/>
        <w:t xml:space="preserve">a un’ulteriore limitata perdita di occupati e a un aumento della disoccupazione più ampio nel 2021, ma queste tendenze si invertiranno nel corso del 2022. </w:t>
      </w:r>
    </w:p>
    <w:p w14:paraId="1D9A4D4F" w14:textId="6FD9B24E" w:rsidR="00DE5BDC" w:rsidRDefault="00DE5BDC" w:rsidP="00DE5BDC">
      <w:r>
        <w:t xml:space="preserve">La politica monetaria ha </w:t>
      </w:r>
      <w:proofErr w:type="gramStart"/>
      <w:r>
        <w:t>messo in campo</w:t>
      </w:r>
      <w:proofErr w:type="gramEnd"/>
      <w:r>
        <w:t xml:space="preserve"> numerose misure e ha un</w:t>
      </w:r>
      <w:r w:rsidR="00897A4F">
        <w:t>’</w:t>
      </w:r>
      <w:r>
        <w:t>impostazione decisamente espansiva e tale dovrebbe rimanere a lungo. La Bce manterrà condizioni favorevoli alla crescita, con tassi di policy sugli attuali livelli, reinvestimento dei titoli in portafoglio in scadenza, altre aste TLTRO, acquisto di titoli pubblici per 20 miliardi di euro al mese e pieno utilizzo delle risorse del PEPP (</w:t>
      </w:r>
      <w:r w:rsidR="00897A4F">
        <w:t xml:space="preserve">Pandemic Emergency </w:t>
      </w:r>
      <w:proofErr w:type="spellStart"/>
      <w:r w:rsidR="00897A4F">
        <w:t>Purchase</w:t>
      </w:r>
      <w:proofErr w:type="spellEnd"/>
      <w:r w:rsidR="00897A4F">
        <w:t xml:space="preserve"> </w:t>
      </w:r>
      <w:proofErr w:type="spellStart"/>
      <w:r w:rsidR="00897A4F">
        <w:t>Programme</w:t>
      </w:r>
      <w:proofErr w:type="spellEnd"/>
      <w:r>
        <w:t xml:space="preserve">). Nel 2020 il credito alle famiglie e soprattutto alle imprese si è espanso a ritmi notevolmente superiori ai precedenti, anche grazie a considerevoli garanzie governative, ma si è anche registrato un irrigidimento degli standard creditizi adottati dagli istituti bancari, in termini di aumento dei requisiti collaterali e dei margini per i finanziamenti. </w:t>
      </w:r>
    </w:p>
    <w:p w14:paraId="4394A24F" w14:textId="77777777" w:rsidR="00DE5BDC" w:rsidRDefault="00DE5BDC" w:rsidP="00DE5BDC">
      <w:r>
        <w:t>La politica fiscale è stata impiegata ampiamente per mitigare gli effetti macroeconomici negativi della pandemia e lo sarà ugualmente per sostenere la ripresa nel 2021. Il disavanzo pubblico è risultato del 7,2 per cento del Pil nel 2020 e si ridurrà solo minimamente nel 2021 (-6,1 per cento), per rientrare più decisamente solo con il consolidamento della ripresa nel 2022. Il debito pubblico nell’area dell’euro dovrebbe toccare un picco del 98,2 per cento del Pil nel 2021 e declinare successivamente.</w:t>
      </w:r>
    </w:p>
    <w:p w14:paraId="05CD4C6E" w14:textId="530AAA00" w:rsidR="00C43F0D" w:rsidRDefault="00DE5BDC" w:rsidP="00DE5BDC">
      <w:r>
        <w:t xml:space="preserve">Con riferimento ai paesi principali, </w:t>
      </w:r>
      <w:r w:rsidR="001405BD">
        <w:t>s</w:t>
      </w:r>
      <w:r>
        <w:t>econdo il recente scenario del Fondo monetario internazionale, il prodotto interno lordo in Germania ridottosi del 5,4 per cento nel 2020, si riprenderà lentamente nel 2021 (+3,5 per cento). In Francia l’effetto dello shock nel 2020 è stato notevolmente più ampio (-9,0 per cento), ma anche la successiva parziale ripresa nel 2021 sarà più consistente (+5,5 per cento), ma sempre parziale. La Spagna ha subito una delle più ampie cadute del Pil nel 2020 (-11,1 per cento) e nel 2021 la ripresa non dovrebbe andare oltre il 5,9 per cento.</w:t>
      </w:r>
    </w:p>
    <w:p w14:paraId="3746B260" w14:textId="4B12E5C2" w:rsidR="00F81CE8" w:rsidRDefault="002B3250" w:rsidP="00F81CE8">
      <w:pPr>
        <w:pStyle w:val="Titolo2"/>
      </w:pPr>
      <w:r>
        <w:t xml:space="preserve">L’economia </w:t>
      </w:r>
      <w:r w:rsidR="00CE68C2">
        <w:t>nazionale</w:t>
      </w:r>
    </w:p>
    <w:tbl>
      <w:tblPr>
        <w:tblpPr w:topFromText="284" w:bottomFromText="284" w:horzAnchor="margin" w:tblpXSpec="center" w:tblpYSpec="bottom"/>
        <w:tblOverlap w:val="never"/>
        <w:tblW w:w="0" w:type="auto"/>
        <w:tblCellMar>
          <w:left w:w="0" w:type="dxa"/>
          <w:right w:w="0" w:type="dxa"/>
        </w:tblCellMar>
        <w:tblLook w:val="04A0" w:firstRow="1" w:lastRow="0" w:firstColumn="1" w:lastColumn="0" w:noHBand="0" w:noVBand="1"/>
      </w:tblPr>
      <w:tblGrid>
        <w:gridCol w:w="9356"/>
      </w:tblGrid>
      <w:tr w:rsidR="00EE3209" w14:paraId="0D2119CB" w14:textId="77777777" w:rsidTr="001539D1">
        <w:tc>
          <w:tcPr>
            <w:tcW w:w="9356" w:type="dxa"/>
          </w:tcPr>
          <w:p w14:paraId="3F8FDD14" w14:textId="77777777" w:rsidR="00EE3209" w:rsidRDefault="00EE3209" w:rsidP="001539D1">
            <w:pPr>
              <w:pStyle w:val="FigTitolo"/>
            </w:pPr>
            <w:bookmarkStart w:id="1" w:name="OLE_LINK1"/>
            <w:r>
              <w:t>Prodotto interno lordo, valori concatenati (anno di riferimento 2015), dati destagionalizzati e corretti.</w:t>
            </w:r>
            <w:r>
              <w:br/>
              <w:t>Numero indice (2015=100) e tasso di variazione sul trimestre precedente.</w:t>
            </w:r>
          </w:p>
        </w:tc>
      </w:tr>
      <w:tr w:rsidR="00EE3209" w:rsidRPr="00064064" w14:paraId="43A35936" w14:textId="77777777" w:rsidTr="001539D1">
        <w:tblPrEx>
          <w:tblCellMar>
            <w:left w:w="70" w:type="dxa"/>
            <w:right w:w="70" w:type="dxa"/>
          </w:tblCellMar>
        </w:tblPrEx>
        <w:tc>
          <w:tcPr>
            <w:tcW w:w="9356" w:type="dxa"/>
          </w:tcPr>
          <w:p w14:paraId="49E725D6" w14:textId="77777777" w:rsidR="00EE3209" w:rsidRPr="00064064" w:rsidRDefault="00EE3209" w:rsidP="001539D1">
            <w:pPr>
              <w:pStyle w:val="Figure"/>
            </w:pPr>
            <w:r w:rsidRPr="00134897">
              <w:rPr>
                <w:noProof/>
              </w:rPr>
              <w:drawing>
                <wp:inline distT="0" distB="0" distL="0" distR="0" wp14:anchorId="7F175962" wp14:editId="3DCCFBBD">
                  <wp:extent cx="5480050" cy="19875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0050" cy="1987550"/>
                          </a:xfrm>
                          <a:prstGeom prst="rect">
                            <a:avLst/>
                          </a:prstGeom>
                          <a:noFill/>
                          <a:ln>
                            <a:noFill/>
                          </a:ln>
                        </pic:spPr>
                      </pic:pic>
                    </a:graphicData>
                  </a:graphic>
                </wp:inline>
              </w:drawing>
            </w:r>
          </w:p>
        </w:tc>
      </w:tr>
      <w:tr w:rsidR="00EE3209" w14:paraId="263CA1C9" w14:textId="77777777" w:rsidTr="001539D1">
        <w:tc>
          <w:tcPr>
            <w:tcW w:w="9356" w:type="dxa"/>
          </w:tcPr>
          <w:p w14:paraId="6CA2379E" w14:textId="77777777" w:rsidR="00EE3209" w:rsidRDefault="00EE3209" w:rsidP="001539D1">
            <w:pPr>
              <w:pStyle w:val="TabNoteSuperiori"/>
            </w:pPr>
            <w:r>
              <w:t>Fonte Istat</w:t>
            </w:r>
          </w:p>
        </w:tc>
      </w:tr>
    </w:tbl>
    <w:p w14:paraId="3F8050A8" w14:textId="7151A2C3" w:rsidR="000D5FD4" w:rsidRPr="004D394B" w:rsidRDefault="000D5FD4" w:rsidP="000D5FD4">
      <w:r w:rsidRPr="004D394B">
        <w:t xml:space="preserve">L’Italia ha vissuto la più grave fase di recessione dalla fine della </w:t>
      </w:r>
      <w:r w:rsidR="00897A4F" w:rsidRPr="004D394B">
        <w:t xml:space="preserve">Seconda </w:t>
      </w:r>
      <w:r w:rsidRPr="004D394B">
        <w:t>guerra mondiale. La crisi dovuta alla pandemia ha avuto, ha e avrà effetti asimmetrici sui settori economici e notevoli effetti redistributivi e di riallocazione dei fattori. Sarà cruciale l’ampiezza degli effetti sull’occupazione e sulla sopravvivenza delle imprese al momento del graduale venire meno delle misure adottate a sostegno delle attività produttive, dell’occupazione e dei redditi, in particolare il blocco dei licenziamenti e la moratoria sui debiti delle imprese. La forza della ripresa dipenderà dal rilievo dei danni permanenti causati dalla pandemia nonostante l’effetto ammortizzatore della politica fiscale.</w:t>
      </w:r>
    </w:p>
    <w:p w14:paraId="38A317EC" w14:textId="77777777" w:rsidR="000D5FD4" w:rsidRPr="004D394B" w:rsidRDefault="000D5FD4" w:rsidP="000D5FD4">
      <w:bookmarkStart w:id="2" w:name="_Hlk36660835"/>
      <w:r w:rsidRPr="004D394B">
        <w:t xml:space="preserve">Dopo la caduta del Pil dell’8,9 per cento nel 2020, nell’ipotesi che la recessione non vada oltre il primo trimestre del 2021 e che la ripresa prenda decisamente forza dal terzo trimestre, Prometeia a marzo ha confermato la previsione di una crescita del Pil del 4,7 per cento per il 2021 e superiore al 4 per cento nel 2022. Banca d’Italia, nelle sue proiezioni di gennaio appariva più cauta e indicava una crescita del 3,5 per cento, che dovrebbe proseguire allo stesso ritmo nel 2022, con un ritorno del Pil ai livelli </w:t>
      </w:r>
      <w:proofErr w:type="spellStart"/>
      <w:proofErr w:type="gramStart"/>
      <w:r w:rsidRPr="004D394B">
        <w:t>pre</w:t>
      </w:r>
      <w:proofErr w:type="spellEnd"/>
      <w:r w:rsidRPr="004D394B">
        <w:t xml:space="preserve"> Covid</w:t>
      </w:r>
      <w:proofErr w:type="gramEnd"/>
      <w:r w:rsidRPr="004D394B">
        <w:t xml:space="preserve"> nel corso del 2023. Il Fondo monetario internazionale, nello scenario presentato a inizio aprile prospetta una ripresa del Pil italiano del 4,2 per cento per l’anno in corso, ma prevede una riduzione del ritmo di crescita nel 2022 al 3,6 per cento.</w:t>
      </w:r>
    </w:p>
    <w:bookmarkEnd w:id="2"/>
    <w:p w14:paraId="63D978DF" w14:textId="63DE0A6C" w:rsidR="000D5FD4" w:rsidRPr="004D394B" w:rsidRDefault="000D5FD4" w:rsidP="000D5FD4">
      <w:r w:rsidRPr="004D394B">
        <w:t>I consumi delle famiglie sono stati sorretti dalle misure di sostegno al reddito e dalla bassa inflazione, ma hanno risentito e continuano a risentire delle limitazioni conseguenti alla pandemia, della ma</w:t>
      </w:r>
      <w:r w:rsidR="00897A4F">
        <w:t>g</w:t>
      </w:r>
      <w:r w:rsidRPr="004D394B">
        <w:t xml:space="preserve">giore </w:t>
      </w:r>
      <w:r w:rsidRPr="004D394B">
        <w:lastRenderedPageBreak/>
        <w:t xml:space="preserve">incertezza, delle condizioni del mercato del lavoro, della riduzione del reddito disponibile e di un maggiore risparmio precauzionale. Ce se ne attende una ripresa dall’estate, accompagnata da un aumento del reddito disponibile, grazie alla campagna vaccinale. La loro dinamica è risultata peggiore di quella del Pil nel 2020, con una più ampia caduta (-10,7 per cento), e secondo Prometeia lo sarà anche nel 2021 con una più contenuta ripresa (+4,0 per cento) e solo nel 2022 si riprenderà la propensione al consumo. </w:t>
      </w:r>
    </w:p>
    <w:p w14:paraId="28FEEF6F" w14:textId="77777777" w:rsidR="000D5FD4" w:rsidRPr="004D394B" w:rsidRDefault="000D5FD4" w:rsidP="000D5FD4">
      <w:r w:rsidRPr="004D394B">
        <w:t>La caduta degli investimenti è stata ampia nel 2020 (-9,2 per cento), il crollo nella prima parte dell’anno non ha trovato compensazione nella ripresa del terzo trimestre. Già dal 2021 la ripresa dell’accumulazione di capitale dovrebbe avvenire a ritmi elevati (+12,2 per cento), sospinta dalle condizioni di accesso al credito favorevoli, dagli interventi di politica di bilancio e sostenuta dall’impulso dei fondi europei. In particolare, la componente in macchinari, attrezzature e mezzi di trasporto, che ha subito un maggiore arretramento nel 2020 (-11,3 per cento) e avrà una ripresa più lenta nel 2021 (+11,7 per cento), mentre saranno gli investimenti in costruzioni, meno colpiti dalla pandemia lo scorso anno (-6,6 per cento), a trainare l’accumulazione nel 2021 (+12,8 per cento), grazie anche ai sostegni pubblici. Il Fondo monetario internazionale non condivide questa visione e prevede per quest’anno una ripresa degli investimenti decisamente più contenuta (+5,4 per cento).</w:t>
      </w:r>
    </w:p>
    <w:tbl>
      <w:tblPr>
        <w:tblpPr w:topFromText="284" w:bottomFromText="284" w:horzAnchor="margin" w:tblpXSpec="center" w:tblpYSpec="bottom"/>
        <w:tblOverlap w:val="never"/>
        <w:tblW w:w="0" w:type="auto"/>
        <w:tblBorders>
          <w:bottom w:val="single" w:sz="4" w:space="0" w:color="auto"/>
        </w:tblBorders>
        <w:tblLayout w:type="fixed"/>
        <w:tblCellMar>
          <w:left w:w="0" w:type="dxa"/>
          <w:right w:w="0" w:type="dxa"/>
        </w:tblCellMar>
        <w:tblLook w:val="0000" w:firstRow="0" w:lastRow="0" w:firstColumn="0" w:lastColumn="0" w:noHBand="0" w:noVBand="0"/>
      </w:tblPr>
      <w:tblGrid>
        <w:gridCol w:w="2552"/>
        <w:gridCol w:w="1361"/>
        <w:gridCol w:w="340"/>
        <w:gridCol w:w="1361"/>
        <w:gridCol w:w="340"/>
        <w:gridCol w:w="1361"/>
        <w:gridCol w:w="340"/>
        <w:gridCol w:w="1361"/>
        <w:gridCol w:w="340"/>
      </w:tblGrid>
      <w:tr w:rsidR="00EE3209" w:rsidRPr="00EA6B59" w14:paraId="6123C9EA" w14:textId="77777777" w:rsidTr="001539D1">
        <w:trPr>
          <w:cantSplit/>
        </w:trPr>
        <w:tc>
          <w:tcPr>
            <w:tcW w:w="9356" w:type="dxa"/>
            <w:gridSpan w:val="9"/>
            <w:tcBorders>
              <w:bottom w:val="single" w:sz="6" w:space="0" w:color="800000"/>
            </w:tcBorders>
          </w:tcPr>
          <w:p w14:paraId="45D6EBE0" w14:textId="77777777" w:rsidR="00EE3209" w:rsidRPr="00EA6B59" w:rsidRDefault="00EE3209" w:rsidP="001539D1">
            <w:pPr>
              <w:pStyle w:val="TabTitolo"/>
            </w:pPr>
            <w:r>
              <w:t>L'economia italiana. Consuntivo e previsioni effettuate negli ultimi mesi, variazioni percentuali annue a prezzi costanti salvo diversa indicazione.</w:t>
            </w:r>
          </w:p>
        </w:tc>
      </w:tr>
      <w:tr w:rsidR="00EE3209" w:rsidRPr="00D76DB6" w14:paraId="44C52920" w14:textId="77777777" w:rsidTr="001539D1">
        <w:tblPrEx>
          <w:tblBorders>
            <w:bottom w:val="none" w:sz="0" w:space="0" w:color="auto"/>
          </w:tblBorders>
        </w:tblPrEx>
        <w:trPr>
          <w:cantSplit/>
        </w:trPr>
        <w:tc>
          <w:tcPr>
            <w:tcW w:w="2552" w:type="dxa"/>
            <w:tcBorders>
              <w:top w:val="single" w:sz="6" w:space="0" w:color="800000"/>
            </w:tcBorders>
          </w:tcPr>
          <w:p w14:paraId="3505F22C" w14:textId="77777777" w:rsidR="00EE3209" w:rsidRPr="00EA6B59" w:rsidRDefault="00EE3209" w:rsidP="001539D1">
            <w:pPr>
              <w:pStyle w:val="TabIntestaSup"/>
            </w:pPr>
          </w:p>
        </w:tc>
        <w:tc>
          <w:tcPr>
            <w:tcW w:w="1701" w:type="dxa"/>
            <w:gridSpan w:val="2"/>
            <w:tcBorders>
              <w:top w:val="single" w:sz="6" w:space="0" w:color="800000"/>
            </w:tcBorders>
            <w:vAlign w:val="bottom"/>
          </w:tcPr>
          <w:p w14:paraId="4028457F" w14:textId="77777777" w:rsidR="00EE3209" w:rsidRPr="00D76DB6" w:rsidRDefault="00EE3209" w:rsidP="001539D1">
            <w:pPr>
              <w:pStyle w:val="TabIntestaSup"/>
            </w:pPr>
            <w:r w:rsidRPr="00D76DB6">
              <w:t>Consuntivo</w:t>
            </w:r>
          </w:p>
        </w:tc>
        <w:tc>
          <w:tcPr>
            <w:tcW w:w="5103" w:type="dxa"/>
            <w:gridSpan w:val="6"/>
            <w:tcBorders>
              <w:top w:val="single" w:sz="6" w:space="0" w:color="800000"/>
            </w:tcBorders>
            <w:vAlign w:val="bottom"/>
          </w:tcPr>
          <w:p w14:paraId="63FEE5DD" w14:textId="77777777" w:rsidR="00EE3209" w:rsidRPr="00D76DB6" w:rsidRDefault="00EE3209" w:rsidP="001539D1">
            <w:pPr>
              <w:pStyle w:val="TabIntestaSupBordo"/>
            </w:pPr>
            <w:r w:rsidRPr="00D76DB6">
              <w:t xml:space="preserve">Previsioni </w:t>
            </w:r>
            <w:r w:rsidRPr="00D76DB6">
              <w:fldChar w:fldCharType="begin"/>
            </w:r>
            <w:r w:rsidRPr="00D76DB6">
              <w:instrText xml:space="preserve"> DATE  \@ "yyyy"  \* MERGEFORMAT </w:instrText>
            </w:r>
            <w:r w:rsidRPr="00D76DB6">
              <w:fldChar w:fldCharType="separate"/>
            </w:r>
            <w:r>
              <w:rPr>
                <w:noProof/>
              </w:rPr>
              <w:t>2021</w:t>
            </w:r>
            <w:r w:rsidRPr="00D76DB6">
              <w:fldChar w:fldCharType="end"/>
            </w:r>
          </w:p>
        </w:tc>
      </w:tr>
      <w:tr w:rsidR="00EE3209" w:rsidRPr="008914D7" w14:paraId="721E0C5E" w14:textId="77777777" w:rsidTr="001539D1">
        <w:tblPrEx>
          <w:tblBorders>
            <w:bottom w:val="none" w:sz="0" w:space="0" w:color="auto"/>
          </w:tblBorders>
        </w:tblPrEx>
        <w:trPr>
          <w:cantSplit/>
        </w:trPr>
        <w:tc>
          <w:tcPr>
            <w:tcW w:w="2552" w:type="dxa"/>
          </w:tcPr>
          <w:p w14:paraId="5AC7824C" w14:textId="77777777" w:rsidR="00EE3209" w:rsidRPr="00EA6B59" w:rsidRDefault="00EE3209" w:rsidP="001539D1">
            <w:pPr>
              <w:pStyle w:val="TabIntestaSup"/>
            </w:pPr>
          </w:p>
        </w:tc>
        <w:tc>
          <w:tcPr>
            <w:tcW w:w="1701" w:type="dxa"/>
            <w:gridSpan w:val="2"/>
            <w:vAlign w:val="bottom"/>
          </w:tcPr>
          <w:p w14:paraId="32DE7700" w14:textId="77777777" w:rsidR="00EE3209" w:rsidRPr="00B406CF" w:rsidRDefault="00EE3209" w:rsidP="001539D1">
            <w:pPr>
              <w:pStyle w:val="TabIntestaSup"/>
            </w:pPr>
            <w:r w:rsidRPr="00B406CF">
              <w:t>2020</w:t>
            </w:r>
          </w:p>
        </w:tc>
        <w:tc>
          <w:tcPr>
            <w:tcW w:w="1701" w:type="dxa"/>
            <w:gridSpan w:val="2"/>
            <w:vAlign w:val="bottom"/>
          </w:tcPr>
          <w:p w14:paraId="1B88093A" w14:textId="77777777" w:rsidR="00EE3209" w:rsidRPr="00D76DB6" w:rsidRDefault="00EE3209" w:rsidP="001539D1">
            <w:pPr>
              <w:pStyle w:val="TabIntestaSup"/>
            </w:pPr>
            <w:r>
              <w:t>Banca d’Italia</w:t>
            </w:r>
          </w:p>
        </w:tc>
        <w:tc>
          <w:tcPr>
            <w:tcW w:w="1701" w:type="dxa"/>
            <w:gridSpan w:val="2"/>
            <w:vAlign w:val="bottom"/>
          </w:tcPr>
          <w:p w14:paraId="4CD6C1D3" w14:textId="77777777" w:rsidR="00EE3209" w:rsidRPr="008914D7" w:rsidRDefault="00EE3209" w:rsidP="001539D1">
            <w:pPr>
              <w:pStyle w:val="TabIntestaSup"/>
            </w:pPr>
            <w:r w:rsidRPr="008914D7">
              <w:t>Prometeia</w:t>
            </w:r>
          </w:p>
        </w:tc>
        <w:tc>
          <w:tcPr>
            <w:tcW w:w="1701" w:type="dxa"/>
            <w:gridSpan w:val="2"/>
            <w:vAlign w:val="bottom"/>
          </w:tcPr>
          <w:p w14:paraId="65D687A1" w14:textId="77777777" w:rsidR="00EE3209" w:rsidRPr="008914D7" w:rsidRDefault="00EE3209" w:rsidP="001539D1">
            <w:pPr>
              <w:pStyle w:val="TabIntestaSup"/>
            </w:pPr>
            <w:r w:rsidRPr="00D76DB6">
              <w:t>Fmi</w:t>
            </w:r>
          </w:p>
        </w:tc>
      </w:tr>
      <w:tr w:rsidR="00EE3209" w:rsidRPr="008914D7" w14:paraId="1B585BF9" w14:textId="77777777" w:rsidTr="001539D1">
        <w:tblPrEx>
          <w:tblBorders>
            <w:bottom w:val="none" w:sz="0" w:space="0" w:color="auto"/>
          </w:tblBorders>
        </w:tblPrEx>
        <w:trPr>
          <w:cantSplit/>
        </w:trPr>
        <w:tc>
          <w:tcPr>
            <w:tcW w:w="2552" w:type="dxa"/>
            <w:tcBorders>
              <w:bottom w:val="single" w:sz="6" w:space="0" w:color="800000"/>
            </w:tcBorders>
          </w:tcPr>
          <w:p w14:paraId="05CD6D09" w14:textId="77777777" w:rsidR="00EE3209" w:rsidRDefault="00EE3209" w:rsidP="001539D1">
            <w:pPr>
              <w:pStyle w:val="TabIntestaInf"/>
            </w:pPr>
          </w:p>
        </w:tc>
        <w:tc>
          <w:tcPr>
            <w:tcW w:w="1701" w:type="dxa"/>
            <w:gridSpan w:val="2"/>
            <w:tcBorders>
              <w:bottom w:val="single" w:sz="6" w:space="0" w:color="800000"/>
            </w:tcBorders>
            <w:shd w:val="clear" w:color="auto" w:fill="auto"/>
            <w:vAlign w:val="bottom"/>
          </w:tcPr>
          <w:p w14:paraId="34DCA18D" w14:textId="77777777" w:rsidR="00EE3209" w:rsidRPr="00B406CF" w:rsidRDefault="00EE3209" w:rsidP="001539D1">
            <w:pPr>
              <w:pStyle w:val="TabIntestaInf"/>
            </w:pPr>
            <w:r w:rsidRPr="00B406CF">
              <w:t>Istat</w:t>
            </w:r>
          </w:p>
        </w:tc>
        <w:tc>
          <w:tcPr>
            <w:tcW w:w="1701" w:type="dxa"/>
            <w:gridSpan w:val="2"/>
            <w:tcBorders>
              <w:bottom w:val="single" w:sz="6" w:space="0" w:color="800000"/>
            </w:tcBorders>
            <w:vAlign w:val="bottom"/>
          </w:tcPr>
          <w:p w14:paraId="0F2E694E" w14:textId="77777777" w:rsidR="00EE3209" w:rsidRPr="00D76DB6" w:rsidRDefault="00EE3209" w:rsidP="001539D1">
            <w:pPr>
              <w:pStyle w:val="TabIntestaInf"/>
            </w:pPr>
            <w:r>
              <w:t>gen-21</w:t>
            </w:r>
          </w:p>
        </w:tc>
        <w:tc>
          <w:tcPr>
            <w:tcW w:w="1701" w:type="dxa"/>
            <w:gridSpan w:val="2"/>
            <w:tcBorders>
              <w:bottom w:val="single" w:sz="6" w:space="0" w:color="800000"/>
            </w:tcBorders>
            <w:vAlign w:val="bottom"/>
          </w:tcPr>
          <w:p w14:paraId="028A88F7" w14:textId="77777777" w:rsidR="00EE3209" w:rsidRPr="008914D7" w:rsidRDefault="00EE3209" w:rsidP="001539D1">
            <w:pPr>
              <w:pStyle w:val="TabIntestaInf"/>
            </w:pPr>
            <w:r>
              <w:t>mar</w:t>
            </w:r>
            <w:r w:rsidRPr="008914D7">
              <w:t>-</w:t>
            </w:r>
            <w:r>
              <w:t>21 [1]</w:t>
            </w:r>
          </w:p>
        </w:tc>
        <w:tc>
          <w:tcPr>
            <w:tcW w:w="1701" w:type="dxa"/>
            <w:gridSpan w:val="2"/>
            <w:tcBorders>
              <w:bottom w:val="single" w:sz="6" w:space="0" w:color="800000"/>
            </w:tcBorders>
            <w:vAlign w:val="bottom"/>
          </w:tcPr>
          <w:p w14:paraId="17B524FA" w14:textId="77777777" w:rsidR="00EE3209" w:rsidRPr="008914D7" w:rsidRDefault="00EE3209" w:rsidP="001539D1">
            <w:pPr>
              <w:pStyle w:val="TabIntestaInf"/>
            </w:pPr>
            <w:r>
              <w:t>apr-21</w:t>
            </w:r>
          </w:p>
        </w:tc>
      </w:tr>
      <w:tr w:rsidR="00EE3209" w:rsidRPr="00602F8E" w14:paraId="1EBD1CAC" w14:textId="77777777" w:rsidTr="001539D1">
        <w:tblPrEx>
          <w:tblBorders>
            <w:bottom w:val="none" w:sz="0" w:space="0" w:color="auto"/>
          </w:tblBorders>
        </w:tblPrEx>
        <w:trPr>
          <w:cantSplit/>
          <w:trHeight w:hRule="exact" w:val="113"/>
        </w:trPr>
        <w:tc>
          <w:tcPr>
            <w:tcW w:w="2552" w:type="dxa"/>
            <w:tcBorders>
              <w:top w:val="single" w:sz="6" w:space="0" w:color="800000"/>
            </w:tcBorders>
          </w:tcPr>
          <w:p w14:paraId="27CD1F13" w14:textId="77777777" w:rsidR="00EE3209" w:rsidRDefault="00EE3209" w:rsidP="001539D1">
            <w:pPr>
              <w:pStyle w:val="TabEtichette"/>
              <w:rPr>
                <w:rFonts w:eastAsia="Arial Unicode MS"/>
              </w:rPr>
            </w:pPr>
          </w:p>
        </w:tc>
        <w:tc>
          <w:tcPr>
            <w:tcW w:w="1361" w:type="dxa"/>
            <w:tcBorders>
              <w:top w:val="single" w:sz="6" w:space="0" w:color="800000"/>
            </w:tcBorders>
          </w:tcPr>
          <w:p w14:paraId="032DD78D" w14:textId="77777777" w:rsidR="00EE3209" w:rsidRPr="00602F8E" w:rsidRDefault="00EE3209" w:rsidP="001539D1">
            <w:pPr>
              <w:pStyle w:val="TabNumeri"/>
            </w:pPr>
          </w:p>
        </w:tc>
        <w:tc>
          <w:tcPr>
            <w:tcW w:w="340" w:type="dxa"/>
            <w:tcBorders>
              <w:top w:val="single" w:sz="6" w:space="0" w:color="800000"/>
            </w:tcBorders>
          </w:tcPr>
          <w:p w14:paraId="10B2DFD1" w14:textId="77777777" w:rsidR="00EE3209" w:rsidRPr="00602F8E" w:rsidRDefault="00EE3209" w:rsidP="001539D1">
            <w:pPr>
              <w:pStyle w:val="TabNumeri"/>
            </w:pPr>
          </w:p>
        </w:tc>
        <w:tc>
          <w:tcPr>
            <w:tcW w:w="1361" w:type="dxa"/>
            <w:tcBorders>
              <w:top w:val="single" w:sz="6" w:space="0" w:color="800000"/>
            </w:tcBorders>
          </w:tcPr>
          <w:p w14:paraId="3941131F" w14:textId="77777777" w:rsidR="00EE3209" w:rsidRPr="00602F8E" w:rsidRDefault="00EE3209" w:rsidP="001539D1">
            <w:pPr>
              <w:pStyle w:val="TabNumeri"/>
            </w:pPr>
          </w:p>
        </w:tc>
        <w:tc>
          <w:tcPr>
            <w:tcW w:w="340" w:type="dxa"/>
            <w:tcBorders>
              <w:top w:val="single" w:sz="6" w:space="0" w:color="800000"/>
            </w:tcBorders>
          </w:tcPr>
          <w:p w14:paraId="10874D9A" w14:textId="77777777" w:rsidR="00EE3209" w:rsidRPr="00602F8E" w:rsidRDefault="00EE3209" w:rsidP="001539D1">
            <w:pPr>
              <w:pStyle w:val="TabNumeri"/>
            </w:pPr>
          </w:p>
        </w:tc>
        <w:tc>
          <w:tcPr>
            <w:tcW w:w="1361" w:type="dxa"/>
            <w:tcBorders>
              <w:top w:val="single" w:sz="6" w:space="0" w:color="800000"/>
            </w:tcBorders>
          </w:tcPr>
          <w:p w14:paraId="31B8CF68" w14:textId="77777777" w:rsidR="00EE3209" w:rsidRPr="00602F8E" w:rsidRDefault="00EE3209" w:rsidP="001539D1">
            <w:pPr>
              <w:pStyle w:val="TabNumeri"/>
            </w:pPr>
          </w:p>
        </w:tc>
        <w:tc>
          <w:tcPr>
            <w:tcW w:w="340" w:type="dxa"/>
            <w:tcBorders>
              <w:top w:val="single" w:sz="6" w:space="0" w:color="800000"/>
            </w:tcBorders>
          </w:tcPr>
          <w:p w14:paraId="19F9A70B" w14:textId="77777777" w:rsidR="00EE3209" w:rsidRPr="00602F8E" w:rsidRDefault="00EE3209" w:rsidP="001539D1">
            <w:pPr>
              <w:pStyle w:val="TabNumeri"/>
            </w:pPr>
          </w:p>
        </w:tc>
        <w:tc>
          <w:tcPr>
            <w:tcW w:w="1361" w:type="dxa"/>
            <w:tcBorders>
              <w:top w:val="single" w:sz="6" w:space="0" w:color="800000"/>
            </w:tcBorders>
          </w:tcPr>
          <w:p w14:paraId="198A17CE" w14:textId="77777777" w:rsidR="00EE3209" w:rsidRPr="00602F8E" w:rsidRDefault="00EE3209" w:rsidP="001539D1">
            <w:pPr>
              <w:pStyle w:val="TabNumeri"/>
            </w:pPr>
          </w:p>
        </w:tc>
        <w:tc>
          <w:tcPr>
            <w:tcW w:w="340" w:type="dxa"/>
            <w:tcBorders>
              <w:top w:val="single" w:sz="6" w:space="0" w:color="800000"/>
            </w:tcBorders>
          </w:tcPr>
          <w:p w14:paraId="61C00643" w14:textId="77777777" w:rsidR="00EE3209" w:rsidRPr="00602F8E" w:rsidRDefault="00EE3209" w:rsidP="001539D1">
            <w:pPr>
              <w:pStyle w:val="TabNumeri"/>
            </w:pPr>
          </w:p>
        </w:tc>
      </w:tr>
      <w:tr w:rsidR="00EE3209" w:rsidRPr="00D32E0A" w14:paraId="0DD61691" w14:textId="77777777" w:rsidTr="001539D1">
        <w:tblPrEx>
          <w:tblBorders>
            <w:bottom w:val="none" w:sz="0" w:space="0" w:color="auto"/>
          </w:tblBorders>
        </w:tblPrEx>
        <w:trPr>
          <w:cantSplit/>
          <w:trHeight w:val="255"/>
        </w:trPr>
        <w:tc>
          <w:tcPr>
            <w:tcW w:w="2552" w:type="dxa"/>
          </w:tcPr>
          <w:p w14:paraId="5801AE47" w14:textId="77777777" w:rsidR="00EE3209" w:rsidRPr="00233F5C" w:rsidRDefault="00EE3209" w:rsidP="001539D1">
            <w:pPr>
              <w:pStyle w:val="TabEtichette"/>
            </w:pPr>
            <w:r w:rsidRPr="00233F5C">
              <w:t>Prodotto interno lordo</w:t>
            </w:r>
          </w:p>
        </w:tc>
        <w:tc>
          <w:tcPr>
            <w:tcW w:w="1361" w:type="dxa"/>
          </w:tcPr>
          <w:p w14:paraId="5387B1AF" w14:textId="77777777" w:rsidR="00EE3209" w:rsidRPr="007373C3" w:rsidRDefault="00EE3209" w:rsidP="001539D1">
            <w:pPr>
              <w:pStyle w:val="TabNumeri"/>
            </w:pPr>
            <w:r w:rsidRPr="000121CC">
              <w:t>-8,9</w:t>
            </w:r>
          </w:p>
        </w:tc>
        <w:tc>
          <w:tcPr>
            <w:tcW w:w="340" w:type="dxa"/>
          </w:tcPr>
          <w:p w14:paraId="17B862E3" w14:textId="77777777" w:rsidR="00EE3209" w:rsidRPr="008A2BE0" w:rsidRDefault="00EE3209" w:rsidP="001539D1">
            <w:pPr>
              <w:pStyle w:val="TabNumeri"/>
            </w:pPr>
          </w:p>
        </w:tc>
        <w:tc>
          <w:tcPr>
            <w:tcW w:w="1361" w:type="dxa"/>
          </w:tcPr>
          <w:p w14:paraId="17B66FEA" w14:textId="77777777" w:rsidR="00EE3209" w:rsidRPr="00811B57" w:rsidRDefault="00EE3209" w:rsidP="001539D1">
            <w:pPr>
              <w:pStyle w:val="TabNumeri"/>
            </w:pPr>
            <w:r w:rsidRPr="000A5A2B">
              <w:t>3,5</w:t>
            </w:r>
          </w:p>
        </w:tc>
        <w:tc>
          <w:tcPr>
            <w:tcW w:w="340" w:type="dxa"/>
          </w:tcPr>
          <w:p w14:paraId="4CF0287E" w14:textId="77777777" w:rsidR="00EE3209" w:rsidRPr="00811B57" w:rsidRDefault="00EE3209" w:rsidP="001539D1">
            <w:pPr>
              <w:pStyle w:val="TabNumeri"/>
            </w:pPr>
          </w:p>
        </w:tc>
        <w:tc>
          <w:tcPr>
            <w:tcW w:w="1361" w:type="dxa"/>
          </w:tcPr>
          <w:p w14:paraId="344E445D" w14:textId="77777777" w:rsidR="00EE3209" w:rsidRPr="00A319C0" w:rsidRDefault="00EE3209" w:rsidP="001539D1">
            <w:pPr>
              <w:pStyle w:val="TabNumeri"/>
            </w:pPr>
            <w:r w:rsidRPr="001C3BCB">
              <w:t>4,7</w:t>
            </w:r>
          </w:p>
        </w:tc>
        <w:tc>
          <w:tcPr>
            <w:tcW w:w="340" w:type="dxa"/>
          </w:tcPr>
          <w:p w14:paraId="39A16E6A" w14:textId="77777777" w:rsidR="00EE3209" w:rsidRPr="00A319C0" w:rsidRDefault="00EE3209" w:rsidP="001539D1">
            <w:pPr>
              <w:pStyle w:val="TabNumeri"/>
            </w:pPr>
          </w:p>
        </w:tc>
        <w:tc>
          <w:tcPr>
            <w:tcW w:w="1361" w:type="dxa"/>
          </w:tcPr>
          <w:p w14:paraId="0115AF0E" w14:textId="77777777" w:rsidR="00EE3209" w:rsidRPr="00D32E0A" w:rsidRDefault="00EE3209" w:rsidP="001539D1">
            <w:pPr>
              <w:pStyle w:val="TabNumeri"/>
            </w:pPr>
            <w:r w:rsidRPr="00F44C85">
              <w:t>4,2</w:t>
            </w:r>
          </w:p>
        </w:tc>
        <w:tc>
          <w:tcPr>
            <w:tcW w:w="340" w:type="dxa"/>
          </w:tcPr>
          <w:p w14:paraId="37E957B2" w14:textId="77777777" w:rsidR="00EE3209" w:rsidRPr="00D32E0A" w:rsidRDefault="00EE3209" w:rsidP="001539D1">
            <w:pPr>
              <w:pStyle w:val="TabNumeri"/>
            </w:pPr>
          </w:p>
        </w:tc>
      </w:tr>
      <w:tr w:rsidR="00EE3209" w:rsidRPr="00D32E0A" w14:paraId="7505ADBD"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692C81E1" w14:textId="77777777" w:rsidR="00EE3209" w:rsidRPr="00233F5C" w:rsidRDefault="00EE3209" w:rsidP="001539D1">
            <w:pPr>
              <w:pStyle w:val="TabEtichette"/>
            </w:pPr>
            <w:r w:rsidRPr="00233F5C">
              <w:t>Importazioni</w:t>
            </w:r>
          </w:p>
        </w:tc>
        <w:tc>
          <w:tcPr>
            <w:tcW w:w="1361" w:type="dxa"/>
            <w:shd w:val="clear" w:color="auto" w:fill="EAF1DD" w:themeFill="accent3" w:themeFillTint="33"/>
          </w:tcPr>
          <w:p w14:paraId="6B7F8055" w14:textId="77777777" w:rsidR="00EE3209" w:rsidRPr="00083085" w:rsidRDefault="00EE3209" w:rsidP="001539D1">
            <w:pPr>
              <w:pStyle w:val="TabNumeri"/>
            </w:pPr>
            <w:r w:rsidRPr="000121CC">
              <w:t>-13,1</w:t>
            </w:r>
          </w:p>
        </w:tc>
        <w:tc>
          <w:tcPr>
            <w:tcW w:w="340" w:type="dxa"/>
            <w:shd w:val="clear" w:color="auto" w:fill="EAF1DD" w:themeFill="accent3" w:themeFillTint="33"/>
          </w:tcPr>
          <w:p w14:paraId="156B36CA" w14:textId="77777777" w:rsidR="00EE3209" w:rsidRPr="008A2BE0" w:rsidRDefault="00EE3209" w:rsidP="001539D1">
            <w:pPr>
              <w:pStyle w:val="TabNumeri"/>
            </w:pPr>
          </w:p>
        </w:tc>
        <w:tc>
          <w:tcPr>
            <w:tcW w:w="1361" w:type="dxa"/>
            <w:shd w:val="clear" w:color="auto" w:fill="EAF1DD" w:themeFill="accent3" w:themeFillTint="33"/>
          </w:tcPr>
          <w:p w14:paraId="4D21AB3D" w14:textId="77777777" w:rsidR="00EE3209" w:rsidRPr="00811B57" w:rsidRDefault="00EE3209" w:rsidP="001539D1">
            <w:pPr>
              <w:pStyle w:val="TabNumeri"/>
            </w:pPr>
            <w:r w:rsidRPr="000A5A2B">
              <w:t>9,0</w:t>
            </w:r>
          </w:p>
        </w:tc>
        <w:tc>
          <w:tcPr>
            <w:tcW w:w="340" w:type="dxa"/>
            <w:shd w:val="clear" w:color="auto" w:fill="EAF1DD" w:themeFill="accent3" w:themeFillTint="33"/>
          </w:tcPr>
          <w:p w14:paraId="1FB3246B" w14:textId="77777777" w:rsidR="00EE3209" w:rsidRPr="00811B57" w:rsidRDefault="00EE3209" w:rsidP="001539D1">
            <w:pPr>
              <w:pStyle w:val="TabNumeri"/>
            </w:pPr>
          </w:p>
        </w:tc>
        <w:tc>
          <w:tcPr>
            <w:tcW w:w="1361" w:type="dxa"/>
            <w:shd w:val="clear" w:color="auto" w:fill="EAF1DD" w:themeFill="accent3" w:themeFillTint="33"/>
          </w:tcPr>
          <w:p w14:paraId="3688EDDF" w14:textId="77777777" w:rsidR="00EE3209" w:rsidRPr="00A319C0" w:rsidRDefault="00EE3209" w:rsidP="001539D1">
            <w:pPr>
              <w:pStyle w:val="TabNumeri"/>
            </w:pPr>
            <w:r w:rsidRPr="001C3BCB">
              <w:t>13,1</w:t>
            </w:r>
          </w:p>
        </w:tc>
        <w:tc>
          <w:tcPr>
            <w:tcW w:w="340" w:type="dxa"/>
            <w:shd w:val="clear" w:color="auto" w:fill="EAF1DD" w:themeFill="accent3" w:themeFillTint="33"/>
          </w:tcPr>
          <w:p w14:paraId="3E1A450D" w14:textId="77777777" w:rsidR="00EE3209" w:rsidRPr="00A319C0" w:rsidRDefault="00EE3209" w:rsidP="001539D1">
            <w:pPr>
              <w:pStyle w:val="TabNumeri"/>
            </w:pPr>
          </w:p>
        </w:tc>
        <w:tc>
          <w:tcPr>
            <w:tcW w:w="1361" w:type="dxa"/>
            <w:shd w:val="clear" w:color="auto" w:fill="EAF1DD" w:themeFill="accent3" w:themeFillTint="33"/>
          </w:tcPr>
          <w:p w14:paraId="10D7D0AD" w14:textId="77777777" w:rsidR="00EE3209" w:rsidRPr="00D32E0A" w:rsidRDefault="00EE3209" w:rsidP="001539D1">
            <w:pPr>
              <w:pStyle w:val="TabNumeri"/>
            </w:pPr>
            <w:r w:rsidRPr="00F44C85">
              <w:t>9,0</w:t>
            </w:r>
          </w:p>
        </w:tc>
        <w:tc>
          <w:tcPr>
            <w:tcW w:w="340" w:type="dxa"/>
            <w:shd w:val="clear" w:color="auto" w:fill="EAF1DD" w:themeFill="accent3" w:themeFillTint="33"/>
          </w:tcPr>
          <w:p w14:paraId="426D453B" w14:textId="77777777" w:rsidR="00EE3209" w:rsidRPr="00D32E0A" w:rsidRDefault="00EE3209" w:rsidP="001539D1">
            <w:pPr>
              <w:pStyle w:val="TabNumeri"/>
            </w:pPr>
          </w:p>
        </w:tc>
      </w:tr>
      <w:tr w:rsidR="00EE3209" w:rsidRPr="00D32E0A" w14:paraId="1DDF5A9A" w14:textId="77777777" w:rsidTr="001539D1">
        <w:tblPrEx>
          <w:tblBorders>
            <w:bottom w:val="none" w:sz="0" w:space="0" w:color="auto"/>
          </w:tblBorders>
        </w:tblPrEx>
        <w:trPr>
          <w:cantSplit/>
          <w:trHeight w:val="255"/>
        </w:trPr>
        <w:tc>
          <w:tcPr>
            <w:tcW w:w="2552" w:type="dxa"/>
          </w:tcPr>
          <w:p w14:paraId="75E72C89" w14:textId="77777777" w:rsidR="00EE3209" w:rsidRPr="00233F5C" w:rsidRDefault="00EE3209" w:rsidP="001539D1">
            <w:pPr>
              <w:pStyle w:val="TabEtichette"/>
            </w:pPr>
            <w:r w:rsidRPr="00233F5C">
              <w:t>Esportazioni</w:t>
            </w:r>
          </w:p>
        </w:tc>
        <w:tc>
          <w:tcPr>
            <w:tcW w:w="1361" w:type="dxa"/>
          </w:tcPr>
          <w:p w14:paraId="40A46DCB" w14:textId="77777777" w:rsidR="00EE3209" w:rsidRPr="00083085" w:rsidRDefault="00EE3209" w:rsidP="001539D1">
            <w:pPr>
              <w:pStyle w:val="TabNumeri"/>
            </w:pPr>
            <w:r w:rsidRPr="000121CC">
              <w:t>-14,5</w:t>
            </w:r>
          </w:p>
        </w:tc>
        <w:tc>
          <w:tcPr>
            <w:tcW w:w="340" w:type="dxa"/>
          </w:tcPr>
          <w:p w14:paraId="7F14DF7B" w14:textId="77777777" w:rsidR="00EE3209" w:rsidRPr="008A2BE0" w:rsidRDefault="00EE3209" w:rsidP="001539D1">
            <w:pPr>
              <w:pStyle w:val="TabNumeri"/>
            </w:pPr>
          </w:p>
        </w:tc>
        <w:tc>
          <w:tcPr>
            <w:tcW w:w="1361" w:type="dxa"/>
          </w:tcPr>
          <w:p w14:paraId="5ECE709C" w14:textId="77777777" w:rsidR="00EE3209" w:rsidRPr="00811B57" w:rsidRDefault="00EE3209" w:rsidP="001539D1">
            <w:pPr>
              <w:pStyle w:val="TabNumeri"/>
            </w:pPr>
            <w:r w:rsidRPr="000A5A2B">
              <w:t>9,8</w:t>
            </w:r>
          </w:p>
        </w:tc>
        <w:tc>
          <w:tcPr>
            <w:tcW w:w="340" w:type="dxa"/>
          </w:tcPr>
          <w:p w14:paraId="30C3057D" w14:textId="77777777" w:rsidR="00EE3209" w:rsidRPr="00811B57" w:rsidRDefault="00EE3209" w:rsidP="001539D1">
            <w:pPr>
              <w:pStyle w:val="TabNumeri"/>
            </w:pPr>
          </w:p>
        </w:tc>
        <w:tc>
          <w:tcPr>
            <w:tcW w:w="1361" w:type="dxa"/>
          </w:tcPr>
          <w:p w14:paraId="44B646B4" w14:textId="77777777" w:rsidR="00EE3209" w:rsidRPr="00A319C0" w:rsidRDefault="00EE3209" w:rsidP="001539D1">
            <w:pPr>
              <w:pStyle w:val="TabNumeri"/>
            </w:pPr>
            <w:r w:rsidRPr="001C3BCB">
              <w:t>10,5</w:t>
            </w:r>
          </w:p>
        </w:tc>
        <w:tc>
          <w:tcPr>
            <w:tcW w:w="340" w:type="dxa"/>
          </w:tcPr>
          <w:p w14:paraId="1FC34D5F" w14:textId="77777777" w:rsidR="00EE3209" w:rsidRPr="00A319C0" w:rsidRDefault="00EE3209" w:rsidP="001539D1">
            <w:pPr>
              <w:pStyle w:val="TabNumeri"/>
            </w:pPr>
          </w:p>
        </w:tc>
        <w:tc>
          <w:tcPr>
            <w:tcW w:w="1361" w:type="dxa"/>
          </w:tcPr>
          <w:p w14:paraId="227BF128" w14:textId="77777777" w:rsidR="00EE3209" w:rsidRPr="00D32E0A" w:rsidRDefault="00EE3209" w:rsidP="001539D1">
            <w:pPr>
              <w:pStyle w:val="TabNumeri"/>
            </w:pPr>
            <w:r w:rsidRPr="00F44C85">
              <w:t>9,6</w:t>
            </w:r>
          </w:p>
        </w:tc>
        <w:tc>
          <w:tcPr>
            <w:tcW w:w="340" w:type="dxa"/>
          </w:tcPr>
          <w:p w14:paraId="07DF557D" w14:textId="77777777" w:rsidR="00EE3209" w:rsidRPr="00D32E0A" w:rsidRDefault="00EE3209" w:rsidP="001539D1">
            <w:pPr>
              <w:pStyle w:val="TabNumeri"/>
            </w:pPr>
          </w:p>
        </w:tc>
      </w:tr>
      <w:tr w:rsidR="00EE3209" w:rsidRPr="00D32E0A" w14:paraId="2F8BFF91"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1CA396A5" w14:textId="77777777" w:rsidR="00EE3209" w:rsidRPr="00233F5C" w:rsidRDefault="00EE3209" w:rsidP="001539D1">
            <w:pPr>
              <w:pStyle w:val="TabEtichette"/>
            </w:pPr>
            <w:r w:rsidRPr="00233F5C">
              <w:t>Domanda interna</w:t>
            </w:r>
          </w:p>
        </w:tc>
        <w:tc>
          <w:tcPr>
            <w:tcW w:w="1361" w:type="dxa"/>
            <w:shd w:val="clear" w:color="auto" w:fill="EAF1DD" w:themeFill="accent3" w:themeFillTint="33"/>
          </w:tcPr>
          <w:p w14:paraId="4AD70378" w14:textId="77777777" w:rsidR="00EE3209" w:rsidRPr="00083085" w:rsidRDefault="00EE3209" w:rsidP="001539D1">
            <w:pPr>
              <w:pStyle w:val="TabNumeri"/>
            </w:pPr>
            <w:r w:rsidRPr="000121CC">
              <w:t>-8,4</w:t>
            </w:r>
          </w:p>
        </w:tc>
        <w:tc>
          <w:tcPr>
            <w:tcW w:w="340" w:type="dxa"/>
            <w:shd w:val="clear" w:color="auto" w:fill="EAF1DD" w:themeFill="accent3" w:themeFillTint="33"/>
          </w:tcPr>
          <w:p w14:paraId="35ACF008" w14:textId="77777777" w:rsidR="00EE3209" w:rsidRPr="008A2BE0" w:rsidRDefault="00EE3209" w:rsidP="001539D1">
            <w:pPr>
              <w:pStyle w:val="TabNumeri"/>
            </w:pPr>
          </w:p>
        </w:tc>
        <w:tc>
          <w:tcPr>
            <w:tcW w:w="1361" w:type="dxa"/>
            <w:shd w:val="clear" w:color="auto" w:fill="EAF1DD" w:themeFill="accent3" w:themeFillTint="33"/>
          </w:tcPr>
          <w:p w14:paraId="468129CA" w14:textId="77777777" w:rsidR="00EE3209" w:rsidRPr="00811B57" w:rsidRDefault="00EE3209" w:rsidP="001539D1">
            <w:pPr>
              <w:pStyle w:val="TabNumeri"/>
            </w:pPr>
            <w:proofErr w:type="spellStart"/>
            <w:r>
              <w:t>n.d.</w:t>
            </w:r>
            <w:proofErr w:type="spellEnd"/>
          </w:p>
        </w:tc>
        <w:tc>
          <w:tcPr>
            <w:tcW w:w="340" w:type="dxa"/>
            <w:shd w:val="clear" w:color="auto" w:fill="EAF1DD" w:themeFill="accent3" w:themeFillTint="33"/>
          </w:tcPr>
          <w:p w14:paraId="642CFDC7" w14:textId="77777777" w:rsidR="00EE3209" w:rsidRPr="00811B57" w:rsidRDefault="00EE3209" w:rsidP="001539D1">
            <w:pPr>
              <w:pStyle w:val="TabNumeri"/>
            </w:pPr>
          </w:p>
        </w:tc>
        <w:tc>
          <w:tcPr>
            <w:tcW w:w="1361" w:type="dxa"/>
            <w:shd w:val="clear" w:color="auto" w:fill="EAF1DD" w:themeFill="accent3" w:themeFillTint="33"/>
          </w:tcPr>
          <w:p w14:paraId="2D109B81" w14:textId="77777777" w:rsidR="00EE3209" w:rsidRPr="00A319C0" w:rsidRDefault="00EE3209" w:rsidP="001539D1">
            <w:pPr>
              <w:pStyle w:val="TabNumeri"/>
            </w:pPr>
            <w:r w:rsidRPr="001C3BCB">
              <w:t>5,3</w:t>
            </w:r>
          </w:p>
        </w:tc>
        <w:tc>
          <w:tcPr>
            <w:tcW w:w="340" w:type="dxa"/>
            <w:shd w:val="clear" w:color="auto" w:fill="EAF1DD" w:themeFill="accent3" w:themeFillTint="33"/>
          </w:tcPr>
          <w:p w14:paraId="712A6007" w14:textId="77777777" w:rsidR="00EE3209" w:rsidRPr="00A319C0" w:rsidRDefault="00EE3209" w:rsidP="001539D1">
            <w:pPr>
              <w:pStyle w:val="TabNumeri"/>
            </w:pPr>
          </w:p>
        </w:tc>
        <w:tc>
          <w:tcPr>
            <w:tcW w:w="1361" w:type="dxa"/>
            <w:shd w:val="clear" w:color="auto" w:fill="EAF1DD" w:themeFill="accent3" w:themeFillTint="33"/>
          </w:tcPr>
          <w:p w14:paraId="01B2E748" w14:textId="77777777" w:rsidR="00EE3209" w:rsidRPr="00D32E0A" w:rsidRDefault="00EE3209" w:rsidP="001539D1">
            <w:pPr>
              <w:pStyle w:val="TabNumeri"/>
            </w:pPr>
            <w:r w:rsidRPr="00F44C85">
              <w:t>3,8</w:t>
            </w:r>
          </w:p>
        </w:tc>
        <w:tc>
          <w:tcPr>
            <w:tcW w:w="340" w:type="dxa"/>
            <w:shd w:val="clear" w:color="auto" w:fill="EAF1DD" w:themeFill="accent3" w:themeFillTint="33"/>
          </w:tcPr>
          <w:p w14:paraId="475F56A6" w14:textId="77777777" w:rsidR="00EE3209" w:rsidRPr="00D32E0A" w:rsidRDefault="00EE3209" w:rsidP="001539D1">
            <w:pPr>
              <w:pStyle w:val="TabNumeri"/>
            </w:pPr>
          </w:p>
        </w:tc>
      </w:tr>
      <w:tr w:rsidR="00EE3209" w:rsidRPr="00D32E0A" w14:paraId="2C00D293" w14:textId="77777777" w:rsidTr="001539D1">
        <w:tblPrEx>
          <w:tblBorders>
            <w:bottom w:val="none" w:sz="0" w:space="0" w:color="auto"/>
          </w:tblBorders>
        </w:tblPrEx>
        <w:trPr>
          <w:cantSplit/>
          <w:trHeight w:val="255"/>
        </w:trPr>
        <w:tc>
          <w:tcPr>
            <w:tcW w:w="2552" w:type="dxa"/>
          </w:tcPr>
          <w:p w14:paraId="28D81F51" w14:textId="77777777" w:rsidR="00EE3209" w:rsidRPr="00233F5C" w:rsidRDefault="00EE3209" w:rsidP="001539D1">
            <w:pPr>
              <w:pStyle w:val="TabEtichette"/>
            </w:pPr>
            <w:r w:rsidRPr="00233F5C">
              <w:t xml:space="preserve">Consumi </w:t>
            </w:r>
            <w:r>
              <w:t xml:space="preserve">delle </w:t>
            </w:r>
            <w:r w:rsidRPr="00233F5C">
              <w:t>famiglie</w:t>
            </w:r>
          </w:p>
        </w:tc>
        <w:tc>
          <w:tcPr>
            <w:tcW w:w="1361" w:type="dxa"/>
          </w:tcPr>
          <w:p w14:paraId="06361E67" w14:textId="77777777" w:rsidR="00EE3209" w:rsidRPr="00083085" w:rsidRDefault="00EE3209" w:rsidP="001539D1">
            <w:pPr>
              <w:pStyle w:val="TabNumeri"/>
            </w:pPr>
            <w:r w:rsidRPr="000121CC">
              <w:t>-10,7</w:t>
            </w:r>
          </w:p>
        </w:tc>
        <w:tc>
          <w:tcPr>
            <w:tcW w:w="340" w:type="dxa"/>
          </w:tcPr>
          <w:p w14:paraId="6538FCD4" w14:textId="77777777" w:rsidR="00EE3209" w:rsidRPr="008A2BE0" w:rsidRDefault="00EE3209" w:rsidP="001539D1">
            <w:pPr>
              <w:pStyle w:val="TabNumeri"/>
            </w:pPr>
          </w:p>
        </w:tc>
        <w:tc>
          <w:tcPr>
            <w:tcW w:w="1361" w:type="dxa"/>
          </w:tcPr>
          <w:p w14:paraId="56483FAF" w14:textId="77777777" w:rsidR="00EE3209" w:rsidRPr="00811B57" w:rsidRDefault="00EE3209" w:rsidP="001539D1">
            <w:pPr>
              <w:pStyle w:val="TabNumeri"/>
            </w:pPr>
            <w:r w:rsidRPr="000A5A2B">
              <w:t>3,2</w:t>
            </w:r>
          </w:p>
        </w:tc>
        <w:tc>
          <w:tcPr>
            <w:tcW w:w="340" w:type="dxa"/>
          </w:tcPr>
          <w:p w14:paraId="2CC00148" w14:textId="77777777" w:rsidR="00EE3209" w:rsidRPr="00811B57" w:rsidRDefault="00EE3209" w:rsidP="001539D1">
            <w:pPr>
              <w:pStyle w:val="TabNumeri"/>
            </w:pPr>
          </w:p>
        </w:tc>
        <w:tc>
          <w:tcPr>
            <w:tcW w:w="1361" w:type="dxa"/>
          </w:tcPr>
          <w:p w14:paraId="5CFDDF6D" w14:textId="77777777" w:rsidR="00EE3209" w:rsidRPr="00A319C0" w:rsidRDefault="00EE3209" w:rsidP="001539D1">
            <w:pPr>
              <w:pStyle w:val="TabNumeri"/>
            </w:pPr>
            <w:r w:rsidRPr="001C3BCB">
              <w:t>4,0</w:t>
            </w:r>
          </w:p>
        </w:tc>
        <w:tc>
          <w:tcPr>
            <w:tcW w:w="340" w:type="dxa"/>
          </w:tcPr>
          <w:p w14:paraId="12714240" w14:textId="77777777" w:rsidR="00EE3209" w:rsidRPr="00A319C0" w:rsidRDefault="00EE3209" w:rsidP="001539D1">
            <w:pPr>
              <w:pStyle w:val="TabNumeri"/>
            </w:pPr>
          </w:p>
        </w:tc>
        <w:tc>
          <w:tcPr>
            <w:tcW w:w="1361" w:type="dxa"/>
          </w:tcPr>
          <w:p w14:paraId="1E074913" w14:textId="77777777" w:rsidR="00EE3209" w:rsidRPr="00D32E0A" w:rsidRDefault="00EE3209" w:rsidP="001539D1">
            <w:pPr>
              <w:pStyle w:val="TabNumeri"/>
            </w:pPr>
            <w:r w:rsidRPr="00F44C85">
              <w:t>4,5</w:t>
            </w:r>
          </w:p>
        </w:tc>
        <w:tc>
          <w:tcPr>
            <w:tcW w:w="340" w:type="dxa"/>
          </w:tcPr>
          <w:p w14:paraId="188B1DBE" w14:textId="77777777" w:rsidR="00EE3209" w:rsidRPr="00D32E0A" w:rsidRDefault="00EE3209" w:rsidP="001539D1">
            <w:pPr>
              <w:pStyle w:val="TabNumeri"/>
            </w:pPr>
          </w:p>
        </w:tc>
      </w:tr>
      <w:tr w:rsidR="00EE3209" w:rsidRPr="00D32E0A" w14:paraId="430922B8"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369B0EFF" w14:textId="77777777" w:rsidR="00EE3209" w:rsidRPr="00233F5C" w:rsidRDefault="00EE3209" w:rsidP="001539D1">
            <w:pPr>
              <w:pStyle w:val="TabEtichette"/>
            </w:pPr>
            <w:r w:rsidRPr="00233F5C">
              <w:t>Consumi collettivi</w:t>
            </w:r>
          </w:p>
        </w:tc>
        <w:tc>
          <w:tcPr>
            <w:tcW w:w="1361" w:type="dxa"/>
            <w:shd w:val="clear" w:color="auto" w:fill="EAF1DD" w:themeFill="accent3" w:themeFillTint="33"/>
          </w:tcPr>
          <w:p w14:paraId="759B0BF3" w14:textId="77777777" w:rsidR="00EE3209" w:rsidRPr="00083085" w:rsidRDefault="00EE3209" w:rsidP="001539D1">
            <w:pPr>
              <w:pStyle w:val="TabNumeri"/>
            </w:pPr>
            <w:r w:rsidRPr="000121CC">
              <w:t>1,6</w:t>
            </w:r>
          </w:p>
        </w:tc>
        <w:tc>
          <w:tcPr>
            <w:tcW w:w="340" w:type="dxa"/>
            <w:shd w:val="clear" w:color="auto" w:fill="EAF1DD" w:themeFill="accent3" w:themeFillTint="33"/>
          </w:tcPr>
          <w:p w14:paraId="582655C6" w14:textId="77777777" w:rsidR="00EE3209" w:rsidRPr="008A2BE0" w:rsidRDefault="00EE3209" w:rsidP="001539D1">
            <w:pPr>
              <w:pStyle w:val="TabNumeri"/>
            </w:pPr>
          </w:p>
        </w:tc>
        <w:tc>
          <w:tcPr>
            <w:tcW w:w="1361" w:type="dxa"/>
            <w:shd w:val="clear" w:color="auto" w:fill="EAF1DD" w:themeFill="accent3" w:themeFillTint="33"/>
          </w:tcPr>
          <w:p w14:paraId="51B5675E" w14:textId="77777777" w:rsidR="00EE3209" w:rsidRPr="00811B57" w:rsidRDefault="00EE3209" w:rsidP="001539D1">
            <w:pPr>
              <w:pStyle w:val="TabNumeri"/>
            </w:pPr>
            <w:r w:rsidRPr="000A5A2B">
              <w:t>-0,9</w:t>
            </w:r>
          </w:p>
        </w:tc>
        <w:tc>
          <w:tcPr>
            <w:tcW w:w="340" w:type="dxa"/>
            <w:shd w:val="clear" w:color="auto" w:fill="EAF1DD" w:themeFill="accent3" w:themeFillTint="33"/>
          </w:tcPr>
          <w:p w14:paraId="374B6434" w14:textId="77777777" w:rsidR="00EE3209" w:rsidRPr="00811B57" w:rsidRDefault="00EE3209" w:rsidP="001539D1">
            <w:pPr>
              <w:pStyle w:val="TabNumeri"/>
            </w:pPr>
          </w:p>
        </w:tc>
        <w:tc>
          <w:tcPr>
            <w:tcW w:w="1361" w:type="dxa"/>
            <w:shd w:val="clear" w:color="auto" w:fill="EAF1DD" w:themeFill="accent3" w:themeFillTint="33"/>
          </w:tcPr>
          <w:p w14:paraId="624FFDAC" w14:textId="77777777" w:rsidR="00EE3209" w:rsidRPr="00A319C0" w:rsidRDefault="00EE3209" w:rsidP="001539D1">
            <w:pPr>
              <w:pStyle w:val="TabNumeri"/>
            </w:pPr>
            <w:r w:rsidRPr="001C3BCB">
              <w:t>3,8</w:t>
            </w:r>
          </w:p>
        </w:tc>
        <w:tc>
          <w:tcPr>
            <w:tcW w:w="340" w:type="dxa"/>
            <w:shd w:val="clear" w:color="auto" w:fill="EAF1DD" w:themeFill="accent3" w:themeFillTint="33"/>
          </w:tcPr>
          <w:p w14:paraId="31C3A712" w14:textId="77777777" w:rsidR="00EE3209" w:rsidRPr="00A319C0" w:rsidRDefault="00EE3209" w:rsidP="001539D1">
            <w:pPr>
              <w:pStyle w:val="TabNumeri"/>
            </w:pPr>
          </w:p>
        </w:tc>
        <w:tc>
          <w:tcPr>
            <w:tcW w:w="1361" w:type="dxa"/>
            <w:shd w:val="clear" w:color="auto" w:fill="EAF1DD" w:themeFill="accent3" w:themeFillTint="33"/>
          </w:tcPr>
          <w:p w14:paraId="39ED337C" w14:textId="77777777" w:rsidR="00EE3209" w:rsidRPr="00D32E0A" w:rsidRDefault="00EE3209" w:rsidP="001539D1">
            <w:pPr>
              <w:pStyle w:val="TabNumeri"/>
            </w:pPr>
            <w:r w:rsidRPr="00F44C85">
              <w:t>2,0</w:t>
            </w:r>
          </w:p>
        </w:tc>
        <w:tc>
          <w:tcPr>
            <w:tcW w:w="340" w:type="dxa"/>
            <w:shd w:val="clear" w:color="auto" w:fill="EAF1DD" w:themeFill="accent3" w:themeFillTint="33"/>
          </w:tcPr>
          <w:p w14:paraId="5BDCDCA2" w14:textId="77777777" w:rsidR="00EE3209" w:rsidRPr="00D32E0A" w:rsidRDefault="00EE3209" w:rsidP="001539D1">
            <w:pPr>
              <w:pStyle w:val="TabNumeri"/>
            </w:pPr>
          </w:p>
        </w:tc>
      </w:tr>
      <w:tr w:rsidR="00EE3209" w:rsidRPr="00CC1FAE" w14:paraId="0775BA3E" w14:textId="77777777" w:rsidTr="001539D1">
        <w:tblPrEx>
          <w:tblBorders>
            <w:bottom w:val="none" w:sz="0" w:space="0" w:color="auto"/>
          </w:tblBorders>
        </w:tblPrEx>
        <w:trPr>
          <w:cantSplit/>
          <w:trHeight w:val="255"/>
        </w:trPr>
        <w:tc>
          <w:tcPr>
            <w:tcW w:w="2552" w:type="dxa"/>
          </w:tcPr>
          <w:p w14:paraId="5085CDF3" w14:textId="77777777" w:rsidR="00EE3209" w:rsidRPr="00233F5C" w:rsidRDefault="00EE3209" w:rsidP="001539D1">
            <w:pPr>
              <w:pStyle w:val="TabEtichette"/>
            </w:pPr>
            <w:r w:rsidRPr="00233F5C">
              <w:t>Investimenti fissi lordi</w:t>
            </w:r>
          </w:p>
        </w:tc>
        <w:tc>
          <w:tcPr>
            <w:tcW w:w="1361" w:type="dxa"/>
          </w:tcPr>
          <w:p w14:paraId="383ACCB4" w14:textId="77777777" w:rsidR="00EE3209" w:rsidRPr="00083085" w:rsidRDefault="00EE3209" w:rsidP="001539D1">
            <w:pPr>
              <w:pStyle w:val="TabNumeri"/>
            </w:pPr>
            <w:r w:rsidRPr="000121CC">
              <w:t>-9,2</w:t>
            </w:r>
          </w:p>
        </w:tc>
        <w:tc>
          <w:tcPr>
            <w:tcW w:w="340" w:type="dxa"/>
          </w:tcPr>
          <w:p w14:paraId="42CBDEAC" w14:textId="77777777" w:rsidR="00EE3209" w:rsidRPr="008A2BE0" w:rsidRDefault="00EE3209" w:rsidP="001539D1">
            <w:pPr>
              <w:pStyle w:val="TabNumeri"/>
            </w:pPr>
          </w:p>
        </w:tc>
        <w:tc>
          <w:tcPr>
            <w:tcW w:w="1361" w:type="dxa"/>
          </w:tcPr>
          <w:p w14:paraId="222A38B0" w14:textId="77777777" w:rsidR="00EE3209" w:rsidRPr="00811B57" w:rsidRDefault="00EE3209" w:rsidP="001539D1">
            <w:pPr>
              <w:pStyle w:val="TabNumeri"/>
            </w:pPr>
            <w:r w:rsidRPr="000A5A2B">
              <w:t>10,1</w:t>
            </w:r>
          </w:p>
        </w:tc>
        <w:tc>
          <w:tcPr>
            <w:tcW w:w="340" w:type="dxa"/>
          </w:tcPr>
          <w:p w14:paraId="48CD875C" w14:textId="77777777" w:rsidR="00EE3209" w:rsidRPr="00811B57" w:rsidRDefault="00EE3209" w:rsidP="001539D1">
            <w:pPr>
              <w:pStyle w:val="TabNumeri"/>
            </w:pPr>
          </w:p>
        </w:tc>
        <w:tc>
          <w:tcPr>
            <w:tcW w:w="1361" w:type="dxa"/>
          </w:tcPr>
          <w:p w14:paraId="0FCEC2F2" w14:textId="77777777" w:rsidR="00EE3209" w:rsidRPr="00A319C0" w:rsidRDefault="00EE3209" w:rsidP="001539D1">
            <w:pPr>
              <w:pStyle w:val="TabNumeri"/>
            </w:pPr>
            <w:r w:rsidRPr="001C3BCB">
              <w:t>12,2</w:t>
            </w:r>
          </w:p>
        </w:tc>
        <w:tc>
          <w:tcPr>
            <w:tcW w:w="340" w:type="dxa"/>
          </w:tcPr>
          <w:p w14:paraId="0A196E52" w14:textId="77777777" w:rsidR="00EE3209" w:rsidRPr="00A319C0" w:rsidRDefault="00EE3209" w:rsidP="001539D1">
            <w:pPr>
              <w:pStyle w:val="TabNumeri"/>
            </w:pPr>
          </w:p>
        </w:tc>
        <w:tc>
          <w:tcPr>
            <w:tcW w:w="1361" w:type="dxa"/>
          </w:tcPr>
          <w:p w14:paraId="0CAA004E" w14:textId="77777777" w:rsidR="00EE3209" w:rsidRPr="00D32E0A" w:rsidRDefault="00EE3209" w:rsidP="001539D1">
            <w:pPr>
              <w:pStyle w:val="TabNumeri"/>
            </w:pPr>
            <w:r w:rsidRPr="00F44C85">
              <w:t>5,4</w:t>
            </w:r>
          </w:p>
        </w:tc>
        <w:tc>
          <w:tcPr>
            <w:tcW w:w="340" w:type="dxa"/>
          </w:tcPr>
          <w:p w14:paraId="70DA72DF" w14:textId="77777777" w:rsidR="00EE3209" w:rsidRPr="00CC1FAE" w:rsidRDefault="00EE3209" w:rsidP="001539D1">
            <w:pPr>
              <w:pStyle w:val="TabNumeri"/>
            </w:pPr>
          </w:p>
        </w:tc>
      </w:tr>
      <w:tr w:rsidR="00EE3209" w:rsidRPr="00D32E0A" w14:paraId="20EFFF8D"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4A769F49" w14:textId="77777777" w:rsidR="00EE3209" w:rsidRPr="00233F5C" w:rsidRDefault="00EE3209" w:rsidP="001539D1">
            <w:pPr>
              <w:pStyle w:val="TabEtichette"/>
            </w:pPr>
            <w:r w:rsidRPr="00233F5C">
              <w:t xml:space="preserve">- </w:t>
            </w:r>
            <w:proofErr w:type="spellStart"/>
            <w:r w:rsidRPr="00233F5C">
              <w:t>mac</w:t>
            </w:r>
            <w:proofErr w:type="spellEnd"/>
            <w:r w:rsidRPr="00233F5C">
              <w:t xml:space="preserve">. </w:t>
            </w:r>
            <w:proofErr w:type="spellStart"/>
            <w:r w:rsidRPr="00233F5C">
              <w:t>attr</w:t>
            </w:r>
            <w:proofErr w:type="spellEnd"/>
            <w:r w:rsidRPr="00233F5C">
              <w:t xml:space="preserve">. </w:t>
            </w:r>
            <w:proofErr w:type="spellStart"/>
            <w:r w:rsidRPr="00233F5C">
              <w:t>mez</w:t>
            </w:r>
            <w:proofErr w:type="spellEnd"/>
            <w:r>
              <w:t>.</w:t>
            </w:r>
            <w:r w:rsidRPr="00233F5C">
              <w:t xml:space="preserve"> </w:t>
            </w:r>
            <w:proofErr w:type="spellStart"/>
            <w:r w:rsidRPr="00233F5C">
              <w:t>trasp</w:t>
            </w:r>
            <w:proofErr w:type="spellEnd"/>
            <w:r w:rsidRPr="00233F5C">
              <w:t>.</w:t>
            </w:r>
          </w:p>
        </w:tc>
        <w:tc>
          <w:tcPr>
            <w:tcW w:w="1361" w:type="dxa"/>
            <w:shd w:val="clear" w:color="auto" w:fill="EAF1DD" w:themeFill="accent3" w:themeFillTint="33"/>
          </w:tcPr>
          <w:p w14:paraId="43C9874A" w14:textId="77777777" w:rsidR="00EE3209" w:rsidRPr="00083085" w:rsidRDefault="00EE3209" w:rsidP="001539D1">
            <w:pPr>
              <w:pStyle w:val="TabNumeri"/>
            </w:pPr>
            <w:r w:rsidRPr="000121CC">
              <w:t>-11,3</w:t>
            </w:r>
          </w:p>
        </w:tc>
        <w:tc>
          <w:tcPr>
            <w:tcW w:w="340" w:type="dxa"/>
            <w:shd w:val="clear" w:color="auto" w:fill="EAF1DD" w:themeFill="accent3" w:themeFillTint="33"/>
          </w:tcPr>
          <w:p w14:paraId="2557FE92" w14:textId="77777777" w:rsidR="00EE3209" w:rsidRPr="008A2BE0" w:rsidRDefault="00EE3209" w:rsidP="001539D1">
            <w:pPr>
              <w:pStyle w:val="TabNumeri"/>
            </w:pPr>
          </w:p>
        </w:tc>
        <w:tc>
          <w:tcPr>
            <w:tcW w:w="1361" w:type="dxa"/>
            <w:shd w:val="clear" w:color="auto" w:fill="EAF1DD" w:themeFill="accent3" w:themeFillTint="33"/>
          </w:tcPr>
          <w:p w14:paraId="3BCDF4F7" w14:textId="77777777" w:rsidR="00EE3209" w:rsidRPr="00811B57" w:rsidRDefault="00EE3209" w:rsidP="001539D1">
            <w:pPr>
              <w:pStyle w:val="TabNumeri"/>
            </w:pPr>
            <w:r w:rsidRPr="000A5A2B">
              <w:t>8,6</w:t>
            </w:r>
          </w:p>
        </w:tc>
        <w:tc>
          <w:tcPr>
            <w:tcW w:w="340" w:type="dxa"/>
            <w:shd w:val="clear" w:color="auto" w:fill="EAF1DD" w:themeFill="accent3" w:themeFillTint="33"/>
          </w:tcPr>
          <w:p w14:paraId="673B7DF9" w14:textId="77777777" w:rsidR="00EE3209" w:rsidRPr="00811B57" w:rsidRDefault="00EE3209" w:rsidP="001539D1">
            <w:pPr>
              <w:pStyle w:val="TabNumeri"/>
            </w:pPr>
          </w:p>
        </w:tc>
        <w:tc>
          <w:tcPr>
            <w:tcW w:w="1361" w:type="dxa"/>
            <w:shd w:val="clear" w:color="auto" w:fill="EAF1DD" w:themeFill="accent3" w:themeFillTint="33"/>
          </w:tcPr>
          <w:p w14:paraId="705C95EA" w14:textId="77777777" w:rsidR="00EE3209" w:rsidRPr="00A319C0" w:rsidRDefault="00EE3209" w:rsidP="001539D1">
            <w:pPr>
              <w:pStyle w:val="TabNumeri"/>
            </w:pPr>
            <w:r w:rsidRPr="001C3BCB">
              <w:t>11,7</w:t>
            </w:r>
          </w:p>
        </w:tc>
        <w:tc>
          <w:tcPr>
            <w:tcW w:w="340" w:type="dxa"/>
            <w:shd w:val="clear" w:color="auto" w:fill="EAF1DD" w:themeFill="accent3" w:themeFillTint="33"/>
          </w:tcPr>
          <w:p w14:paraId="2AF037C2" w14:textId="77777777" w:rsidR="00EE3209" w:rsidRPr="00A319C0" w:rsidRDefault="00EE3209" w:rsidP="001539D1">
            <w:pPr>
              <w:pStyle w:val="TabNumeri"/>
            </w:pPr>
          </w:p>
        </w:tc>
        <w:tc>
          <w:tcPr>
            <w:tcW w:w="1361" w:type="dxa"/>
            <w:shd w:val="clear" w:color="auto" w:fill="EAF1DD" w:themeFill="accent3" w:themeFillTint="33"/>
          </w:tcPr>
          <w:p w14:paraId="5C97C9CB" w14:textId="77777777" w:rsidR="00EE3209" w:rsidRPr="00D32E0A" w:rsidRDefault="00EE3209" w:rsidP="001539D1">
            <w:pPr>
              <w:pStyle w:val="TabNumeri"/>
            </w:pPr>
            <w:proofErr w:type="spellStart"/>
            <w:r w:rsidRPr="00F44C85">
              <w:t>n.d.</w:t>
            </w:r>
            <w:proofErr w:type="spellEnd"/>
          </w:p>
        </w:tc>
        <w:tc>
          <w:tcPr>
            <w:tcW w:w="340" w:type="dxa"/>
            <w:shd w:val="clear" w:color="auto" w:fill="EAF1DD" w:themeFill="accent3" w:themeFillTint="33"/>
          </w:tcPr>
          <w:p w14:paraId="4625530D" w14:textId="77777777" w:rsidR="00EE3209" w:rsidRPr="00D32E0A" w:rsidRDefault="00EE3209" w:rsidP="001539D1">
            <w:pPr>
              <w:pStyle w:val="TabNumeri"/>
            </w:pPr>
          </w:p>
        </w:tc>
      </w:tr>
      <w:tr w:rsidR="00EE3209" w:rsidRPr="00D32E0A" w14:paraId="30E560E9" w14:textId="77777777" w:rsidTr="001539D1">
        <w:tblPrEx>
          <w:tblBorders>
            <w:bottom w:val="none" w:sz="0" w:space="0" w:color="auto"/>
          </w:tblBorders>
        </w:tblPrEx>
        <w:trPr>
          <w:cantSplit/>
          <w:trHeight w:val="255"/>
        </w:trPr>
        <w:tc>
          <w:tcPr>
            <w:tcW w:w="2552" w:type="dxa"/>
          </w:tcPr>
          <w:p w14:paraId="322B984B" w14:textId="77777777" w:rsidR="00EE3209" w:rsidRPr="00233F5C" w:rsidRDefault="00EE3209" w:rsidP="001539D1">
            <w:pPr>
              <w:pStyle w:val="TabEtichette"/>
            </w:pPr>
            <w:r w:rsidRPr="00233F5C">
              <w:t>- costruzioni</w:t>
            </w:r>
          </w:p>
        </w:tc>
        <w:tc>
          <w:tcPr>
            <w:tcW w:w="1361" w:type="dxa"/>
          </w:tcPr>
          <w:p w14:paraId="4D7E4771" w14:textId="77777777" w:rsidR="00EE3209" w:rsidRPr="00083085" w:rsidRDefault="00EE3209" w:rsidP="001539D1">
            <w:pPr>
              <w:pStyle w:val="TabNumeri"/>
            </w:pPr>
            <w:r w:rsidRPr="000121CC">
              <w:t>-6,6</w:t>
            </w:r>
          </w:p>
        </w:tc>
        <w:tc>
          <w:tcPr>
            <w:tcW w:w="340" w:type="dxa"/>
          </w:tcPr>
          <w:p w14:paraId="00879DDC" w14:textId="77777777" w:rsidR="00EE3209" w:rsidRPr="00B136E3" w:rsidRDefault="00EE3209" w:rsidP="001539D1">
            <w:pPr>
              <w:pStyle w:val="TabNumeri"/>
            </w:pPr>
          </w:p>
        </w:tc>
        <w:tc>
          <w:tcPr>
            <w:tcW w:w="1361" w:type="dxa"/>
          </w:tcPr>
          <w:p w14:paraId="6DBFB24C" w14:textId="77777777" w:rsidR="00EE3209" w:rsidRPr="00811B57" w:rsidRDefault="00EE3209" w:rsidP="001539D1">
            <w:pPr>
              <w:pStyle w:val="TabNumeri"/>
            </w:pPr>
            <w:proofErr w:type="spellStart"/>
            <w:r>
              <w:t>n.d.</w:t>
            </w:r>
            <w:proofErr w:type="spellEnd"/>
          </w:p>
        </w:tc>
        <w:tc>
          <w:tcPr>
            <w:tcW w:w="340" w:type="dxa"/>
          </w:tcPr>
          <w:p w14:paraId="6E280259" w14:textId="77777777" w:rsidR="00EE3209" w:rsidRPr="00811B57" w:rsidRDefault="00EE3209" w:rsidP="001539D1">
            <w:pPr>
              <w:pStyle w:val="TabNumeri"/>
            </w:pPr>
          </w:p>
        </w:tc>
        <w:tc>
          <w:tcPr>
            <w:tcW w:w="1361" w:type="dxa"/>
          </w:tcPr>
          <w:p w14:paraId="0FEEF590" w14:textId="77777777" w:rsidR="00EE3209" w:rsidRPr="00A319C0" w:rsidRDefault="00EE3209" w:rsidP="001539D1">
            <w:pPr>
              <w:pStyle w:val="TabNumeri"/>
            </w:pPr>
            <w:r w:rsidRPr="001C3BCB">
              <w:t>12,8</w:t>
            </w:r>
          </w:p>
        </w:tc>
        <w:tc>
          <w:tcPr>
            <w:tcW w:w="340" w:type="dxa"/>
          </w:tcPr>
          <w:p w14:paraId="5D4F5812" w14:textId="77777777" w:rsidR="00EE3209" w:rsidRPr="00A319C0" w:rsidRDefault="00EE3209" w:rsidP="001539D1">
            <w:pPr>
              <w:pStyle w:val="TabNumeri"/>
            </w:pPr>
          </w:p>
        </w:tc>
        <w:tc>
          <w:tcPr>
            <w:tcW w:w="1361" w:type="dxa"/>
          </w:tcPr>
          <w:p w14:paraId="47F2A4AC" w14:textId="77777777" w:rsidR="00EE3209" w:rsidRPr="00D32E0A" w:rsidRDefault="00EE3209" w:rsidP="001539D1">
            <w:pPr>
              <w:pStyle w:val="TabNumeri"/>
            </w:pPr>
            <w:proofErr w:type="spellStart"/>
            <w:r w:rsidRPr="00F44C85">
              <w:t>n.d.</w:t>
            </w:r>
            <w:proofErr w:type="spellEnd"/>
          </w:p>
        </w:tc>
        <w:tc>
          <w:tcPr>
            <w:tcW w:w="340" w:type="dxa"/>
          </w:tcPr>
          <w:p w14:paraId="42A4372C" w14:textId="77777777" w:rsidR="00EE3209" w:rsidRPr="00D32E0A" w:rsidRDefault="00EE3209" w:rsidP="001539D1">
            <w:pPr>
              <w:pStyle w:val="TabNumeri"/>
            </w:pPr>
          </w:p>
        </w:tc>
      </w:tr>
      <w:tr w:rsidR="00EE3209" w:rsidRPr="00D32E0A" w14:paraId="4581AE8F"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6AC3A0E2" w14:textId="77777777" w:rsidR="00EE3209" w:rsidRPr="00233F5C" w:rsidRDefault="00EE3209" w:rsidP="001539D1">
            <w:pPr>
              <w:pStyle w:val="TabEtichette"/>
            </w:pPr>
            <w:r>
              <w:t>Occupazione</w:t>
            </w:r>
          </w:p>
        </w:tc>
        <w:tc>
          <w:tcPr>
            <w:tcW w:w="1361" w:type="dxa"/>
            <w:shd w:val="clear" w:color="auto" w:fill="EAF1DD" w:themeFill="accent3" w:themeFillTint="33"/>
          </w:tcPr>
          <w:p w14:paraId="6E0000ED" w14:textId="77777777" w:rsidR="00EE3209" w:rsidRPr="00083085" w:rsidRDefault="00EE3209" w:rsidP="001539D1">
            <w:pPr>
              <w:pStyle w:val="TabNumeri"/>
            </w:pPr>
            <w:r>
              <w:t>-2,0</w:t>
            </w:r>
          </w:p>
        </w:tc>
        <w:tc>
          <w:tcPr>
            <w:tcW w:w="340" w:type="dxa"/>
            <w:shd w:val="clear" w:color="auto" w:fill="EAF1DD" w:themeFill="accent3" w:themeFillTint="33"/>
          </w:tcPr>
          <w:p w14:paraId="1130637C" w14:textId="77777777" w:rsidR="00EE3209" w:rsidRPr="008A2BE0" w:rsidRDefault="00EE3209" w:rsidP="001539D1">
            <w:pPr>
              <w:pStyle w:val="TabNumeri"/>
            </w:pPr>
            <w:r>
              <w:t>[2]</w:t>
            </w:r>
          </w:p>
        </w:tc>
        <w:tc>
          <w:tcPr>
            <w:tcW w:w="1361" w:type="dxa"/>
            <w:shd w:val="clear" w:color="auto" w:fill="EAF1DD" w:themeFill="accent3" w:themeFillTint="33"/>
          </w:tcPr>
          <w:p w14:paraId="0865485E" w14:textId="77777777" w:rsidR="00EE3209" w:rsidRPr="00811B57" w:rsidRDefault="00EE3209" w:rsidP="001539D1">
            <w:pPr>
              <w:pStyle w:val="TabNumeri"/>
            </w:pPr>
            <w:r w:rsidRPr="000A5A2B">
              <w:t>-0,9</w:t>
            </w:r>
          </w:p>
        </w:tc>
        <w:tc>
          <w:tcPr>
            <w:tcW w:w="340" w:type="dxa"/>
            <w:shd w:val="clear" w:color="auto" w:fill="EAF1DD" w:themeFill="accent3" w:themeFillTint="33"/>
          </w:tcPr>
          <w:p w14:paraId="3095FA18" w14:textId="77777777" w:rsidR="00EE3209" w:rsidRPr="00811B57" w:rsidRDefault="00EE3209" w:rsidP="001539D1">
            <w:pPr>
              <w:pStyle w:val="TabNumeri"/>
            </w:pPr>
          </w:p>
        </w:tc>
        <w:tc>
          <w:tcPr>
            <w:tcW w:w="1361" w:type="dxa"/>
            <w:shd w:val="clear" w:color="auto" w:fill="EAF1DD" w:themeFill="accent3" w:themeFillTint="33"/>
          </w:tcPr>
          <w:p w14:paraId="04A82A30" w14:textId="77777777" w:rsidR="00EE3209" w:rsidRPr="00A319C0" w:rsidRDefault="00EE3209" w:rsidP="001539D1">
            <w:pPr>
              <w:pStyle w:val="TabNumeri"/>
            </w:pPr>
            <w:r w:rsidRPr="001C3BCB">
              <w:t>5,5</w:t>
            </w:r>
          </w:p>
        </w:tc>
        <w:tc>
          <w:tcPr>
            <w:tcW w:w="340" w:type="dxa"/>
            <w:shd w:val="clear" w:color="auto" w:fill="EAF1DD" w:themeFill="accent3" w:themeFillTint="33"/>
          </w:tcPr>
          <w:p w14:paraId="42672125" w14:textId="77777777" w:rsidR="00EE3209" w:rsidRPr="00A319C0" w:rsidRDefault="00EE3209" w:rsidP="001539D1">
            <w:pPr>
              <w:pStyle w:val="TabNumeri"/>
            </w:pPr>
            <w:r>
              <w:t>[3]</w:t>
            </w:r>
          </w:p>
        </w:tc>
        <w:tc>
          <w:tcPr>
            <w:tcW w:w="1361" w:type="dxa"/>
            <w:shd w:val="clear" w:color="auto" w:fill="EAF1DD" w:themeFill="accent3" w:themeFillTint="33"/>
          </w:tcPr>
          <w:p w14:paraId="096F5AA4" w14:textId="77777777" w:rsidR="00EE3209" w:rsidRPr="00D32E0A" w:rsidRDefault="00EE3209" w:rsidP="001539D1">
            <w:pPr>
              <w:pStyle w:val="TabNumeri"/>
            </w:pPr>
            <w:r w:rsidRPr="00F44C85">
              <w:t>0,7</w:t>
            </w:r>
          </w:p>
        </w:tc>
        <w:tc>
          <w:tcPr>
            <w:tcW w:w="340" w:type="dxa"/>
            <w:shd w:val="clear" w:color="auto" w:fill="EAF1DD" w:themeFill="accent3" w:themeFillTint="33"/>
          </w:tcPr>
          <w:p w14:paraId="0FF50306" w14:textId="77777777" w:rsidR="00EE3209" w:rsidRPr="00D32E0A" w:rsidRDefault="00EE3209" w:rsidP="001539D1">
            <w:pPr>
              <w:pStyle w:val="TabNumeri"/>
            </w:pPr>
            <w:r w:rsidRPr="00F44C85">
              <w:t>[</w:t>
            </w:r>
            <w:r>
              <w:t>2</w:t>
            </w:r>
            <w:r w:rsidRPr="00F44C85">
              <w:t>]</w:t>
            </w:r>
          </w:p>
        </w:tc>
      </w:tr>
      <w:tr w:rsidR="00EE3209" w:rsidRPr="00D32E0A" w14:paraId="38E82A4F" w14:textId="77777777" w:rsidTr="001539D1">
        <w:tblPrEx>
          <w:tblBorders>
            <w:bottom w:val="none" w:sz="0" w:space="0" w:color="auto"/>
          </w:tblBorders>
        </w:tblPrEx>
        <w:trPr>
          <w:cantSplit/>
          <w:trHeight w:val="255"/>
        </w:trPr>
        <w:tc>
          <w:tcPr>
            <w:tcW w:w="2552" w:type="dxa"/>
          </w:tcPr>
          <w:p w14:paraId="1B127254" w14:textId="77777777" w:rsidR="00EE3209" w:rsidRPr="00233F5C" w:rsidRDefault="00EE3209" w:rsidP="001539D1">
            <w:pPr>
              <w:pStyle w:val="TabEtichette"/>
            </w:pPr>
            <w:r w:rsidRPr="00233F5C">
              <w:t>Disoccupazione [</w:t>
            </w:r>
            <w:r>
              <w:t>a</w:t>
            </w:r>
            <w:r w:rsidRPr="00233F5C">
              <w:t>]</w:t>
            </w:r>
          </w:p>
        </w:tc>
        <w:tc>
          <w:tcPr>
            <w:tcW w:w="1361" w:type="dxa"/>
          </w:tcPr>
          <w:p w14:paraId="2DB8B3D8" w14:textId="77777777" w:rsidR="00EE3209" w:rsidRPr="00D862EC" w:rsidRDefault="00EE3209" w:rsidP="001539D1">
            <w:pPr>
              <w:pStyle w:val="TabNumeri"/>
            </w:pPr>
            <w:r w:rsidRPr="000121CC">
              <w:t>9,1</w:t>
            </w:r>
          </w:p>
        </w:tc>
        <w:tc>
          <w:tcPr>
            <w:tcW w:w="340" w:type="dxa"/>
          </w:tcPr>
          <w:p w14:paraId="21D82935" w14:textId="77777777" w:rsidR="00EE3209" w:rsidRPr="008A2BE0" w:rsidRDefault="00EE3209" w:rsidP="001539D1">
            <w:pPr>
              <w:pStyle w:val="TabNumeri"/>
            </w:pPr>
          </w:p>
        </w:tc>
        <w:tc>
          <w:tcPr>
            <w:tcW w:w="1361" w:type="dxa"/>
          </w:tcPr>
          <w:p w14:paraId="7CB19185" w14:textId="77777777" w:rsidR="00EE3209" w:rsidRPr="00811B57" w:rsidRDefault="00EE3209" w:rsidP="001539D1">
            <w:pPr>
              <w:pStyle w:val="TabNumeri"/>
            </w:pPr>
            <w:r w:rsidRPr="000A5A2B">
              <w:t>10,5</w:t>
            </w:r>
          </w:p>
        </w:tc>
        <w:tc>
          <w:tcPr>
            <w:tcW w:w="340" w:type="dxa"/>
          </w:tcPr>
          <w:p w14:paraId="43288F28" w14:textId="77777777" w:rsidR="00EE3209" w:rsidRPr="00811B57" w:rsidRDefault="00EE3209" w:rsidP="001539D1">
            <w:pPr>
              <w:pStyle w:val="TabNumeri"/>
            </w:pPr>
          </w:p>
        </w:tc>
        <w:tc>
          <w:tcPr>
            <w:tcW w:w="1361" w:type="dxa"/>
          </w:tcPr>
          <w:p w14:paraId="0608C47B" w14:textId="77777777" w:rsidR="00EE3209" w:rsidRPr="00A319C0" w:rsidRDefault="00EE3209" w:rsidP="001539D1">
            <w:pPr>
              <w:pStyle w:val="TabNumeri"/>
            </w:pPr>
            <w:r w:rsidRPr="001C3BCB">
              <w:t>10,7</w:t>
            </w:r>
          </w:p>
        </w:tc>
        <w:tc>
          <w:tcPr>
            <w:tcW w:w="340" w:type="dxa"/>
          </w:tcPr>
          <w:p w14:paraId="19665916" w14:textId="77777777" w:rsidR="00EE3209" w:rsidRPr="00A319C0" w:rsidRDefault="00EE3209" w:rsidP="001539D1">
            <w:pPr>
              <w:pStyle w:val="TabNumeri"/>
            </w:pPr>
          </w:p>
        </w:tc>
        <w:tc>
          <w:tcPr>
            <w:tcW w:w="1361" w:type="dxa"/>
          </w:tcPr>
          <w:p w14:paraId="06744F87" w14:textId="77777777" w:rsidR="00EE3209" w:rsidRPr="00D32E0A" w:rsidRDefault="00EE3209" w:rsidP="001539D1">
            <w:pPr>
              <w:pStyle w:val="TabNumeri"/>
            </w:pPr>
            <w:r w:rsidRPr="00F44C85">
              <w:t>10,3</w:t>
            </w:r>
          </w:p>
        </w:tc>
        <w:tc>
          <w:tcPr>
            <w:tcW w:w="340" w:type="dxa"/>
          </w:tcPr>
          <w:p w14:paraId="371B99CD" w14:textId="77777777" w:rsidR="00EE3209" w:rsidRPr="00D32E0A" w:rsidRDefault="00EE3209" w:rsidP="001539D1">
            <w:pPr>
              <w:pStyle w:val="TabNumeri"/>
            </w:pPr>
          </w:p>
        </w:tc>
      </w:tr>
      <w:tr w:rsidR="00EE3209" w:rsidRPr="00D32E0A" w14:paraId="011885CE"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3DABF490" w14:textId="77777777" w:rsidR="00EE3209" w:rsidRPr="00233F5C" w:rsidRDefault="00EE3209" w:rsidP="001539D1">
            <w:pPr>
              <w:pStyle w:val="TabEtichette"/>
            </w:pPr>
            <w:r w:rsidRPr="00233F5C">
              <w:t>Prezzi al consumo</w:t>
            </w:r>
          </w:p>
        </w:tc>
        <w:tc>
          <w:tcPr>
            <w:tcW w:w="1361" w:type="dxa"/>
            <w:shd w:val="clear" w:color="auto" w:fill="EAF1DD" w:themeFill="accent3" w:themeFillTint="33"/>
          </w:tcPr>
          <w:p w14:paraId="08D20651" w14:textId="77777777" w:rsidR="00EE3209" w:rsidRPr="00D862EC" w:rsidRDefault="00EE3209" w:rsidP="001539D1">
            <w:pPr>
              <w:pStyle w:val="TabNumeri"/>
            </w:pPr>
            <w:r w:rsidRPr="000121CC">
              <w:t>-0,1</w:t>
            </w:r>
          </w:p>
        </w:tc>
        <w:tc>
          <w:tcPr>
            <w:tcW w:w="340" w:type="dxa"/>
            <w:shd w:val="clear" w:color="auto" w:fill="EAF1DD" w:themeFill="accent3" w:themeFillTint="33"/>
          </w:tcPr>
          <w:p w14:paraId="7C490845" w14:textId="77777777" w:rsidR="00EE3209" w:rsidRPr="008A2BE0" w:rsidRDefault="00EE3209" w:rsidP="001539D1">
            <w:pPr>
              <w:pStyle w:val="TabNumeri"/>
            </w:pPr>
          </w:p>
        </w:tc>
        <w:tc>
          <w:tcPr>
            <w:tcW w:w="1361" w:type="dxa"/>
            <w:shd w:val="clear" w:color="auto" w:fill="EAF1DD" w:themeFill="accent3" w:themeFillTint="33"/>
          </w:tcPr>
          <w:p w14:paraId="18CF3DC6" w14:textId="77777777" w:rsidR="00EE3209" w:rsidRPr="00811B57" w:rsidRDefault="00EE3209" w:rsidP="001539D1">
            <w:pPr>
              <w:pStyle w:val="TabNumeri"/>
            </w:pPr>
            <w:r w:rsidRPr="000A5A2B">
              <w:t>0,7</w:t>
            </w:r>
          </w:p>
        </w:tc>
        <w:tc>
          <w:tcPr>
            <w:tcW w:w="340" w:type="dxa"/>
            <w:shd w:val="clear" w:color="auto" w:fill="EAF1DD" w:themeFill="accent3" w:themeFillTint="33"/>
          </w:tcPr>
          <w:p w14:paraId="61818E66" w14:textId="77777777" w:rsidR="00EE3209" w:rsidRPr="00811B57" w:rsidRDefault="00EE3209" w:rsidP="001539D1">
            <w:pPr>
              <w:pStyle w:val="TabNumeri"/>
            </w:pPr>
          </w:p>
        </w:tc>
        <w:tc>
          <w:tcPr>
            <w:tcW w:w="1361" w:type="dxa"/>
            <w:shd w:val="clear" w:color="auto" w:fill="EAF1DD" w:themeFill="accent3" w:themeFillTint="33"/>
          </w:tcPr>
          <w:p w14:paraId="4240C51B" w14:textId="77777777" w:rsidR="00EE3209" w:rsidRPr="00A319C0" w:rsidRDefault="00EE3209" w:rsidP="001539D1">
            <w:pPr>
              <w:pStyle w:val="TabNumeri"/>
            </w:pPr>
            <w:r w:rsidRPr="001C3BCB">
              <w:t>1,3</w:t>
            </w:r>
          </w:p>
        </w:tc>
        <w:tc>
          <w:tcPr>
            <w:tcW w:w="340" w:type="dxa"/>
            <w:shd w:val="clear" w:color="auto" w:fill="EAF1DD" w:themeFill="accent3" w:themeFillTint="33"/>
          </w:tcPr>
          <w:p w14:paraId="49D685C8" w14:textId="77777777" w:rsidR="00EE3209" w:rsidRPr="00A319C0" w:rsidRDefault="00EE3209" w:rsidP="001539D1">
            <w:pPr>
              <w:pStyle w:val="TabNumeri"/>
            </w:pPr>
          </w:p>
        </w:tc>
        <w:tc>
          <w:tcPr>
            <w:tcW w:w="1361" w:type="dxa"/>
            <w:shd w:val="clear" w:color="auto" w:fill="EAF1DD" w:themeFill="accent3" w:themeFillTint="33"/>
          </w:tcPr>
          <w:p w14:paraId="45D735DA" w14:textId="77777777" w:rsidR="00EE3209" w:rsidRPr="00D32E0A" w:rsidRDefault="00EE3209" w:rsidP="001539D1">
            <w:pPr>
              <w:pStyle w:val="TabNumeri"/>
            </w:pPr>
            <w:r w:rsidRPr="00F44C85">
              <w:t>0,8</w:t>
            </w:r>
          </w:p>
        </w:tc>
        <w:tc>
          <w:tcPr>
            <w:tcW w:w="340" w:type="dxa"/>
            <w:shd w:val="clear" w:color="auto" w:fill="EAF1DD" w:themeFill="accent3" w:themeFillTint="33"/>
          </w:tcPr>
          <w:p w14:paraId="6C39D11F" w14:textId="77777777" w:rsidR="00EE3209" w:rsidRPr="00D32E0A" w:rsidRDefault="00EE3209" w:rsidP="001539D1">
            <w:pPr>
              <w:pStyle w:val="TabNumeri"/>
            </w:pPr>
          </w:p>
        </w:tc>
      </w:tr>
      <w:tr w:rsidR="00EE3209" w:rsidRPr="00D32E0A" w14:paraId="566EC4F0" w14:textId="77777777" w:rsidTr="001539D1">
        <w:tblPrEx>
          <w:tblBorders>
            <w:bottom w:val="none" w:sz="0" w:space="0" w:color="auto"/>
          </w:tblBorders>
        </w:tblPrEx>
        <w:trPr>
          <w:cantSplit/>
          <w:trHeight w:val="255"/>
        </w:trPr>
        <w:tc>
          <w:tcPr>
            <w:tcW w:w="2552" w:type="dxa"/>
          </w:tcPr>
          <w:p w14:paraId="24D1E6E9" w14:textId="77777777" w:rsidR="00EE3209" w:rsidRPr="00233F5C" w:rsidRDefault="00EE3209" w:rsidP="001539D1">
            <w:pPr>
              <w:pStyle w:val="TabEtichette"/>
            </w:pPr>
            <w:r>
              <w:t xml:space="preserve">Saldo c. c. </w:t>
            </w:r>
            <w:proofErr w:type="spellStart"/>
            <w:r>
              <w:t>Bil</w:t>
            </w:r>
            <w:proofErr w:type="spellEnd"/>
            <w:r>
              <w:t xml:space="preserve"> </w:t>
            </w:r>
            <w:proofErr w:type="spellStart"/>
            <w:r>
              <w:t>Pag</w:t>
            </w:r>
            <w:proofErr w:type="spellEnd"/>
            <w:r>
              <w:t xml:space="preserve"> [b</w:t>
            </w:r>
            <w:r w:rsidRPr="00233F5C">
              <w:t>]</w:t>
            </w:r>
          </w:p>
        </w:tc>
        <w:tc>
          <w:tcPr>
            <w:tcW w:w="1361" w:type="dxa"/>
          </w:tcPr>
          <w:p w14:paraId="23943F88" w14:textId="77777777" w:rsidR="00EE3209" w:rsidRPr="00083085" w:rsidRDefault="00EE3209" w:rsidP="001539D1">
            <w:pPr>
              <w:pStyle w:val="TabNumeri"/>
            </w:pPr>
            <w:r w:rsidRPr="000121CC">
              <w:t>3,5</w:t>
            </w:r>
          </w:p>
        </w:tc>
        <w:tc>
          <w:tcPr>
            <w:tcW w:w="340" w:type="dxa"/>
          </w:tcPr>
          <w:p w14:paraId="0955FCF1" w14:textId="77777777" w:rsidR="00EE3209" w:rsidRPr="008A2BE0" w:rsidRDefault="00EE3209" w:rsidP="001539D1">
            <w:pPr>
              <w:pStyle w:val="TabNumeri"/>
            </w:pPr>
          </w:p>
        </w:tc>
        <w:tc>
          <w:tcPr>
            <w:tcW w:w="1361" w:type="dxa"/>
          </w:tcPr>
          <w:p w14:paraId="42D5720B" w14:textId="77777777" w:rsidR="00EE3209" w:rsidRPr="00811B57" w:rsidRDefault="00EE3209" w:rsidP="001539D1">
            <w:pPr>
              <w:pStyle w:val="TabNumeri"/>
            </w:pPr>
            <w:r w:rsidRPr="000A5A2B">
              <w:t>3,5</w:t>
            </w:r>
          </w:p>
        </w:tc>
        <w:tc>
          <w:tcPr>
            <w:tcW w:w="340" w:type="dxa"/>
          </w:tcPr>
          <w:p w14:paraId="1184F2F1" w14:textId="77777777" w:rsidR="00EE3209" w:rsidRPr="00811B57" w:rsidRDefault="00EE3209" w:rsidP="001539D1">
            <w:pPr>
              <w:pStyle w:val="TabNumeri"/>
            </w:pPr>
          </w:p>
        </w:tc>
        <w:tc>
          <w:tcPr>
            <w:tcW w:w="1361" w:type="dxa"/>
          </w:tcPr>
          <w:p w14:paraId="3468C8BD" w14:textId="77777777" w:rsidR="00EE3209" w:rsidRPr="00A319C0" w:rsidRDefault="00EE3209" w:rsidP="001539D1">
            <w:pPr>
              <w:pStyle w:val="TabNumeri"/>
            </w:pPr>
            <w:r w:rsidRPr="001C3BCB">
              <w:t>2,1</w:t>
            </w:r>
          </w:p>
        </w:tc>
        <w:tc>
          <w:tcPr>
            <w:tcW w:w="340" w:type="dxa"/>
          </w:tcPr>
          <w:p w14:paraId="32E9D58D" w14:textId="77777777" w:rsidR="00EE3209" w:rsidRPr="00A319C0" w:rsidRDefault="00EE3209" w:rsidP="001539D1">
            <w:pPr>
              <w:pStyle w:val="TabNumeri"/>
            </w:pPr>
            <w:r w:rsidRPr="001C3BCB">
              <w:t>[</w:t>
            </w:r>
            <w:r>
              <w:t>4</w:t>
            </w:r>
            <w:r w:rsidRPr="001C3BCB">
              <w:t>]</w:t>
            </w:r>
          </w:p>
        </w:tc>
        <w:tc>
          <w:tcPr>
            <w:tcW w:w="1361" w:type="dxa"/>
          </w:tcPr>
          <w:p w14:paraId="4FB2425C" w14:textId="77777777" w:rsidR="00EE3209" w:rsidRPr="00D32E0A" w:rsidRDefault="00EE3209" w:rsidP="001539D1">
            <w:pPr>
              <w:pStyle w:val="TabNumeri"/>
            </w:pPr>
            <w:r w:rsidRPr="00F44C85">
              <w:t>3,5</w:t>
            </w:r>
          </w:p>
        </w:tc>
        <w:tc>
          <w:tcPr>
            <w:tcW w:w="340" w:type="dxa"/>
          </w:tcPr>
          <w:p w14:paraId="04A8AFD9" w14:textId="77777777" w:rsidR="00EE3209" w:rsidRPr="00D32E0A" w:rsidRDefault="00EE3209" w:rsidP="001539D1">
            <w:pPr>
              <w:pStyle w:val="TabNumeri"/>
            </w:pPr>
          </w:p>
        </w:tc>
      </w:tr>
      <w:tr w:rsidR="00EE3209" w:rsidRPr="00D32E0A" w14:paraId="26EC1DCB"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7286125C" w14:textId="77777777" w:rsidR="00EE3209" w:rsidRPr="00233F5C" w:rsidRDefault="00EE3209" w:rsidP="001539D1">
            <w:pPr>
              <w:pStyle w:val="TabEtichette"/>
            </w:pPr>
            <w:r w:rsidRPr="00233F5C">
              <w:t>Avanzo primario [</w:t>
            </w:r>
            <w:r>
              <w:t>b</w:t>
            </w:r>
            <w:r w:rsidRPr="00233F5C">
              <w:t>]</w:t>
            </w:r>
          </w:p>
        </w:tc>
        <w:tc>
          <w:tcPr>
            <w:tcW w:w="1361" w:type="dxa"/>
            <w:shd w:val="clear" w:color="auto" w:fill="EAF1DD" w:themeFill="accent3" w:themeFillTint="33"/>
          </w:tcPr>
          <w:p w14:paraId="1C7B5833" w14:textId="77777777" w:rsidR="00EE3209" w:rsidRPr="00D862EC" w:rsidRDefault="00EE3209" w:rsidP="001539D1">
            <w:pPr>
              <w:pStyle w:val="TabNumeri"/>
            </w:pPr>
            <w:r w:rsidRPr="000121CC">
              <w:t>-6,0</w:t>
            </w:r>
          </w:p>
        </w:tc>
        <w:tc>
          <w:tcPr>
            <w:tcW w:w="340" w:type="dxa"/>
            <w:shd w:val="clear" w:color="auto" w:fill="EAF1DD" w:themeFill="accent3" w:themeFillTint="33"/>
          </w:tcPr>
          <w:p w14:paraId="42F34AE8" w14:textId="77777777" w:rsidR="00EE3209" w:rsidRPr="008A2BE0" w:rsidRDefault="00EE3209" w:rsidP="001539D1">
            <w:pPr>
              <w:pStyle w:val="TabNumeri"/>
            </w:pPr>
          </w:p>
        </w:tc>
        <w:tc>
          <w:tcPr>
            <w:tcW w:w="1361" w:type="dxa"/>
            <w:shd w:val="clear" w:color="auto" w:fill="EAF1DD" w:themeFill="accent3" w:themeFillTint="33"/>
          </w:tcPr>
          <w:p w14:paraId="0A8D90D5" w14:textId="77777777" w:rsidR="00EE3209" w:rsidRPr="00811B57" w:rsidRDefault="00EE3209" w:rsidP="001539D1">
            <w:pPr>
              <w:pStyle w:val="TabNumeri"/>
            </w:pPr>
            <w:proofErr w:type="spellStart"/>
            <w:r>
              <w:t>n.d.</w:t>
            </w:r>
            <w:proofErr w:type="spellEnd"/>
          </w:p>
        </w:tc>
        <w:tc>
          <w:tcPr>
            <w:tcW w:w="340" w:type="dxa"/>
            <w:shd w:val="clear" w:color="auto" w:fill="EAF1DD" w:themeFill="accent3" w:themeFillTint="33"/>
          </w:tcPr>
          <w:p w14:paraId="73F9FA17" w14:textId="77777777" w:rsidR="00EE3209" w:rsidRPr="00811B57" w:rsidRDefault="00EE3209" w:rsidP="001539D1">
            <w:pPr>
              <w:pStyle w:val="TabNumeri"/>
            </w:pPr>
          </w:p>
        </w:tc>
        <w:tc>
          <w:tcPr>
            <w:tcW w:w="1361" w:type="dxa"/>
            <w:shd w:val="clear" w:color="auto" w:fill="EAF1DD" w:themeFill="accent3" w:themeFillTint="33"/>
          </w:tcPr>
          <w:p w14:paraId="57FC45D5" w14:textId="77777777" w:rsidR="00EE3209" w:rsidRPr="00A319C0" w:rsidRDefault="00EE3209" w:rsidP="001539D1">
            <w:pPr>
              <w:pStyle w:val="TabNumeri"/>
            </w:pPr>
            <w:r w:rsidRPr="001C3BCB">
              <w:t>-5,6</w:t>
            </w:r>
          </w:p>
        </w:tc>
        <w:tc>
          <w:tcPr>
            <w:tcW w:w="340" w:type="dxa"/>
            <w:shd w:val="clear" w:color="auto" w:fill="EAF1DD" w:themeFill="accent3" w:themeFillTint="33"/>
          </w:tcPr>
          <w:p w14:paraId="040FD16D" w14:textId="77777777" w:rsidR="00EE3209" w:rsidRPr="00A319C0" w:rsidRDefault="00EE3209" w:rsidP="001539D1">
            <w:pPr>
              <w:pStyle w:val="TabNumeri"/>
            </w:pPr>
          </w:p>
        </w:tc>
        <w:tc>
          <w:tcPr>
            <w:tcW w:w="1361" w:type="dxa"/>
            <w:shd w:val="clear" w:color="auto" w:fill="EAF1DD" w:themeFill="accent3" w:themeFillTint="33"/>
          </w:tcPr>
          <w:p w14:paraId="6DE1FC4A" w14:textId="77777777" w:rsidR="00EE3209" w:rsidRPr="00D32E0A" w:rsidRDefault="00EE3209" w:rsidP="001539D1">
            <w:pPr>
              <w:pStyle w:val="TabNumeri"/>
            </w:pPr>
            <w:r w:rsidRPr="00F44C85">
              <w:t>-5,6</w:t>
            </w:r>
          </w:p>
        </w:tc>
        <w:tc>
          <w:tcPr>
            <w:tcW w:w="340" w:type="dxa"/>
            <w:shd w:val="clear" w:color="auto" w:fill="EAF1DD" w:themeFill="accent3" w:themeFillTint="33"/>
          </w:tcPr>
          <w:p w14:paraId="11989DD8" w14:textId="77777777" w:rsidR="00EE3209" w:rsidRPr="00D32E0A" w:rsidRDefault="00EE3209" w:rsidP="001539D1">
            <w:pPr>
              <w:pStyle w:val="TabNumeri"/>
            </w:pPr>
          </w:p>
        </w:tc>
      </w:tr>
      <w:tr w:rsidR="00EE3209" w:rsidRPr="00D32E0A" w14:paraId="1CEA181D" w14:textId="77777777" w:rsidTr="001539D1">
        <w:tblPrEx>
          <w:tblBorders>
            <w:bottom w:val="none" w:sz="0" w:space="0" w:color="auto"/>
          </w:tblBorders>
        </w:tblPrEx>
        <w:trPr>
          <w:cantSplit/>
          <w:trHeight w:val="255"/>
        </w:trPr>
        <w:tc>
          <w:tcPr>
            <w:tcW w:w="2552" w:type="dxa"/>
          </w:tcPr>
          <w:p w14:paraId="4B3FC2AC" w14:textId="77777777" w:rsidR="00EE3209" w:rsidRPr="00233F5C" w:rsidRDefault="00EE3209" w:rsidP="001539D1">
            <w:pPr>
              <w:pStyle w:val="TabEtichette"/>
            </w:pPr>
            <w:r w:rsidRPr="00233F5C">
              <w:t>Ind</w:t>
            </w:r>
            <w:r>
              <w:t>ebitamento A. P. [b</w:t>
            </w:r>
            <w:r w:rsidRPr="00233F5C">
              <w:t>]</w:t>
            </w:r>
          </w:p>
        </w:tc>
        <w:tc>
          <w:tcPr>
            <w:tcW w:w="1361" w:type="dxa"/>
          </w:tcPr>
          <w:p w14:paraId="681C16BA" w14:textId="77777777" w:rsidR="00EE3209" w:rsidRPr="00D862EC" w:rsidRDefault="00EE3209" w:rsidP="001539D1">
            <w:pPr>
              <w:pStyle w:val="TabNumeri"/>
            </w:pPr>
            <w:r w:rsidRPr="000121CC">
              <w:t>9,5</w:t>
            </w:r>
          </w:p>
        </w:tc>
        <w:tc>
          <w:tcPr>
            <w:tcW w:w="340" w:type="dxa"/>
          </w:tcPr>
          <w:p w14:paraId="18A0BA09" w14:textId="77777777" w:rsidR="00EE3209" w:rsidRPr="004936D0" w:rsidRDefault="00EE3209" w:rsidP="001539D1">
            <w:pPr>
              <w:pStyle w:val="TabNumeri"/>
            </w:pPr>
          </w:p>
        </w:tc>
        <w:tc>
          <w:tcPr>
            <w:tcW w:w="1361" w:type="dxa"/>
          </w:tcPr>
          <w:p w14:paraId="690DA44A" w14:textId="77777777" w:rsidR="00EE3209" w:rsidRPr="00811B57" w:rsidRDefault="00EE3209" w:rsidP="001539D1">
            <w:pPr>
              <w:pStyle w:val="TabNumeri"/>
            </w:pPr>
            <w:proofErr w:type="spellStart"/>
            <w:r>
              <w:t>n.d.</w:t>
            </w:r>
            <w:proofErr w:type="spellEnd"/>
          </w:p>
        </w:tc>
        <w:tc>
          <w:tcPr>
            <w:tcW w:w="340" w:type="dxa"/>
          </w:tcPr>
          <w:p w14:paraId="4B648D7D" w14:textId="77777777" w:rsidR="00EE3209" w:rsidRPr="00811B57" w:rsidRDefault="00EE3209" w:rsidP="001539D1">
            <w:pPr>
              <w:pStyle w:val="TabNumeri"/>
            </w:pPr>
          </w:p>
        </w:tc>
        <w:tc>
          <w:tcPr>
            <w:tcW w:w="1361" w:type="dxa"/>
          </w:tcPr>
          <w:p w14:paraId="6B94CFBF" w14:textId="77777777" w:rsidR="00EE3209" w:rsidRPr="00A319C0" w:rsidRDefault="00EE3209" w:rsidP="001539D1">
            <w:pPr>
              <w:pStyle w:val="TabNumeri"/>
            </w:pPr>
            <w:r w:rsidRPr="001C3BCB">
              <w:t>8,8</w:t>
            </w:r>
          </w:p>
        </w:tc>
        <w:tc>
          <w:tcPr>
            <w:tcW w:w="340" w:type="dxa"/>
          </w:tcPr>
          <w:p w14:paraId="46F2BC56" w14:textId="77777777" w:rsidR="00EE3209" w:rsidRPr="00A319C0" w:rsidRDefault="00EE3209" w:rsidP="001539D1">
            <w:pPr>
              <w:pStyle w:val="TabNumeri"/>
            </w:pPr>
          </w:p>
        </w:tc>
        <w:tc>
          <w:tcPr>
            <w:tcW w:w="1361" w:type="dxa"/>
          </w:tcPr>
          <w:p w14:paraId="69300316" w14:textId="77777777" w:rsidR="00EE3209" w:rsidRPr="00D32E0A" w:rsidRDefault="00EE3209" w:rsidP="001539D1">
            <w:pPr>
              <w:pStyle w:val="TabNumeri"/>
            </w:pPr>
            <w:r w:rsidRPr="00F44C85">
              <w:t>8,8</w:t>
            </w:r>
          </w:p>
        </w:tc>
        <w:tc>
          <w:tcPr>
            <w:tcW w:w="340" w:type="dxa"/>
          </w:tcPr>
          <w:p w14:paraId="71F346A5" w14:textId="77777777" w:rsidR="00EE3209" w:rsidRPr="00D32E0A" w:rsidRDefault="00EE3209" w:rsidP="001539D1">
            <w:pPr>
              <w:pStyle w:val="TabNumeri"/>
            </w:pPr>
          </w:p>
        </w:tc>
      </w:tr>
      <w:tr w:rsidR="00EE3209" w14:paraId="2B511DB2" w14:textId="77777777" w:rsidTr="001539D1">
        <w:tblPrEx>
          <w:tblBorders>
            <w:bottom w:val="none" w:sz="0" w:space="0" w:color="auto"/>
          </w:tblBorders>
        </w:tblPrEx>
        <w:trPr>
          <w:cantSplit/>
          <w:trHeight w:val="255"/>
        </w:trPr>
        <w:tc>
          <w:tcPr>
            <w:tcW w:w="2552" w:type="dxa"/>
            <w:shd w:val="clear" w:color="auto" w:fill="EAF1DD" w:themeFill="accent3" w:themeFillTint="33"/>
          </w:tcPr>
          <w:p w14:paraId="5BABC0DD" w14:textId="77777777" w:rsidR="00EE3209" w:rsidRDefault="00EE3209" w:rsidP="001539D1">
            <w:pPr>
              <w:pStyle w:val="TabEtichette"/>
            </w:pPr>
            <w:r>
              <w:t>Debito A. Pubblica [b</w:t>
            </w:r>
            <w:r w:rsidRPr="00233F5C">
              <w:t>]</w:t>
            </w:r>
          </w:p>
        </w:tc>
        <w:tc>
          <w:tcPr>
            <w:tcW w:w="1361" w:type="dxa"/>
            <w:shd w:val="clear" w:color="auto" w:fill="EAF1DD" w:themeFill="accent3" w:themeFillTint="33"/>
          </w:tcPr>
          <w:p w14:paraId="6712BE31" w14:textId="77777777" w:rsidR="00EE3209" w:rsidRDefault="00EE3209" w:rsidP="001539D1">
            <w:pPr>
              <w:pStyle w:val="TabNumeri"/>
            </w:pPr>
            <w:r w:rsidRPr="000121CC">
              <w:t>155,6</w:t>
            </w:r>
          </w:p>
        </w:tc>
        <w:tc>
          <w:tcPr>
            <w:tcW w:w="340" w:type="dxa"/>
            <w:shd w:val="clear" w:color="auto" w:fill="EAF1DD" w:themeFill="accent3" w:themeFillTint="33"/>
          </w:tcPr>
          <w:p w14:paraId="55174AD2" w14:textId="77777777" w:rsidR="00EE3209" w:rsidRPr="008A2BE0" w:rsidRDefault="00EE3209" w:rsidP="001539D1">
            <w:pPr>
              <w:pStyle w:val="TabNumeri"/>
            </w:pPr>
          </w:p>
        </w:tc>
        <w:tc>
          <w:tcPr>
            <w:tcW w:w="1361" w:type="dxa"/>
            <w:shd w:val="clear" w:color="auto" w:fill="EAF1DD" w:themeFill="accent3" w:themeFillTint="33"/>
          </w:tcPr>
          <w:p w14:paraId="799E3F24" w14:textId="77777777" w:rsidR="00EE3209" w:rsidRPr="00811B57" w:rsidRDefault="00EE3209" w:rsidP="001539D1">
            <w:pPr>
              <w:pStyle w:val="TabNumeri"/>
            </w:pPr>
            <w:proofErr w:type="spellStart"/>
            <w:r>
              <w:t>n.d.</w:t>
            </w:r>
            <w:proofErr w:type="spellEnd"/>
          </w:p>
        </w:tc>
        <w:tc>
          <w:tcPr>
            <w:tcW w:w="340" w:type="dxa"/>
            <w:shd w:val="clear" w:color="auto" w:fill="EAF1DD" w:themeFill="accent3" w:themeFillTint="33"/>
          </w:tcPr>
          <w:p w14:paraId="46E934A6" w14:textId="77777777" w:rsidR="00EE3209" w:rsidRDefault="00EE3209" w:rsidP="001539D1">
            <w:pPr>
              <w:pStyle w:val="TabNumeri"/>
            </w:pPr>
          </w:p>
        </w:tc>
        <w:tc>
          <w:tcPr>
            <w:tcW w:w="1361" w:type="dxa"/>
            <w:shd w:val="clear" w:color="auto" w:fill="EAF1DD" w:themeFill="accent3" w:themeFillTint="33"/>
          </w:tcPr>
          <w:p w14:paraId="7B95A5C8" w14:textId="77777777" w:rsidR="00EE3209" w:rsidRPr="00A319C0" w:rsidRDefault="00EE3209" w:rsidP="001539D1">
            <w:pPr>
              <w:pStyle w:val="TabNumeri"/>
            </w:pPr>
            <w:r w:rsidRPr="001C3BCB">
              <w:t>155,9</w:t>
            </w:r>
          </w:p>
        </w:tc>
        <w:tc>
          <w:tcPr>
            <w:tcW w:w="340" w:type="dxa"/>
            <w:shd w:val="clear" w:color="auto" w:fill="EAF1DD" w:themeFill="accent3" w:themeFillTint="33"/>
          </w:tcPr>
          <w:p w14:paraId="3705F5EC" w14:textId="77777777" w:rsidR="00EE3209" w:rsidRDefault="00EE3209" w:rsidP="001539D1">
            <w:pPr>
              <w:pStyle w:val="TabNumeri"/>
            </w:pPr>
          </w:p>
        </w:tc>
        <w:tc>
          <w:tcPr>
            <w:tcW w:w="1361" w:type="dxa"/>
            <w:shd w:val="clear" w:color="auto" w:fill="EAF1DD" w:themeFill="accent3" w:themeFillTint="33"/>
          </w:tcPr>
          <w:p w14:paraId="7AB839C5" w14:textId="77777777" w:rsidR="00EE3209" w:rsidRPr="00D32E0A" w:rsidRDefault="00EE3209" w:rsidP="001539D1">
            <w:pPr>
              <w:pStyle w:val="TabNumeri"/>
            </w:pPr>
            <w:r w:rsidRPr="00F44C85">
              <w:t>157,1</w:t>
            </w:r>
          </w:p>
        </w:tc>
        <w:tc>
          <w:tcPr>
            <w:tcW w:w="340" w:type="dxa"/>
            <w:shd w:val="clear" w:color="auto" w:fill="EAF1DD" w:themeFill="accent3" w:themeFillTint="33"/>
          </w:tcPr>
          <w:p w14:paraId="088D2F02" w14:textId="77777777" w:rsidR="00EE3209" w:rsidRDefault="00EE3209" w:rsidP="001539D1">
            <w:pPr>
              <w:pStyle w:val="TabNumeri"/>
            </w:pPr>
          </w:p>
        </w:tc>
      </w:tr>
      <w:tr w:rsidR="00EE3209" w:rsidRPr="00D76DB6" w14:paraId="175B1802" w14:textId="77777777" w:rsidTr="001539D1">
        <w:tblPrEx>
          <w:tblBorders>
            <w:bottom w:val="none" w:sz="0" w:space="0" w:color="auto"/>
          </w:tblBorders>
        </w:tblPrEx>
        <w:trPr>
          <w:cantSplit/>
        </w:trPr>
        <w:tc>
          <w:tcPr>
            <w:tcW w:w="9356" w:type="dxa"/>
            <w:gridSpan w:val="9"/>
            <w:tcBorders>
              <w:top w:val="single" w:sz="4" w:space="0" w:color="A50021"/>
            </w:tcBorders>
          </w:tcPr>
          <w:p w14:paraId="61ECF175" w14:textId="77777777" w:rsidR="00EE3209" w:rsidRPr="00836F7C" w:rsidRDefault="00EE3209" w:rsidP="001539D1">
            <w:pPr>
              <w:pStyle w:val="TabNoteSuperiori"/>
            </w:pPr>
            <w:r>
              <w:t>a</w:t>
            </w:r>
            <w:r w:rsidRPr="00D76DB6">
              <w:t>] Tasso percentuale. [</w:t>
            </w:r>
            <w:r>
              <w:t>b</w:t>
            </w:r>
            <w:r w:rsidRPr="00D76DB6">
              <w:t xml:space="preserve">] Percentuale sul Pil. </w:t>
            </w:r>
            <w:r w:rsidRPr="000125CF">
              <w:t>[1] Variazioni del PIL e delle sue componenti stimate su dati trimestrali destagionalizzati e corretti per il numero di giornate.</w:t>
            </w:r>
            <w:r>
              <w:t xml:space="preserve"> </w:t>
            </w:r>
            <w:r w:rsidRPr="00D76DB6">
              <w:t>[</w:t>
            </w:r>
            <w:r>
              <w:t>2</w:t>
            </w:r>
            <w:r w:rsidRPr="00D76DB6">
              <w:t xml:space="preserve">] </w:t>
            </w:r>
            <w:r>
              <w:t xml:space="preserve">Persone. [3] </w:t>
            </w:r>
            <w:r w:rsidRPr="00D76DB6">
              <w:t xml:space="preserve">Unità di lavoro standard. </w:t>
            </w:r>
            <w:r>
              <w:t>[4</w:t>
            </w:r>
            <w:r w:rsidRPr="00D76DB6">
              <w:t xml:space="preserve">] </w:t>
            </w:r>
            <w:r w:rsidRPr="00836F7C">
              <w:t xml:space="preserve">Bilancia commerciale (in % del Pil). </w:t>
            </w:r>
          </w:p>
          <w:p w14:paraId="59F7ED65" w14:textId="77777777" w:rsidR="00EE3209" w:rsidRPr="00D76DB6" w:rsidRDefault="00EE3209" w:rsidP="001539D1">
            <w:pPr>
              <w:pStyle w:val="TabNoteInferiori"/>
            </w:pPr>
            <w:r w:rsidRPr="00836F7C">
              <w:t xml:space="preserve">Fonte Istat, Pil e indebitamento AP, Prezzi al consumo, Occupati e disoccupati; Fmi, World </w:t>
            </w:r>
            <w:proofErr w:type="spellStart"/>
            <w:r w:rsidRPr="00836F7C">
              <w:t>Economic</w:t>
            </w:r>
            <w:proofErr w:type="spellEnd"/>
            <w:r w:rsidRPr="00836F7C">
              <w:t xml:space="preserve"> Outlook; Banca d’Italia, Bollettino economico; Prometeia, Rapporto di Previsione.</w:t>
            </w:r>
          </w:p>
        </w:tc>
      </w:tr>
    </w:tbl>
    <w:p w14:paraId="573448CB" w14:textId="77777777" w:rsidR="000D5FD4" w:rsidRPr="004D394B" w:rsidRDefault="000D5FD4" w:rsidP="000D5FD4">
      <w:r w:rsidRPr="004D394B">
        <w:t>La pandemia ha fortemente colpito le esportazioni di merci e servizi, ma in particolare il turismo. Nel 2020 le esportazioni di merci e servizi si sono ridotte del 14,5 per cento. Se si considerano solo le merci la flessione è stata del 10,7 per cento. La caduta dei flussi turistici in entrata ha toccato il 60,4 per cento. Secondo Prometeia, la ripresa del commercio mondiale determinerà una netta ripresa dalle vendite estere di beni (+12,0 per cento), mentre i servizi continueranno a risentire della debolezza dei flussi turistici internazionali e le esportazioni di beni e servizi dovrebbero aumentare in misura più contenuta (+10,5 per cento). Il Fondo monetario internazionale appare più cauto, ma prospetta comunque una ripresa dell’export del 9,6 per cento.</w:t>
      </w:r>
    </w:p>
    <w:p w14:paraId="0BD97AED" w14:textId="77777777" w:rsidR="000D5FD4" w:rsidRPr="004D394B" w:rsidRDefault="000D5FD4" w:rsidP="000D5FD4">
      <w:r w:rsidRPr="004D394B">
        <w:t>L’inflazione è tornata al centro dell’attenzione a causa delle tensioni sulle quotazioni delle materie prime, sia del petrolio che delle altre commodities, che, insieme con l’aumento dei noli marittimi, si sono riflessi sui prezzi di molti beni intermedi importati e premono sui prezzi alla produzione. Nel 2020, l’effetto della caduta della domanda ha superato quello della diminuzione dell’offerta. Istat ha rilevato una variazione negativa dell’indice armonizzato dei prezzi al consumo nel 2020 (-0,1 per cento). Le tensioni dal lato dell’offerta, nelle proiezioni, determineranno un rimbalzo dei prezzi nel 2021, poco al di sopra dell’uno per cento (+1,3 per cento) per Prometeia, più contenuto per il Fmi (+0,8 per cento), che dovrebbe tendere a rientrare nel 2022 con il venire meno delle tensioni sulle materie prime.</w:t>
      </w:r>
    </w:p>
    <w:p w14:paraId="314D8E25" w14:textId="76EA883E" w:rsidR="000D5FD4" w:rsidRPr="004D394B" w:rsidRDefault="000D5FD4" w:rsidP="000D5FD4">
      <w:r w:rsidRPr="004D394B">
        <w:lastRenderedPageBreak/>
        <w:t>Gli effetti della pandemia sul mercato del lavoro appaiono diseguali per tipologie di lavoratori e settori. nel 2020 sono crollate le ore lavorate, ma grazie alle misure a difesa dell’occupazione la riduzione degli occupati è stata contenuta (-2,0 per cento). La tendenza negativa per l’occupazione proseguirà nel 2021 (-0,7 per cento per il Fmi), nonostante la parziale ripresa delle ore lavorate (+5,5 per cento le unità di lavoro per Prometeia). L’aumento dei disoccupati è stato ancora più contenuto per la temporanea uscita dal mercato del lavoro di molte tipologie di lavoratori non protetti, che ha determinato una riduzione delle forze lavoro del 2,6 per cento nel 2020, cui seguirà una parziale ripresa quest’anno (+1,0 per cento). L’uscita dal mercato del lavoro ha determin</w:t>
      </w:r>
      <w:r w:rsidR="00897A4F">
        <w:t>a</w:t>
      </w:r>
      <w:r w:rsidRPr="004D394B">
        <w:t>t</w:t>
      </w:r>
      <w:r w:rsidR="00897A4F">
        <w:t>o</w:t>
      </w:r>
      <w:r w:rsidRPr="004D394B">
        <w:t xml:space="preserve"> una riduzione del tasso di disoccupazione nel 2020 (9,1 per cento), che però aumenterà sensibilmente nel 2021 (attorno al 10,5 per cento) con il ritorno sul mercato del lavoro dei lavoratori precedentemente usciti.</w:t>
      </w:r>
    </w:p>
    <w:p w14:paraId="0752F630" w14:textId="77777777" w:rsidR="000D5FD4" w:rsidRPr="004D394B" w:rsidRDefault="000D5FD4" w:rsidP="000D5FD4">
      <w:r w:rsidRPr="004D394B">
        <w:t>La dinamica dei prestiti alle imprese si conferma vivace, con una domanda ancora elevata di finanziamenti garantiti dallo Stato; le condizioni offerta si sono mantenute distese. Sia il costo della raccolta bancaria sia i tassi sui nuovi prestiti sono rimasti invariati su livelli molto bassi. Il tasso di deterioramento del credito è lievemente aumentato, pur rimanendo su valori contenuti grazie anche all’effetto delle misure a sostegno della liquidità. Secondo i dati provvisori di Banca d’Italia, riferiti allo scorso febbraio, la crescita del credito al settore privato non finanziario continua sostenuta sui 12 mesi (+5,1 per cento), grazie alle misure governative a sostegno della liquidità e nonostante un rallentamento dei finanziamenti alle società non finanziarie (+7,6 per cento), dato l’ampio ricorso ai finanziamenti coperti da garanzia pubblica. In particolare, rallenta la forte crescita del credito alla manifattura (+12,4 per cento) e ai servizi (+6,9 per cento), mentre accelera leggermente l’aumento del credito alle costruzioni (+1,7 per cento). Prosegue la crescita del credito alle famiglie (+2,4 per cento) rispetto a un anno prima, determinata dai mutui per l’acquisto di abitazioni e dalla crescita degli altri finanziamenti - che includono quelli alle famiglie produttrici che pure hanno beneficiato delle misure di sostegno alla liquidità - mentre flette il credito al consumo. A febbraio il tasso di crescita della raccolta delle banche italiane è aumentato, per effetto della forte accelerazione dei depositi dei residenti (+10,2 per cento) e dell’espansione delle passività verso l’Eurosistema (+73,5 per cento). L’azione della Banca centrale europea mantiene basso il costo della raccolta. A metà aprile i rendimenti delle obbligazioni bancarie sono rimasti invariati all’1,2 per cento, valore prossimo a quelli precedenti l’emergenza sanitaria. Nel quarto trimestre il flusso di crediti deteriorati in rapporto al totale dei finanziamenti è salito all’1,1 per cento dallo 0,9 del trimestre precedente contenuto dalle misure governative di sostegno al credito (moratorie e garanzie sui nuovi prestiti), al reddito delle famiglie e all’attività delle imprese.</w:t>
      </w:r>
    </w:p>
    <w:p w14:paraId="14BB53A0" w14:textId="1E799BF4" w:rsidR="000D5FD4" w:rsidRPr="004D394B" w:rsidRDefault="000D5FD4" w:rsidP="000D5FD4">
      <w:r w:rsidRPr="004D394B">
        <w:t xml:space="preserve">La politica fiscale è impiegata con decisione per fronteggiare la pandemia, i suoi effetti economici e sociali e la recessione. Ulteriori interventi sono attesi. Nuove spese, riduzioni delle entrate, sospensioni, proroghe e cancellazioni di imposte e ammortizzatori automatici hanno determinato un eccezionale innalzamento del rapporto tra deficit pubblico e prodotto interno lordo, che ha toccato il 9,5 per cento nel 2020. Nel 2021 saranno necessari ulteriori interventi per l’emergenza sanitaria e per garantire un’uscita graduale dalle politiche di supporto all’economia. In percentuale del Pil l’indebitamento pubblico dovrebbe rientrare solo lievemente nel 2021 (8,8 per cento). Dato l’ampio impiego della politica fiscale e la caduta del Pil, il rapporto tra debito pubblico e Pil ha subito un deciso e importante appesantimento, </w:t>
      </w:r>
      <w:bookmarkStart w:id="3" w:name="_Hlk63701137"/>
      <w:r w:rsidRPr="004D394B">
        <w:t xml:space="preserve">passando dal 134,6 per cento del 2019 </w:t>
      </w:r>
      <w:bookmarkEnd w:id="3"/>
      <w:r w:rsidRPr="004D394B">
        <w:t>al 155,6 per cento nel 2020 e aumenterà ancora lievemente al 155,9 per cento nel 2021. Poiché il saldo primario resterà negativo anche successivamente, solo la ripresa della crescita potrà contenere o ridurre il rapporto tra debito pubblico e prodotto interno lordo. L’interconnessione tra l’elevato debito pubblico e il sistema bancario resta il rischio di fondo principale per la finanza nazionale. Il fattore determinante per l’evoluzione del rapporto tra debito pubblico e Pil e per la sua sostenibilità sarà dato dal ritmo di crescita successivo all’uscita dalla crisi.</w:t>
      </w:r>
    </w:p>
    <w:p w14:paraId="103A8E17" w14:textId="33B99D42" w:rsidR="00F858D8" w:rsidRDefault="002B3250" w:rsidP="00F858D8">
      <w:pPr>
        <w:pStyle w:val="Titolo2"/>
      </w:pPr>
      <w:r>
        <w:t xml:space="preserve">L’economia </w:t>
      </w:r>
      <w:r w:rsidR="00F858D8">
        <w:t>regionale</w:t>
      </w:r>
      <w:bookmarkEnd w:id="1"/>
    </w:p>
    <w:p w14:paraId="6078BBC1" w14:textId="77777777" w:rsidR="00D2518E" w:rsidRDefault="00D2518E" w:rsidP="00D2518E">
      <w:r w:rsidRPr="00E266FB">
        <w:t xml:space="preserve">La caduta stimata del prodotto interno lordo per il 2020 dovrebbe essere stata del 9,0 per cento, decisamente superiore a quella del 2009. La prospettiva per il 2021 è di una ripresa parziale del prodotto interno lordo pari al 5,5 per cento, contenuta dalla persistente diffusione della pandemia nella prima metà dell’anno in corso. Il Pil regionale in termini reali nel 2021 dovrebbe risultare superiore solo del 4,8 per cento rispetto ai livelli minimi toccati al culmine della crisi nel 2009 e solo del 6,9 per cento a quello del 2000. </w:t>
      </w:r>
    </w:p>
    <w:p w14:paraId="12C7B6C1" w14:textId="77777777" w:rsidR="00D2518E" w:rsidRDefault="00D2518E" w:rsidP="00D2518E">
      <w:r>
        <w:t xml:space="preserve">A causa delle limitazioni imposte dalla pandemia e della riduzione del reddito disponibile, nel 2020 i consumi delle famiglie (-12,0 per cento) si sono ridotti ben più del Pil. Gli stessi fattori limiteranno la ripresa dei consumi anche nel 2021 (+4,2 per cento), al di sotto della dinamica del Pil. Gli effetti della recessione sul tenore di vita sono evidenti. Nel 2021 i consumi privati aggregati risulteranno inferiori del 6,0 per cento </w:t>
      </w:r>
      <w:r>
        <w:lastRenderedPageBreak/>
        <w:t>rispetto a quelli del picco del 2011, ma con un ulteriore aumento della diseguaglianza, derivante dall’asimmetria degli effetti dei blocchi dell’attività su settori e categorie lavorative.</w:t>
      </w:r>
    </w:p>
    <w:tbl>
      <w:tblPr>
        <w:tblpPr w:topFromText="284" w:bottomFromText="284" w:horzAnchor="margin" w:tblpXSpec="center" w:tblpYSpec="top"/>
        <w:tblOverlap w:val="never"/>
        <w:tblW w:w="9356" w:type="dxa"/>
        <w:tblLayout w:type="fixed"/>
        <w:tblCellMar>
          <w:left w:w="0" w:type="dxa"/>
          <w:right w:w="0" w:type="dxa"/>
        </w:tblCellMar>
        <w:tblLook w:val="0000" w:firstRow="0" w:lastRow="0" w:firstColumn="0" w:lastColumn="0" w:noHBand="0" w:noVBand="0"/>
      </w:tblPr>
      <w:tblGrid>
        <w:gridCol w:w="4820"/>
        <w:gridCol w:w="1134"/>
        <w:gridCol w:w="1134"/>
        <w:gridCol w:w="1134"/>
        <w:gridCol w:w="1134"/>
      </w:tblGrid>
      <w:tr w:rsidR="00EE3209" w:rsidRPr="007C570B" w14:paraId="4325C080" w14:textId="77777777" w:rsidTr="001539D1">
        <w:trPr>
          <w:cantSplit/>
        </w:trPr>
        <w:tc>
          <w:tcPr>
            <w:tcW w:w="9356" w:type="dxa"/>
            <w:gridSpan w:val="5"/>
            <w:tcBorders>
              <w:bottom w:val="single" w:sz="4" w:space="0" w:color="800000"/>
            </w:tcBorders>
          </w:tcPr>
          <w:p w14:paraId="688EA390" w14:textId="77777777" w:rsidR="00EE3209" w:rsidRPr="007C570B" w:rsidRDefault="00EE3209" w:rsidP="001539D1">
            <w:pPr>
              <w:pStyle w:val="TabTitolo"/>
              <w:ind w:left="1134" w:hanging="1134"/>
            </w:pPr>
            <w:r>
              <w:t>Previsione per l’Emilia-Romagna. Tassi di variazione percentuali</w:t>
            </w:r>
            <w:r w:rsidRPr="007C570B">
              <w:t xml:space="preserve"> su valori </w:t>
            </w:r>
            <w:r>
              <w:t xml:space="preserve">concatenati, anno di </w:t>
            </w:r>
            <w:proofErr w:type="spellStart"/>
            <w:r>
              <w:t>riferim</w:t>
            </w:r>
            <w:proofErr w:type="spellEnd"/>
            <w:r>
              <w:t>. 2015</w:t>
            </w:r>
          </w:p>
        </w:tc>
      </w:tr>
      <w:tr w:rsidR="00EE3209" w:rsidRPr="0085406E" w14:paraId="2E88D182" w14:textId="77777777" w:rsidTr="001539D1">
        <w:trPr>
          <w:cantSplit/>
        </w:trPr>
        <w:tc>
          <w:tcPr>
            <w:tcW w:w="4820" w:type="dxa"/>
            <w:tcBorders>
              <w:bottom w:val="single" w:sz="4" w:space="0" w:color="800000"/>
            </w:tcBorders>
            <w:vAlign w:val="bottom"/>
          </w:tcPr>
          <w:p w14:paraId="1A56CBA3" w14:textId="77777777" w:rsidR="00EE3209" w:rsidRDefault="00EE3209" w:rsidP="001539D1">
            <w:pPr>
              <w:pStyle w:val="TabIntestazioni"/>
              <w:rPr>
                <w:rFonts w:eastAsia="Arial Unicode MS"/>
              </w:rPr>
            </w:pPr>
          </w:p>
        </w:tc>
        <w:tc>
          <w:tcPr>
            <w:tcW w:w="1134" w:type="dxa"/>
            <w:tcBorders>
              <w:bottom w:val="single" w:sz="4" w:space="0" w:color="800000"/>
            </w:tcBorders>
          </w:tcPr>
          <w:p w14:paraId="0ECEFD97" w14:textId="77777777" w:rsidR="00EE3209" w:rsidRPr="0085406E" w:rsidRDefault="00EE3209" w:rsidP="001539D1">
            <w:pPr>
              <w:pStyle w:val="TabIntestazioni"/>
              <w:jc w:val="right"/>
            </w:pPr>
            <w:r w:rsidRPr="0085406E">
              <w:t>2019</w:t>
            </w:r>
          </w:p>
        </w:tc>
        <w:tc>
          <w:tcPr>
            <w:tcW w:w="1134" w:type="dxa"/>
            <w:tcBorders>
              <w:bottom w:val="single" w:sz="4" w:space="0" w:color="800000"/>
            </w:tcBorders>
          </w:tcPr>
          <w:p w14:paraId="35E3475F" w14:textId="77777777" w:rsidR="00EE3209" w:rsidRPr="0085406E" w:rsidRDefault="00EE3209" w:rsidP="001539D1">
            <w:pPr>
              <w:pStyle w:val="TabIntestazioni"/>
              <w:jc w:val="right"/>
            </w:pPr>
            <w:r w:rsidRPr="0085406E">
              <w:t>20</w:t>
            </w:r>
            <w:r>
              <w:t>20</w:t>
            </w:r>
          </w:p>
        </w:tc>
        <w:tc>
          <w:tcPr>
            <w:tcW w:w="1134" w:type="dxa"/>
            <w:tcBorders>
              <w:bottom w:val="single" w:sz="4" w:space="0" w:color="800000"/>
            </w:tcBorders>
          </w:tcPr>
          <w:p w14:paraId="6B35E638" w14:textId="77777777" w:rsidR="00EE3209" w:rsidRPr="0085406E" w:rsidRDefault="00EE3209" w:rsidP="001539D1">
            <w:pPr>
              <w:pStyle w:val="TabIntestazioni"/>
              <w:jc w:val="right"/>
            </w:pPr>
            <w:r w:rsidRPr="0085406E">
              <w:t>20</w:t>
            </w:r>
            <w:r>
              <w:t>21</w:t>
            </w:r>
          </w:p>
        </w:tc>
        <w:tc>
          <w:tcPr>
            <w:tcW w:w="1134" w:type="dxa"/>
            <w:tcBorders>
              <w:bottom w:val="single" w:sz="4" w:space="0" w:color="800000"/>
            </w:tcBorders>
          </w:tcPr>
          <w:p w14:paraId="0DCDE2F7" w14:textId="77777777" w:rsidR="00EE3209" w:rsidRPr="0085406E" w:rsidRDefault="00EE3209" w:rsidP="001539D1">
            <w:pPr>
              <w:pStyle w:val="TabIntestazioni"/>
              <w:jc w:val="right"/>
            </w:pPr>
            <w:r w:rsidRPr="0085406E">
              <w:t>20</w:t>
            </w:r>
            <w:r>
              <w:t>22</w:t>
            </w:r>
          </w:p>
        </w:tc>
      </w:tr>
      <w:tr w:rsidR="00EE3209" w:rsidRPr="0085406E" w14:paraId="3A068731" w14:textId="77777777" w:rsidTr="001539D1">
        <w:trPr>
          <w:cantSplit/>
          <w:trHeight w:hRule="exact" w:val="57"/>
        </w:trPr>
        <w:tc>
          <w:tcPr>
            <w:tcW w:w="4820" w:type="dxa"/>
            <w:tcBorders>
              <w:top w:val="single" w:sz="4" w:space="0" w:color="800000"/>
            </w:tcBorders>
          </w:tcPr>
          <w:p w14:paraId="51DA2F68" w14:textId="77777777" w:rsidR="00EE3209" w:rsidRPr="00686A56" w:rsidRDefault="00EE3209" w:rsidP="001539D1">
            <w:pPr>
              <w:pStyle w:val="TabEtichette"/>
              <w:rPr>
                <w:rFonts w:eastAsia="Arial Unicode MS"/>
              </w:rPr>
            </w:pPr>
          </w:p>
        </w:tc>
        <w:tc>
          <w:tcPr>
            <w:tcW w:w="1134" w:type="dxa"/>
            <w:tcBorders>
              <w:top w:val="single" w:sz="4" w:space="0" w:color="800000"/>
            </w:tcBorders>
          </w:tcPr>
          <w:p w14:paraId="3A59980D" w14:textId="77777777" w:rsidR="00EE3209" w:rsidRPr="0085406E" w:rsidRDefault="00EE3209" w:rsidP="001539D1"/>
        </w:tc>
        <w:tc>
          <w:tcPr>
            <w:tcW w:w="1134" w:type="dxa"/>
            <w:tcBorders>
              <w:top w:val="single" w:sz="4" w:space="0" w:color="800000"/>
            </w:tcBorders>
          </w:tcPr>
          <w:p w14:paraId="1A2AFA73" w14:textId="77777777" w:rsidR="00EE3209" w:rsidRPr="0085406E" w:rsidRDefault="00EE3209" w:rsidP="001539D1"/>
        </w:tc>
        <w:tc>
          <w:tcPr>
            <w:tcW w:w="1134" w:type="dxa"/>
            <w:tcBorders>
              <w:top w:val="single" w:sz="4" w:space="0" w:color="800000"/>
            </w:tcBorders>
          </w:tcPr>
          <w:p w14:paraId="7DD6CB71" w14:textId="77777777" w:rsidR="00EE3209" w:rsidRPr="0085406E" w:rsidRDefault="00EE3209" w:rsidP="001539D1"/>
        </w:tc>
        <w:tc>
          <w:tcPr>
            <w:tcW w:w="1134" w:type="dxa"/>
            <w:tcBorders>
              <w:top w:val="single" w:sz="4" w:space="0" w:color="800000"/>
            </w:tcBorders>
          </w:tcPr>
          <w:p w14:paraId="34479AB3" w14:textId="77777777" w:rsidR="00EE3209" w:rsidRPr="0085406E" w:rsidRDefault="00EE3209" w:rsidP="001539D1"/>
        </w:tc>
      </w:tr>
      <w:tr w:rsidR="00EE3209" w:rsidRPr="0085406E" w14:paraId="3B489AFD" w14:textId="77777777" w:rsidTr="001539D1">
        <w:trPr>
          <w:cantSplit/>
          <w:trHeight w:val="227"/>
        </w:trPr>
        <w:tc>
          <w:tcPr>
            <w:tcW w:w="4820" w:type="dxa"/>
          </w:tcPr>
          <w:p w14:paraId="277D2530" w14:textId="77777777" w:rsidR="00EE3209" w:rsidRPr="00F039B7" w:rsidRDefault="00EE3209" w:rsidP="001539D1">
            <w:pPr>
              <w:pStyle w:val="TabEtichetteBold"/>
              <w:rPr>
                <w:rFonts w:eastAsia="Arial Unicode MS"/>
              </w:rPr>
            </w:pPr>
            <w:r w:rsidRPr="00F039B7">
              <w:t>Conto economico</w:t>
            </w:r>
          </w:p>
        </w:tc>
        <w:tc>
          <w:tcPr>
            <w:tcW w:w="1134" w:type="dxa"/>
          </w:tcPr>
          <w:p w14:paraId="070879BC" w14:textId="77777777" w:rsidR="00EE3209" w:rsidRPr="0085406E" w:rsidRDefault="00EE3209" w:rsidP="001539D1">
            <w:pPr>
              <w:pStyle w:val="tabnum"/>
            </w:pPr>
          </w:p>
        </w:tc>
        <w:tc>
          <w:tcPr>
            <w:tcW w:w="1134" w:type="dxa"/>
          </w:tcPr>
          <w:p w14:paraId="6B32C5DC" w14:textId="77777777" w:rsidR="00EE3209" w:rsidRPr="0085406E" w:rsidRDefault="00EE3209" w:rsidP="001539D1">
            <w:pPr>
              <w:pStyle w:val="tabnum"/>
            </w:pPr>
          </w:p>
        </w:tc>
        <w:tc>
          <w:tcPr>
            <w:tcW w:w="1134" w:type="dxa"/>
          </w:tcPr>
          <w:p w14:paraId="15DD7B57" w14:textId="77777777" w:rsidR="00EE3209" w:rsidRPr="0085406E" w:rsidRDefault="00EE3209" w:rsidP="001539D1">
            <w:pPr>
              <w:pStyle w:val="tabnum"/>
            </w:pPr>
          </w:p>
        </w:tc>
        <w:tc>
          <w:tcPr>
            <w:tcW w:w="1134" w:type="dxa"/>
          </w:tcPr>
          <w:p w14:paraId="6CD17A2A" w14:textId="77777777" w:rsidR="00EE3209" w:rsidRPr="0085406E" w:rsidRDefault="00EE3209" w:rsidP="001539D1">
            <w:pPr>
              <w:pStyle w:val="tabnum"/>
            </w:pPr>
          </w:p>
        </w:tc>
      </w:tr>
      <w:tr w:rsidR="00EE3209" w:rsidRPr="00AE376F" w14:paraId="05E669A3" w14:textId="77777777" w:rsidTr="001539D1">
        <w:trPr>
          <w:cantSplit/>
          <w:trHeight w:val="227"/>
        </w:trPr>
        <w:tc>
          <w:tcPr>
            <w:tcW w:w="4820" w:type="dxa"/>
            <w:shd w:val="clear" w:color="auto" w:fill="DAEEF3" w:themeFill="accent5" w:themeFillTint="33"/>
          </w:tcPr>
          <w:p w14:paraId="6B6EADF4" w14:textId="77777777" w:rsidR="00EE3209" w:rsidRDefault="00EE3209" w:rsidP="001539D1">
            <w:pPr>
              <w:pStyle w:val="TabEtichette"/>
              <w:rPr>
                <w:rFonts w:eastAsia="Arial Unicode MS"/>
              </w:rPr>
            </w:pPr>
            <w:r>
              <w:t>Prodotto interno lordo</w:t>
            </w:r>
          </w:p>
        </w:tc>
        <w:tc>
          <w:tcPr>
            <w:tcW w:w="1134" w:type="dxa"/>
            <w:shd w:val="clear" w:color="auto" w:fill="DAEEF3" w:themeFill="accent5" w:themeFillTint="33"/>
          </w:tcPr>
          <w:p w14:paraId="101465E0" w14:textId="77777777" w:rsidR="00EE3209" w:rsidRPr="00AE376F" w:rsidRDefault="00EE3209" w:rsidP="001539D1">
            <w:pPr>
              <w:pStyle w:val="TabNumeri"/>
            </w:pPr>
            <w:r w:rsidRPr="007C5924">
              <w:t>0,7</w:t>
            </w:r>
          </w:p>
        </w:tc>
        <w:tc>
          <w:tcPr>
            <w:tcW w:w="1134" w:type="dxa"/>
            <w:shd w:val="clear" w:color="auto" w:fill="DAEEF3" w:themeFill="accent5" w:themeFillTint="33"/>
          </w:tcPr>
          <w:p w14:paraId="7994FC24" w14:textId="77777777" w:rsidR="00EE3209" w:rsidRPr="00AE376F" w:rsidRDefault="00EE3209" w:rsidP="001539D1">
            <w:pPr>
              <w:pStyle w:val="TabNumeri"/>
            </w:pPr>
            <w:r w:rsidRPr="007C5924">
              <w:t>-9,0</w:t>
            </w:r>
          </w:p>
        </w:tc>
        <w:tc>
          <w:tcPr>
            <w:tcW w:w="1134" w:type="dxa"/>
            <w:shd w:val="clear" w:color="auto" w:fill="DAEEF3" w:themeFill="accent5" w:themeFillTint="33"/>
          </w:tcPr>
          <w:p w14:paraId="6399F300" w14:textId="77777777" w:rsidR="00EE3209" w:rsidRPr="00AE376F" w:rsidRDefault="00EE3209" w:rsidP="001539D1">
            <w:pPr>
              <w:pStyle w:val="TabNumeri"/>
            </w:pPr>
            <w:r w:rsidRPr="007C5924">
              <w:t>5,5</w:t>
            </w:r>
          </w:p>
        </w:tc>
        <w:tc>
          <w:tcPr>
            <w:tcW w:w="1134" w:type="dxa"/>
            <w:shd w:val="clear" w:color="auto" w:fill="DAEEF3" w:themeFill="accent5" w:themeFillTint="33"/>
          </w:tcPr>
          <w:p w14:paraId="240C4601" w14:textId="77777777" w:rsidR="00EE3209" w:rsidRPr="00AE376F" w:rsidRDefault="00EE3209" w:rsidP="001539D1">
            <w:pPr>
              <w:pStyle w:val="TabNumeri"/>
            </w:pPr>
            <w:r w:rsidRPr="007C5924">
              <w:t>4,6</w:t>
            </w:r>
          </w:p>
        </w:tc>
      </w:tr>
      <w:tr w:rsidR="00EE3209" w:rsidRPr="00AE376F" w14:paraId="55F601A4" w14:textId="77777777" w:rsidTr="001539D1">
        <w:trPr>
          <w:cantSplit/>
          <w:trHeight w:val="227"/>
        </w:trPr>
        <w:tc>
          <w:tcPr>
            <w:tcW w:w="4820" w:type="dxa"/>
          </w:tcPr>
          <w:p w14:paraId="736F3A73" w14:textId="77777777" w:rsidR="00EE3209" w:rsidRDefault="00EE3209" w:rsidP="001539D1">
            <w:pPr>
              <w:pStyle w:val="TabEtichette"/>
              <w:rPr>
                <w:rFonts w:eastAsia="Arial Unicode MS"/>
              </w:rPr>
            </w:pPr>
            <w:r>
              <w:t xml:space="preserve">Domanda </w:t>
            </w:r>
            <w:proofErr w:type="gramStart"/>
            <w:r>
              <w:t>interna</w:t>
            </w:r>
            <w:r>
              <w:rPr>
                <w:vertAlign w:val="superscript"/>
              </w:rPr>
              <w:t>(</w:t>
            </w:r>
            <w:proofErr w:type="gramEnd"/>
            <w:r>
              <w:rPr>
                <w:vertAlign w:val="superscript"/>
              </w:rPr>
              <w:t>1</w:t>
            </w:r>
            <w:r w:rsidRPr="002F2B82">
              <w:rPr>
                <w:vertAlign w:val="superscript"/>
              </w:rPr>
              <w:t>)</w:t>
            </w:r>
          </w:p>
        </w:tc>
        <w:tc>
          <w:tcPr>
            <w:tcW w:w="1134" w:type="dxa"/>
          </w:tcPr>
          <w:p w14:paraId="0D223C60" w14:textId="77777777" w:rsidR="00EE3209" w:rsidRPr="00AE376F" w:rsidRDefault="00EE3209" w:rsidP="001539D1">
            <w:pPr>
              <w:pStyle w:val="TabNumeri"/>
            </w:pPr>
            <w:r w:rsidRPr="007C5924">
              <w:t>0,7</w:t>
            </w:r>
          </w:p>
        </w:tc>
        <w:tc>
          <w:tcPr>
            <w:tcW w:w="1134" w:type="dxa"/>
          </w:tcPr>
          <w:p w14:paraId="7572E63E" w14:textId="77777777" w:rsidR="00EE3209" w:rsidRPr="00AE376F" w:rsidRDefault="00EE3209" w:rsidP="001539D1">
            <w:pPr>
              <w:pStyle w:val="TabNumeri"/>
            </w:pPr>
            <w:r w:rsidRPr="007C5924">
              <w:t>-9,2</w:t>
            </w:r>
          </w:p>
        </w:tc>
        <w:tc>
          <w:tcPr>
            <w:tcW w:w="1134" w:type="dxa"/>
          </w:tcPr>
          <w:p w14:paraId="53F7E1A4" w14:textId="77777777" w:rsidR="00EE3209" w:rsidRPr="00AE376F" w:rsidRDefault="00EE3209" w:rsidP="001539D1">
            <w:pPr>
              <w:pStyle w:val="TabNumeri"/>
            </w:pPr>
            <w:r w:rsidRPr="007C5924">
              <w:t>6,2</w:t>
            </w:r>
          </w:p>
        </w:tc>
        <w:tc>
          <w:tcPr>
            <w:tcW w:w="1134" w:type="dxa"/>
          </w:tcPr>
          <w:p w14:paraId="67983A00" w14:textId="77777777" w:rsidR="00EE3209" w:rsidRPr="00AE376F" w:rsidRDefault="00EE3209" w:rsidP="001539D1">
            <w:pPr>
              <w:pStyle w:val="TabNumeri"/>
            </w:pPr>
            <w:r w:rsidRPr="007C5924">
              <w:t>6,3</w:t>
            </w:r>
          </w:p>
        </w:tc>
      </w:tr>
      <w:tr w:rsidR="00EE3209" w:rsidRPr="00AE376F" w14:paraId="23BF2D31" w14:textId="77777777" w:rsidTr="001539D1">
        <w:trPr>
          <w:cantSplit/>
          <w:trHeight w:val="227"/>
        </w:trPr>
        <w:tc>
          <w:tcPr>
            <w:tcW w:w="4820" w:type="dxa"/>
            <w:shd w:val="clear" w:color="auto" w:fill="DAEEF3" w:themeFill="accent5" w:themeFillTint="33"/>
          </w:tcPr>
          <w:p w14:paraId="59A9E324" w14:textId="77777777" w:rsidR="00EE3209" w:rsidRDefault="00EE3209" w:rsidP="001539D1">
            <w:pPr>
              <w:pStyle w:val="TabEtichette"/>
              <w:rPr>
                <w:rFonts w:eastAsia="Arial Unicode MS"/>
              </w:rPr>
            </w:pPr>
            <w:r>
              <w:t xml:space="preserve">   Consumi delle famiglie</w:t>
            </w:r>
          </w:p>
        </w:tc>
        <w:tc>
          <w:tcPr>
            <w:tcW w:w="1134" w:type="dxa"/>
            <w:shd w:val="clear" w:color="auto" w:fill="DAEEF3" w:themeFill="accent5" w:themeFillTint="33"/>
          </w:tcPr>
          <w:p w14:paraId="657BD1DD" w14:textId="77777777" w:rsidR="00EE3209" w:rsidRPr="00AE376F" w:rsidRDefault="00EE3209" w:rsidP="001539D1">
            <w:pPr>
              <w:pStyle w:val="TabNumeri"/>
            </w:pPr>
            <w:r w:rsidRPr="007C5924">
              <w:t>0,5</w:t>
            </w:r>
          </w:p>
        </w:tc>
        <w:tc>
          <w:tcPr>
            <w:tcW w:w="1134" w:type="dxa"/>
            <w:shd w:val="clear" w:color="auto" w:fill="DAEEF3" w:themeFill="accent5" w:themeFillTint="33"/>
          </w:tcPr>
          <w:p w14:paraId="5A2EF9CE" w14:textId="77777777" w:rsidR="00EE3209" w:rsidRPr="00AE376F" w:rsidRDefault="00EE3209" w:rsidP="001539D1">
            <w:pPr>
              <w:pStyle w:val="TabNumeri"/>
            </w:pPr>
            <w:r w:rsidRPr="007C5924">
              <w:t>-12,0</w:t>
            </w:r>
          </w:p>
        </w:tc>
        <w:tc>
          <w:tcPr>
            <w:tcW w:w="1134" w:type="dxa"/>
            <w:shd w:val="clear" w:color="auto" w:fill="DAEEF3" w:themeFill="accent5" w:themeFillTint="33"/>
          </w:tcPr>
          <w:p w14:paraId="57322A9A" w14:textId="77777777" w:rsidR="00EE3209" w:rsidRPr="00AE376F" w:rsidRDefault="00EE3209" w:rsidP="001539D1">
            <w:pPr>
              <w:pStyle w:val="TabNumeri"/>
            </w:pPr>
            <w:r w:rsidRPr="007C5924">
              <w:t>4,2</w:t>
            </w:r>
          </w:p>
        </w:tc>
        <w:tc>
          <w:tcPr>
            <w:tcW w:w="1134" w:type="dxa"/>
            <w:shd w:val="clear" w:color="auto" w:fill="DAEEF3" w:themeFill="accent5" w:themeFillTint="33"/>
          </w:tcPr>
          <w:p w14:paraId="3A993CD3" w14:textId="77777777" w:rsidR="00EE3209" w:rsidRPr="00AE376F" w:rsidRDefault="00EE3209" w:rsidP="001539D1">
            <w:pPr>
              <w:pStyle w:val="TabNumeri"/>
            </w:pPr>
            <w:r w:rsidRPr="007C5924">
              <w:t>6,3</w:t>
            </w:r>
          </w:p>
        </w:tc>
      </w:tr>
      <w:tr w:rsidR="00EE3209" w:rsidRPr="00AE376F" w14:paraId="0F0048EC" w14:textId="77777777" w:rsidTr="001539D1">
        <w:trPr>
          <w:cantSplit/>
          <w:trHeight w:val="227"/>
        </w:trPr>
        <w:tc>
          <w:tcPr>
            <w:tcW w:w="4820" w:type="dxa"/>
          </w:tcPr>
          <w:p w14:paraId="78356FAA" w14:textId="77777777" w:rsidR="00EE3209" w:rsidRDefault="00EE3209" w:rsidP="001539D1">
            <w:pPr>
              <w:pStyle w:val="TabEtichette"/>
              <w:rPr>
                <w:rFonts w:eastAsia="Arial Unicode MS"/>
              </w:rPr>
            </w:pPr>
            <w:r>
              <w:t xml:space="preserve">   Consumi delle AAPP e ISP</w:t>
            </w:r>
          </w:p>
        </w:tc>
        <w:tc>
          <w:tcPr>
            <w:tcW w:w="1134" w:type="dxa"/>
          </w:tcPr>
          <w:p w14:paraId="3509B5CF" w14:textId="77777777" w:rsidR="00EE3209" w:rsidRPr="00AE376F" w:rsidRDefault="00EE3209" w:rsidP="001539D1">
            <w:pPr>
              <w:pStyle w:val="TabNumeri"/>
            </w:pPr>
            <w:r w:rsidRPr="007C5924">
              <w:t>-0,6</w:t>
            </w:r>
          </w:p>
        </w:tc>
        <w:tc>
          <w:tcPr>
            <w:tcW w:w="1134" w:type="dxa"/>
          </w:tcPr>
          <w:p w14:paraId="50909326" w14:textId="77777777" w:rsidR="00EE3209" w:rsidRPr="00AE376F" w:rsidRDefault="00EE3209" w:rsidP="001539D1">
            <w:pPr>
              <w:pStyle w:val="TabNumeri"/>
            </w:pPr>
            <w:r w:rsidRPr="007C5924">
              <w:t>1,4</w:t>
            </w:r>
          </w:p>
        </w:tc>
        <w:tc>
          <w:tcPr>
            <w:tcW w:w="1134" w:type="dxa"/>
          </w:tcPr>
          <w:p w14:paraId="556A078C" w14:textId="77777777" w:rsidR="00EE3209" w:rsidRPr="00AE376F" w:rsidRDefault="00EE3209" w:rsidP="001539D1">
            <w:pPr>
              <w:pStyle w:val="TabNumeri"/>
            </w:pPr>
            <w:r w:rsidRPr="007C5924">
              <w:t>3,8</w:t>
            </w:r>
          </w:p>
        </w:tc>
        <w:tc>
          <w:tcPr>
            <w:tcW w:w="1134" w:type="dxa"/>
          </w:tcPr>
          <w:p w14:paraId="5FB07188" w14:textId="77777777" w:rsidR="00EE3209" w:rsidRPr="00AE376F" w:rsidRDefault="00EE3209" w:rsidP="001539D1">
            <w:pPr>
              <w:pStyle w:val="TabNumeri"/>
            </w:pPr>
            <w:r w:rsidRPr="007C5924">
              <w:t>-0,4</w:t>
            </w:r>
          </w:p>
        </w:tc>
      </w:tr>
      <w:tr w:rsidR="00EE3209" w:rsidRPr="00AE376F" w14:paraId="6E0307C9" w14:textId="77777777" w:rsidTr="001539D1">
        <w:trPr>
          <w:cantSplit/>
          <w:trHeight w:val="227"/>
        </w:trPr>
        <w:tc>
          <w:tcPr>
            <w:tcW w:w="4820" w:type="dxa"/>
            <w:shd w:val="clear" w:color="auto" w:fill="DAEEF3" w:themeFill="accent5" w:themeFillTint="33"/>
          </w:tcPr>
          <w:p w14:paraId="18FA4966" w14:textId="77777777" w:rsidR="00EE3209" w:rsidRDefault="00EE3209" w:rsidP="001539D1">
            <w:pPr>
              <w:pStyle w:val="TabEtichette"/>
              <w:rPr>
                <w:rFonts w:eastAsia="Arial Unicode MS"/>
              </w:rPr>
            </w:pPr>
            <w:r>
              <w:t xml:space="preserve">   Investimenti fissi lordi</w:t>
            </w:r>
          </w:p>
        </w:tc>
        <w:tc>
          <w:tcPr>
            <w:tcW w:w="1134" w:type="dxa"/>
            <w:shd w:val="clear" w:color="auto" w:fill="DAEEF3" w:themeFill="accent5" w:themeFillTint="33"/>
          </w:tcPr>
          <w:p w14:paraId="54DE825B" w14:textId="77777777" w:rsidR="00EE3209" w:rsidRPr="00AE376F" w:rsidRDefault="00EE3209" w:rsidP="001539D1">
            <w:pPr>
              <w:pStyle w:val="TabNumeri"/>
            </w:pPr>
            <w:r w:rsidRPr="007C5924">
              <w:t>2,1</w:t>
            </w:r>
          </w:p>
        </w:tc>
        <w:tc>
          <w:tcPr>
            <w:tcW w:w="1134" w:type="dxa"/>
            <w:shd w:val="clear" w:color="auto" w:fill="DAEEF3" w:themeFill="accent5" w:themeFillTint="33"/>
          </w:tcPr>
          <w:p w14:paraId="773BAEA7" w14:textId="77777777" w:rsidR="00EE3209" w:rsidRPr="00AE376F" w:rsidRDefault="00EE3209" w:rsidP="001539D1">
            <w:pPr>
              <w:pStyle w:val="TabNumeri"/>
            </w:pPr>
            <w:r w:rsidRPr="007C5924">
              <w:t>-8,7</w:t>
            </w:r>
          </w:p>
        </w:tc>
        <w:tc>
          <w:tcPr>
            <w:tcW w:w="1134" w:type="dxa"/>
            <w:shd w:val="clear" w:color="auto" w:fill="DAEEF3" w:themeFill="accent5" w:themeFillTint="33"/>
          </w:tcPr>
          <w:p w14:paraId="47A83574" w14:textId="77777777" w:rsidR="00EE3209" w:rsidRPr="00AE376F" w:rsidRDefault="00EE3209" w:rsidP="001539D1">
            <w:pPr>
              <w:pStyle w:val="TabNumeri"/>
            </w:pPr>
            <w:r w:rsidRPr="007C5924">
              <w:t>14,0</w:t>
            </w:r>
          </w:p>
        </w:tc>
        <w:tc>
          <w:tcPr>
            <w:tcW w:w="1134" w:type="dxa"/>
            <w:shd w:val="clear" w:color="auto" w:fill="DAEEF3" w:themeFill="accent5" w:themeFillTint="33"/>
          </w:tcPr>
          <w:p w14:paraId="1B17757D" w14:textId="77777777" w:rsidR="00EE3209" w:rsidRPr="00AE376F" w:rsidRDefault="00EE3209" w:rsidP="001539D1">
            <w:pPr>
              <w:pStyle w:val="TabNumeri"/>
            </w:pPr>
            <w:r w:rsidRPr="007C5924">
              <w:t>11,2</w:t>
            </w:r>
          </w:p>
        </w:tc>
      </w:tr>
      <w:tr w:rsidR="00EE3209" w:rsidRPr="00AE376F" w14:paraId="37702E0E" w14:textId="77777777" w:rsidTr="001539D1">
        <w:trPr>
          <w:cantSplit/>
          <w:trHeight w:val="227"/>
        </w:trPr>
        <w:tc>
          <w:tcPr>
            <w:tcW w:w="4820" w:type="dxa"/>
          </w:tcPr>
          <w:p w14:paraId="054E9FE3" w14:textId="77777777" w:rsidR="00EE3209" w:rsidRDefault="00EE3209" w:rsidP="001539D1">
            <w:pPr>
              <w:pStyle w:val="TabEtichette"/>
              <w:rPr>
                <w:rFonts w:eastAsia="Arial Unicode MS"/>
              </w:rPr>
            </w:pPr>
            <w:r>
              <w:t>Importazioni di beni dall’estero</w:t>
            </w:r>
          </w:p>
        </w:tc>
        <w:tc>
          <w:tcPr>
            <w:tcW w:w="1134" w:type="dxa"/>
          </w:tcPr>
          <w:p w14:paraId="3458704D" w14:textId="77777777" w:rsidR="00EE3209" w:rsidRPr="00AE376F" w:rsidRDefault="00EE3209" w:rsidP="001539D1">
            <w:pPr>
              <w:pStyle w:val="TabNumeri"/>
            </w:pPr>
            <w:r w:rsidRPr="007C5924">
              <w:t>1,2</w:t>
            </w:r>
          </w:p>
        </w:tc>
        <w:tc>
          <w:tcPr>
            <w:tcW w:w="1134" w:type="dxa"/>
          </w:tcPr>
          <w:p w14:paraId="3FD91396" w14:textId="77777777" w:rsidR="00EE3209" w:rsidRPr="00AE376F" w:rsidRDefault="00EE3209" w:rsidP="001539D1">
            <w:pPr>
              <w:pStyle w:val="TabNumeri"/>
            </w:pPr>
            <w:r w:rsidRPr="007C5924">
              <w:t>-4,8</w:t>
            </w:r>
          </w:p>
        </w:tc>
        <w:tc>
          <w:tcPr>
            <w:tcW w:w="1134" w:type="dxa"/>
          </w:tcPr>
          <w:p w14:paraId="05D144A0" w14:textId="77777777" w:rsidR="00EE3209" w:rsidRPr="00AE376F" w:rsidRDefault="00EE3209" w:rsidP="001539D1">
            <w:pPr>
              <w:pStyle w:val="TabNumeri"/>
            </w:pPr>
            <w:r w:rsidRPr="007C5924">
              <w:t>15,1</w:t>
            </w:r>
          </w:p>
        </w:tc>
        <w:tc>
          <w:tcPr>
            <w:tcW w:w="1134" w:type="dxa"/>
          </w:tcPr>
          <w:p w14:paraId="48426D84" w14:textId="77777777" w:rsidR="00EE3209" w:rsidRPr="00AE376F" w:rsidRDefault="00EE3209" w:rsidP="001539D1">
            <w:pPr>
              <w:pStyle w:val="TabNumeri"/>
            </w:pPr>
            <w:r w:rsidRPr="007C5924">
              <w:t>11,5</w:t>
            </w:r>
          </w:p>
        </w:tc>
      </w:tr>
      <w:tr w:rsidR="00EE3209" w:rsidRPr="00AE376F" w14:paraId="593D1BD0" w14:textId="77777777" w:rsidTr="001539D1">
        <w:trPr>
          <w:cantSplit/>
          <w:trHeight w:val="227"/>
        </w:trPr>
        <w:tc>
          <w:tcPr>
            <w:tcW w:w="4820" w:type="dxa"/>
            <w:shd w:val="clear" w:color="auto" w:fill="DAEEF3" w:themeFill="accent5" w:themeFillTint="33"/>
          </w:tcPr>
          <w:p w14:paraId="65A3A567" w14:textId="77777777" w:rsidR="00EE3209" w:rsidRDefault="00EE3209" w:rsidP="001539D1">
            <w:pPr>
              <w:pStyle w:val="TabEtichette"/>
              <w:rPr>
                <w:rFonts w:eastAsia="Arial Unicode MS"/>
              </w:rPr>
            </w:pPr>
            <w:r>
              <w:t>Esportazioni di beni verso l’estero</w:t>
            </w:r>
          </w:p>
        </w:tc>
        <w:tc>
          <w:tcPr>
            <w:tcW w:w="1134" w:type="dxa"/>
            <w:shd w:val="clear" w:color="auto" w:fill="DAEEF3" w:themeFill="accent5" w:themeFillTint="33"/>
          </w:tcPr>
          <w:p w14:paraId="520D43D9" w14:textId="77777777" w:rsidR="00EE3209" w:rsidRPr="00AE376F" w:rsidRDefault="00EE3209" w:rsidP="001539D1">
            <w:pPr>
              <w:pStyle w:val="TabNumeri"/>
            </w:pPr>
            <w:r w:rsidRPr="007C5924">
              <w:t>3,9</w:t>
            </w:r>
          </w:p>
        </w:tc>
        <w:tc>
          <w:tcPr>
            <w:tcW w:w="1134" w:type="dxa"/>
            <w:shd w:val="clear" w:color="auto" w:fill="DAEEF3" w:themeFill="accent5" w:themeFillTint="33"/>
          </w:tcPr>
          <w:p w14:paraId="61F0B718" w14:textId="77777777" w:rsidR="00EE3209" w:rsidRPr="00AE376F" w:rsidRDefault="00EE3209" w:rsidP="001539D1">
            <w:pPr>
              <w:pStyle w:val="TabNumeri"/>
            </w:pPr>
            <w:r w:rsidRPr="007C5924">
              <w:t>-7,7</w:t>
            </w:r>
          </w:p>
        </w:tc>
        <w:tc>
          <w:tcPr>
            <w:tcW w:w="1134" w:type="dxa"/>
            <w:shd w:val="clear" w:color="auto" w:fill="DAEEF3" w:themeFill="accent5" w:themeFillTint="33"/>
          </w:tcPr>
          <w:p w14:paraId="6AACF6B2" w14:textId="77777777" w:rsidR="00EE3209" w:rsidRPr="00AE376F" w:rsidRDefault="00EE3209" w:rsidP="001539D1">
            <w:pPr>
              <w:pStyle w:val="TabNumeri"/>
            </w:pPr>
            <w:r w:rsidRPr="007C5924">
              <w:t>12,7</w:t>
            </w:r>
          </w:p>
        </w:tc>
        <w:tc>
          <w:tcPr>
            <w:tcW w:w="1134" w:type="dxa"/>
            <w:shd w:val="clear" w:color="auto" w:fill="DAEEF3" w:themeFill="accent5" w:themeFillTint="33"/>
          </w:tcPr>
          <w:p w14:paraId="088108D9" w14:textId="77777777" w:rsidR="00EE3209" w:rsidRPr="00AE376F" w:rsidRDefault="00EE3209" w:rsidP="001539D1">
            <w:pPr>
              <w:pStyle w:val="TabNumeri"/>
            </w:pPr>
            <w:r w:rsidRPr="007C5924">
              <w:t>6,6</w:t>
            </w:r>
          </w:p>
        </w:tc>
      </w:tr>
      <w:tr w:rsidR="00EE3209" w:rsidRPr="00AE376F" w14:paraId="713956B1" w14:textId="77777777" w:rsidTr="001539D1">
        <w:trPr>
          <w:cantSplit/>
          <w:trHeight w:val="227"/>
        </w:trPr>
        <w:tc>
          <w:tcPr>
            <w:tcW w:w="4820" w:type="dxa"/>
          </w:tcPr>
          <w:p w14:paraId="1860D022" w14:textId="77777777" w:rsidR="00EE3209" w:rsidRPr="00EC6592" w:rsidRDefault="00EE3209" w:rsidP="001539D1">
            <w:pPr>
              <w:pStyle w:val="TabEtichetteBold"/>
              <w:rPr>
                <w:rFonts w:eastAsia="Arial Unicode MS"/>
              </w:rPr>
            </w:pPr>
            <w:r w:rsidRPr="00EC6592">
              <w:t>Valore aggiunto ai prezzi base</w:t>
            </w:r>
          </w:p>
        </w:tc>
        <w:tc>
          <w:tcPr>
            <w:tcW w:w="1134" w:type="dxa"/>
          </w:tcPr>
          <w:p w14:paraId="551D6C76" w14:textId="77777777" w:rsidR="00EE3209" w:rsidRPr="00AE376F" w:rsidRDefault="00EE3209" w:rsidP="001539D1">
            <w:pPr>
              <w:pStyle w:val="TabNumeri"/>
            </w:pPr>
          </w:p>
        </w:tc>
        <w:tc>
          <w:tcPr>
            <w:tcW w:w="1134" w:type="dxa"/>
          </w:tcPr>
          <w:p w14:paraId="64D6C8FA" w14:textId="77777777" w:rsidR="00EE3209" w:rsidRPr="00AE376F" w:rsidRDefault="00EE3209" w:rsidP="001539D1">
            <w:pPr>
              <w:pStyle w:val="TabNumeri"/>
            </w:pPr>
          </w:p>
        </w:tc>
        <w:tc>
          <w:tcPr>
            <w:tcW w:w="1134" w:type="dxa"/>
          </w:tcPr>
          <w:p w14:paraId="1EE8FE0E" w14:textId="77777777" w:rsidR="00EE3209" w:rsidRPr="00AE376F" w:rsidRDefault="00EE3209" w:rsidP="001539D1">
            <w:pPr>
              <w:pStyle w:val="TabNumeri"/>
            </w:pPr>
          </w:p>
        </w:tc>
        <w:tc>
          <w:tcPr>
            <w:tcW w:w="1134" w:type="dxa"/>
          </w:tcPr>
          <w:p w14:paraId="6B6733C1" w14:textId="77777777" w:rsidR="00EE3209" w:rsidRPr="00AE376F" w:rsidRDefault="00EE3209" w:rsidP="001539D1">
            <w:pPr>
              <w:pStyle w:val="TabNumeri"/>
            </w:pPr>
          </w:p>
        </w:tc>
      </w:tr>
      <w:tr w:rsidR="00EE3209" w:rsidRPr="00AE376F" w14:paraId="03467A6F" w14:textId="77777777" w:rsidTr="001539D1">
        <w:trPr>
          <w:cantSplit/>
          <w:trHeight w:val="227"/>
        </w:trPr>
        <w:tc>
          <w:tcPr>
            <w:tcW w:w="4820" w:type="dxa"/>
            <w:shd w:val="clear" w:color="auto" w:fill="DAEEF3" w:themeFill="accent5" w:themeFillTint="33"/>
          </w:tcPr>
          <w:p w14:paraId="3FBFAD93" w14:textId="77777777" w:rsidR="00EE3209" w:rsidRDefault="00EE3209" w:rsidP="001539D1">
            <w:pPr>
              <w:pStyle w:val="TabEtichette"/>
              <w:rPr>
                <w:rFonts w:eastAsia="Arial Unicode MS"/>
              </w:rPr>
            </w:pPr>
            <w:r>
              <w:t>Agricoltura</w:t>
            </w:r>
          </w:p>
        </w:tc>
        <w:tc>
          <w:tcPr>
            <w:tcW w:w="1134" w:type="dxa"/>
            <w:shd w:val="clear" w:color="auto" w:fill="DAEEF3" w:themeFill="accent5" w:themeFillTint="33"/>
          </w:tcPr>
          <w:p w14:paraId="3772C22F" w14:textId="77777777" w:rsidR="00EE3209" w:rsidRPr="00AE376F" w:rsidRDefault="00EE3209" w:rsidP="001539D1">
            <w:pPr>
              <w:pStyle w:val="TabNumeri"/>
            </w:pPr>
            <w:r w:rsidRPr="007C5924">
              <w:t>-7,1</w:t>
            </w:r>
          </w:p>
        </w:tc>
        <w:tc>
          <w:tcPr>
            <w:tcW w:w="1134" w:type="dxa"/>
            <w:shd w:val="clear" w:color="auto" w:fill="DAEEF3" w:themeFill="accent5" w:themeFillTint="33"/>
          </w:tcPr>
          <w:p w14:paraId="4890607D" w14:textId="77777777" w:rsidR="00EE3209" w:rsidRPr="00AE376F" w:rsidRDefault="00EE3209" w:rsidP="001539D1">
            <w:pPr>
              <w:pStyle w:val="TabNumeri"/>
            </w:pPr>
            <w:r w:rsidRPr="007C5924">
              <w:t>-4,1</w:t>
            </w:r>
          </w:p>
        </w:tc>
        <w:tc>
          <w:tcPr>
            <w:tcW w:w="1134" w:type="dxa"/>
            <w:shd w:val="clear" w:color="auto" w:fill="DAEEF3" w:themeFill="accent5" w:themeFillTint="33"/>
          </w:tcPr>
          <w:p w14:paraId="65D265F6" w14:textId="77777777" w:rsidR="00EE3209" w:rsidRPr="00AE376F" w:rsidRDefault="00EE3209" w:rsidP="001539D1">
            <w:pPr>
              <w:pStyle w:val="TabNumeri"/>
            </w:pPr>
            <w:r w:rsidRPr="007C5924">
              <w:t>-1,5</w:t>
            </w:r>
          </w:p>
        </w:tc>
        <w:tc>
          <w:tcPr>
            <w:tcW w:w="1134" w:type="dxa"/>
            <w:shd w:val="clear" w:color="auto" w:fill="DAEEF3" w:themeFill="accent5" w:themeFillTint="33"/>
          </w:tcPr>
          <w:p w14:paraId="539E844E" w14:textId="77777777" w:rsidR="00EE3209" w:rsidRPr="00AE376F" w:rsidRDefault="00EE3209" w:rsidP="001539D1">
            <w:pPr>
              <w:pStyle w:val="TabNumeri"/>
            </w:pPr>
            <w:r w:rsidRPr="007C5924">
              <w:t>2,9</w:t>
            </w:r>
          </w:p>
        </w:tc>
      </w:tr>
      <w:tr w:rsidR="00EE3209" w:rsidRPr="00AE376F" w14:paraId="065ADB02" w14:textId="77777777" w:rsidTr="001539D1">
        <w:trPr>
          <w:cantSplit/>
          <w:trHeight w:val="227"/>
        </w:trPr>
        <w:tc>
          <w:tcPr>
            <w:tcW w:w="4820" w:type="dxa"/>
          </w:tcPr>
          <w:p w14:paraId="41D39C7C" w14:textId="77777777" w:rsidR="00EE3209" w:rsidRDefault="00EE3209" w:rsidP="001539D1">
            <w:pPr>
              <w:pStyle w:val="TabEtichette"/>
              <w:rPr>
                <w:rFonts w:eastAsia="Arial Unicode MS"/>
              </w:rPr>
            </w:pPr>
            <w:r>
              <w:t>Industria</w:t>
            </w:r>
          </w:p>
        </w:tc>
        <w:tc>
          <w:tcPr>
            <w:tcW w:w="1134" w:type="dxa"/>
          </w:tcPr>
          <w:p w14:paraId="6E2728AC" w14:textId="77777777" w:rsidR="00EE3209" w:rsidRPr="00AE376F" w:rsidRDefault="00EE3209" w:rsidP="001539D1">
            <w:pPr>
              <w:pStyle w:val="TabNumeri"/>
            </w:pPr>
            <w:r w:rsidRPr="007C5924">
              <w:t>0,4</w:t>
            </w:r>
          </w:p>
        </w:tc>
        <w:tc>
          <w:tcPr>
            <w:tcW w:w="1134" w:type="dxa"/>
          </w:tcPr>
          <w:p w14:paraId="6F504757" w14:textId="77777777" w:rsidR="00EE3209" w:rsidRPr="00AE376F" w:rsidRDefault="00EE3209" w:rsidP="001539D1">
            <w:pPr>
              <w:pStyle w:val="TabNumeri"/>
            </w:pPr>
            <w:r w:rsidRPr="007C5924">
              <w:t>-10,3</w:t>
            </w:r>
          </w:p>
        </w:tc>
        <w:tc>
          <w:tcPr>
            <w:tcW w:w="1134" w:type="dxa"/>
          </w:tcPr>
          <w:p w14:paraId="75CDD45B" w14:textId="77777777" w:rsidR="00EE3209" w:rsidRPr="00AE376F" w:rsidRDefault="00EE3209" w:rsidP="001539D1">
            <w:pPr>
              <w:pStyle w:val="TabNumeri"/>
            </w:pPr>
            <w:r w:rsidRPr="007C5924">
              <w:t>9,3</w:t>
            </w:r>
          </w:p>
        </w:tc>
        <w:tc>
          <w:tcPr>
            <w:tcW w:w="1134" w:type="dxa"/>
          </w:tcPr>
          <w:p w14:paraId="74589BB8" w14:textId="77777777" w:rsidR="00EE3209" w:rsidRPr="00AE376F" w:rsidRDefault="00EE3209" w:rsidP="001539D1">
            <w:pPr>
              <w:pStyle w:val="TabNumeri"/>
            </w:pPr>
            <w:r w:rsidRPr="007C5924">
              <w:t>4,1</w:t>
            </w:r>
          </w:p>
        </w:tc>
      </w:tr>
      <w:tr w:rsidR="00EE3209" w:rsidRPr="00AE376F" w14:paraId="39608FCE" w14:textId="77777777" w:rsidTr="001539D1">
        <w:trPr>
          <w:cantSplit/>
          <w:trHeight w:val="227"/>
        </w:trPr>
        <w:tc>
          <w:tcPr>
            <w:tcW w:w="4820" w:type="dxa"/>
            <w:shd w:val="clear" w:color="auto" w:fill="DAEEF3" w:themeFill="accent5" w:themeFillTint="33"/>
          </w:tcPr>
          <w:p w14:paraId="66908443" w14:textId="77777777" w:rsidR="00EE3209" w:rsidRDefault="00EE3209" w:rsidP="001539D1">
            <w:pPr>
              <w:pStyle w:val="TabEtichette"/>
              <w:rPr>
                <w:rFonts w:eastAsia="Arial Unicode MS"/>
              </w:rPr>
            </w:pPr>
            <w:r>
              <w:t>Costruzioni</w:t>
            </w:r>
          </w:p>
        </w:tc>
        <w:tc>
          <w:tcPr>
            <w:tcW w:w="1134" w:type="dxa"/>
            <w:shd w:val="clear" w:color="auto" w:fill="DAEEF3" w:themeFill="accent5" w:themeFillTint="33"/>
          </w:tcPr>
          <w:p w14:paraId="512EE271" w14:textId="77777777" w:rsidR="00EE3209" w:rsidRPr="00AE376F" w:rsidRDefault="00EE3209" w:rsidP="001539D1">
            <w:pPr>
              <w:pStyle w:val="TabNumeri"/>
            </w:pPr>
            <w:r w:rsidRPr="007C5924">
              <w:t>2,7</w:t>
            </w:r>
          </w:p>
        </w:tc>
        <w:tc>
          <w:tcPr>
            <w:tcW w:w="1134" w:type="dxa"/>
            <w:shd w:val="clear" w:color="auto" w:fill="DAEEF3" w:themeFill="accent5" w:themeFillTint="33"/>
          </w:tcPr>
          <w:p w14:paraId="0EB1FCAB" w14:textId="77777777" w:rsidR="00EE3209" w:rsidRPr="00AE376F" w:rsidRDefault="00EE3209" w:rsidP="001539D1">
            <w:pPr>
              <w:pStyle w:val="TabNumeri"/>
            </w:pPr>
            <w:r w:rsidRPr="007C5924">
              <w:t>-5,3</w:t>
            </w:r>
          </w:p>
        </w:tc>
        <w:tc>
          <w:tcPr>
            <w:tcW w:w="1134" w:type="dxa"/>
            <w:shd w:val="clear" w:color="auto" w:fill="DAEEF3" w:themeFill="accent5" w:themeFillTint="33"/>
          </w:tcPr>
          <w:p w14:paraId="5D36EA03" w14:textId="77777777" w:rsidR="00EE3209" w:rsidRPr="00AE376F" w:rsidRDefault="00EE3209" w:rsidP="001539D1">
            <w:pPr>
              <w:pStyle w:val="TabNumeri"/>
            </w:pPr>
            <w:r w:rsidRPr="007C5924">
              <w:t>11,6</w:t>
            </w:r>
          </w:p>
        </w:tc>
        <w:tc>
          <w:tcPr>
            <w:tcW w:w="1134" w:type="dxa"/>
            <w:shd w:val="clear" w:color="auto" w:fill="DAEEF3" w:themeFill="accent5" w:themeFillTint="33"/>
          </w:tcPr>
          <w:p w14:paraId="1EBC5048" w14:textId="77777777" w:rsidR="00EE3209" w:rsidRPr="00AE376F" w:rsidRDefault="00EE3209" w:rsidP="001539D1">
            <w:pPr>
              <w:pStyle w:val="TabNumeri"/>
            </w:pPr>
            <w:r w:rsidRPr="007C5924">
              <w:t>6,9</w:t>
            </w:r>
          </w:p>
        </w:tc>
      </w:tr>
      <w:tr w:rsidR="00EE3209" w:rsidRPr="00AE376F" w14:paraId="461EAB70" w14:textId="77777777" w:rsidTr="001539D1">
        <w:trPr>
          <w:cantSplit/>
          <w:trHeight w:val="227"/>
        </w:trPr>
        <w:tc>
          <w:tcPr>
            <w:tcW w:w="4820" w:type="dxa"/>
          </w:tcPr>
          <w:p w14:paraId="4879ADC6" w14:textId="77777777" w:rsidR="00EE3209" w:rsidRDefault="00EE3209" w:rsidP="001539D1">
            <w:pPr>
              <w:pStyle w:val="TabEtichette"/>
              <w:rPr>
                <w:rFonts w:eastAsia="Arial Unicode MS"/>
              </w:rPr>
            </w:pPr>
            <w:r>
              <w:t>Servizi</w:t>
            </w:r>
          </w:p>
        </w:tc>
        <w:tc>
          <w:tcPr>
            <w:tcW w:w="1134" w:type="dxa"/>
          </w:tcPr>
          <w:p w14:paraId="7F0C59E5" w14:textId="77777777" w:rsidR="00EE3209" w:rsidRPr="00AE376F" w:rsidRDefault="00EE3209" w:rsidP="001539D1">
            <w:pPr>
              <w:pStyle w:val="TabNumeri"/>
            </w:pPr>
            <w:r w:rsidRPr="007C5924">
              <w:t>0,9</w:t>
            </w:r>
          </w:p>
        </w:tc>
        <w:tc>
          <w:tcPr>
            <w:tcW w:w="1134" w:type="dxa"/>
          </w:tcPr>
          <w:p w14:paraId="17E1A5A6" w14:textId="77777777" w:rsidR="00EE3209" w:rsidRPr="00AE376F" w:rsidRDefault="00EE3209" w:rsidP="001539D1">
            <w:pPr>
              <w:pStyle w:val="TabNumeri"/>
            </w:pPr>
            <w:r w:rsidRPr="007C5924">
              <w:t>-8,4</w:t>
            </w:r>
          </w:p>
        </w:tc>
        <w:tc>
          <w:tcPr>
            <w:tcW w:w="1134" w:type="dxa"/>
          </w:tcPr>
          <w:p w14:paraId="469C83BB" w14:textId="77777777" w:rsidR="00EE3209" w:rsidRPr="00AE376F" w:rsidRDefault="00EE3209" w:rsidP="001539D1">
            <w:pPr>
              <w:pStyle w:val="TabNumeri"/>
            </w:pPr>
            <w:r w:rsidRPr="007C5924">
              <w:t>3,8</w:t>
            </w:r>
          </w:p>
        </w:tc>
        <w:tc>
          <w:tcPr>
            <w:tcW w:w="1134" w:type="dxa"/>
          </w:tcPr>
          <w:p w14:paraId="7D768023" w14:textId="77777777" w:rsidR="00EE3209" w:rsidRPr="00AE376F" w:rsidRDefault="00EE3209" w:rsidP="001539D1">
            <w:pPr>
              <w:pStyle w:val="TabNumeri"/>
            </w:pPr>
            <w:r w:rsidRPr="007C5924">
              <w:t>4,8</w:t>
            </w:r>
          </w:p>
        </w:tc>
      </w:tr>
      <w:tr w:rsidR="00EE3209" w:rsidRPr="00AE376F" w14:paraId="3B5CB7F1" w14:textId="77777777" w:rsidTr="001539D1">
        <w:trPr>
          <w:cantSplit/>
          <w:trHeight w:val="227"/>
        </w:trPr>
        <w:tc>
          <w:tcPr>
            <w:tcW w:w="4820" w:type="dxa"/>
            <w:shd w:val="clear" w:color="auto" w:fill="DAEEF3" w:themeFill="accent5" w:themeFillTint="33"/>
          </w:tcPr>
          <w:p w14:paraId="21A3B0BF" w14:textId="77777777" w:rsidR="00EE3209" w:rsidRDefault="00EE3209" w:rsidP="001539D1">
            <w:pPr>
              <w:pStyle w:val="TabEtichette"/>
              <w:rPr>
                <w:rFonts w:eastAsia="Arial Unicode MS"/>
              </w:rPr>
            </w:pPr>
            <w:r>
              <w:t>Totale</w:t>
            </w:r>
          </w:p>
        </w:tc>
        <w:tc>
          <w:tcPr>
            <w:tcW w:w="1134" w:type="dxa"/>
            <w:shd w:val="clear" w:color="auto" w:fill="DAEEF3" w:themeFill="accent5" w:themeFillTint="33"/>
          </w:tcPr>
          <w:p w14:paraId="1FC046B0" w14:textId="77777777" w:rsidR="00EE3209" w:rsidRPr="00AE376F" w:rsidRDefault="00EE3209" w:rsidP="001539D1">
            <w:pPr>
              <w:pStyle w:val="TabNumeri"/>
            </w:pPr>
            <w:r w:rsidRPr="007C5924">
              <w:t>0,6</w:t>
            </w:r>
          </w:p>
        </w:tc>
        <w:tc>
          <w:tcPr>
            <w:tcW w:w="1134" w:type="dxa"/>
            <w:shd w:val="clear" w:color="auto" w:fill="DAEEF3" w:themeFill="accent5" w:themeFillTint="33"/>
          </w:tcPr>
          <w:p w14:paraId="2E64835D" w14:textId="77777777" w:rsidR="00EE3209" w:rsidRPr="00AE376F" w:rsidRDefault="00EE3209" w:rsidP="001539D1">
            <w:pPr>
              <w:pStyle w:val="TabNumeri"/>
            </w:pPr>
            <w:r w:rsidRPr="007C5924">
              <w:t>-8,7</w:t>
            </w:r>
          </w:p>
        </w:tc>
        <w:tc>
          <w:tcPr>
            <w:tcW w:w="1134" w:type="dxa"/>
            <w:shd w:val="clear" w:color="auto" w:fill="DAEEF3" w:themeFill="accent5" w:themeFillTint="33"/>
          </w:tcPr>
          <w:p w14:paraId="61104DD1" w14:textId="77777777" w:rsidR="00EE3209" w:rsidRPr="00AE376F" w:rsidRDefault="00EE3209" w:rsidP="001539D1">
            <w:pPr>
              <w:pStyle w:val="TabNumeri"/>
            </w:pPr>
            <w:r w:rsidRPr="007C5924">
              <w:t>5,5</w:t>
            </w:r>
          </w:p>
        </w:tc>
        <w:tc>
          <w:tcPr>
            <w:tcW w:w="1134" w:type="dxa"/>
            <w:shd w:val="clear" w:color="auto" w:fill="DAEEF3" w:themeFill="accent5" w:themeFillTint="33"/>
          </w:tcPr>
          <w:p w14:paraId="49862C42" w14:textId="77777777" w:rsidR="00EE3209" w:rsidRPr="00AE376F" w:rsidRDefault="00EE3209" w:rsidP="001539D1">
            <w:pPr>
              <w:pStyle w:val="TabNumeri"/>
            </w:pPr>
            <w:r w:rsidRPr="007C5924">
              <w:t>4,6</w:t>
            </w:r>
          </w:p>
        </w:tc>
      </w:tr>
      <w:tr w:rsidR="00EE3209" w:rsidRPr="00AE376F" w14:paraId="5F6939DE" w14:textId="77777777" w:rsidTr="001539D1">
        <w:trPr>
          <w:cantSplit/>
          <w:trHeight w:val="227"/>
        </w:trPr>
        <w:tc>
          <w:tcPr>
            <w:tcW w:w="4820" w:type="dxa"/>
          </w:tcPr>
          <w:p w14:paraId="6F097BD4" w14:textId="77777777" w:rsidR="00EE3209" w:rsidRPr="00EC6592" w:rsidRDefault="00EE3209" w:rsidP="001539D1">
            <w:pPr>
              <w:pStyle w:val="TabEtichetteBold"/>
              <w:rPr>
                <w:rFonts w:eastAsia="Arial Unicode MS"/>
              </w:rPr>
            </w:pPr>
            <w:r w:rsidRPr="00EC6592">
              <w:t>Rapporti caratteristici</w:t>
            </w:r>
          </w:p>
        </w:tc>
        <w:tc>
          <w:tcPr>
            <w:tcW w:w="1134" w:type="dxa"/>
          </w:tcPr>
          <w:p w14:paraId="59E067B4" w14:textId="77777777" w:rsidR="00EE3209" w:rsidRPr="00AE376F" w:rsidRDefault="00EE3209" w:rsidP="001539D1">
            <w:pPr>
              <w:pStyle w:val="TabNumeri"/>
            </w:pPr>
          </w:p>
        </w:tc>
        <w:tc>
          <w:tcPr>
            <w:tcW w:w="1134" w:type="dxa"/>
          </w:tcPr>
          <w:p w14:paraId="10F74F9E" w14:textId="77777777" w:rsidR="00EE3209" w:rsidRPr="00AE376F" w:rsidRDefault="00EE3209" w:rsidP="001539D1">
            <w:pPr>
              <w:pStyle w:val="TabNumeri"/>
            </w:pPr>
          </w:p>
        </w:tc>
        <w:tc>
          <w:tcPr>
            <w:tcW w:w="1134" w:type="dxa"/>
          </w:tcPr>
          <w:p w14:paraId="7AB61119" w14:textId="77777777" w:rsidR="00EE3209" w:rsidRPr="00AE376F" w:rsidRDefault="00EE3209" w:rsidP="001539D1">
            <w:pPr>
              <w:pStyle w:val="TabNumeri"/>
            </w:pPr>
          </w:p>
        </w:tc>
        <w:tc>
          <w:tcPr>
            <w:tcW w:w="1134" w:type="dxa"/>
          </w:tcPr>
          <w:p w14:paraId="35BAEED5" w14:textId="77777777" w:rsidR="00EE3209" w:rsidRPr="00AE376F" w:rsidRDefault="00EE3209" w:rsidP="001539D1">
            <w:pPr>
              <w:pStyle w:val="TabNumeri"/>
            </w:pPr>
          </w:p>
        </w:tc>
      </w:tr>
      <w:tr w:rsidR="00EE3209" w:rsidRPr="00AE376F" w14:paraId="1666A1B8" w14:textId="77777777" w:rsidTr="001539D1">
        <w:trPr>
          <w:cantSplit/>
          <w:trHeight w:val="227"/>
        </w:trPr>
        <w:tc>
          <w:tcPr>
            <w:tcW w:w="4820" w:type="dxa"/>
            <w:shd w:val="clear" w:color="auto" w:fill="DAEEF3" w:themeFill="accent5" w:themeFillTint="33"/>
          </w:tcPr>
          <w:p w14:paraId="62DDE757" w14:textId="77777777" w:rsidR="00EE3209" w:rsidRPr="00983308" w:rsidRDefault="00EE3209" w:rsidP="001539D1">
            <w:pPr>
              <w:pStyle w:val="TabEtichette"/>
            </w:pPr>
            <w:r w:rsidRPr="00983308">
              <w:t>Forze di lavoro</w:t>
            </w:r>
          </w:p>
        </w:tc>
        <w:tc>
          <w:tcPr>
            <w:tcW w:w="1134" w:type="dxa"/>
            <w:shd w:val="clear" w:color="auto" w:fill="DAEEF3" w:themeFill="accent5" w:themeFillTint="33"/>
          </w:tcPr>
          <w:p w14:paraId="7600F1CF" w14:textId="77777777" w:rsidR="00EE3209" w:rsidRPr="00AE376F" w:rsidRDefault="00EE3209" w:rsidP="001539D1">
            <w:pPr>
              <w:pStyle w:val="TabNumeri"/>
            </w:pPr>
            <w:r w:rsidRPr="007C5924">
              <w:t>1,1</w:t>
            </w:r>
          </w:p>
        </w:tc>
        <w:tc>
          <w:tcPr>
            <w:tcW w:w="1134" w:type="dxa"/>
            <w:shd w:val="clear" w:color="auto" w:fill="DAEEF3" w:themeFill="accent5" w:themeFillTint="33"/>
          </w:tcPr>
          <w:p w14:paraId="1D49800C" w14:textId="77777777" w:rsidR="00EE3209" w:rsidRPr="00AE376F" w:rsidRDefault="00EE3209" w:rsidP="001539D1">
            <w:pPr>
              <w:pStyle w:val="TabNumeri"/>
            </w:pPr>
            <w:r w:rsidRPr="007C5924">
              <w:t>-1,9</w:t>
            </w:r>
          </w:p>
        </w:tc>
        <w:tc>
          <w:tcPr>
            <w:tcW w:w="1134" w:type="dxa"/>
            <w:shd w:val="clear" w:color="auto" w:fill="DAEEF3" w:themeFill="accent5" w:themeFillTint="33"/>
          </w:tcPr>
          <w:p w14:paraId="27C20AED" w14:textId="77777777" w:rsidR="00EE3209" w:rsidRPr="00AE376F" w:rsidRDefault="00EE3209" w:rsidP="001539D1">
            <w:pPr>
              <w:pStyle w:val="TabNumeri"/>
            </w:pPr>
            <w:r w:rsidRPr="007C5924">
              <w:t>1,4</w:t>
            </w:r>
          </w:p>
        </w:tc>
        <w:tc>
          <w:tcPr>
            <w:tcW w:w="1134" w:type="dxa"/>
            <w:shd w:val="clear" w:color="auto" w:fill="DAEEF3" w:themeFill="accent5" w:themeFillTint="33"/>
          </w:tcPr>
          <w:p w14:paraId="5A29F346" w14:textId="77777777" w:rsidR="00EE3209" w:rsidRPr="00AE376F" w:rsidRDefault="00EE3209" w:rsidP="001539D1">
            <w:pPr>
              <w:pStyle w:val="TabNumeri"/>
            </w:pPr>
            <w:r w:rsidRPr="007C5924">
              <w:t>1,0</w:t>
            </w:r>
          </w:p>
        </w:tc>
      </w:tr>
      <w:tr w:rsidR="00EE3209" w:rsidRPr="00AE376F" w14:paraId="0196CE30" w14:textId="77777777" w:rsidTr="001539D1">
        <w:trPr>
          <w:cantSplit/>
          <w:trHeight w:val="227"/>
        </w:trPr>
        <w:tc>
          <w:tcPr>
            <w:tcW w:w="4820" w:type="dxa"/>
          </w:tcPr>
          <w:p w14:paraId="7A56C8C9" w14:textId="77777777" w:rsidR="00EE3209" w:rsidRDefault="00EE3209" w:rsidP="001539D1">
            <w:pPr>
              <w:pStyle w:val="TabEtichette"/>
            </w:pPr>
            <w:r w:rsidRPr="00983308">
              <w:t>Occupati</w:t>
            </w:r>
          </w:p>
        </w:tc>
        <w:tc>
          <w:tcPr>
            <w:tcW w:w="1134" w:type="dxa"/>
          </w:tcPr>
          <w:p w14:paraId="6E61C905" w14:textId="77777777" w:rsidR="00EE3209" w:rsidRPr="00AE376F" w:rsidRDefault="00EE3209" w:rsidP="001539D1">
            <w:pPr>
              <w:pStyle w:val="TabNumeri"/>
            </w:pPr>
            <w:r w:rsidRPr="007C5924">
              <w:t>1,4</w:t>
            </w:r>
          </w:p>
        </w:tc>
        <w:tc>
          <w:tcPr>
            <w:tcW w:w="1134" w:type="dxa"/>
          </w:tcPr>
          <w:p w14:paraId="3869A45A" w14:textId="77777777" w:rsidR="00EE3209" w:rsidRPr="00AE376F" w:rsidRDefault="00EE3209" w:rsidP="001539D1">
            <w:pPr>
              <w:pStyle w:val="TabNumeri"/>
            </w:pPr>
            <w:r w:rsidRPr="007C5924">
              <w:t>-2,1</w:t>
            </w:r>
          </w:p>
        </w:tc>
        <w:tc>
          <w:tcPr>
            <w:tcW w:w="1134" w:type="dxa"/>
          </w:tcPr>
          <w:p w14:paraId="47D2DAF3" w14:textId="77777777" w:rsidR="00EE3209" w:rsidRPr="00AE376F" w:rsidRDefault="00EE3209" w:rsidP="001539D1">
            <w:pPr>
              <w:pStyle w:val="TabNumeri"/>
            </w:pPr>
            <w:r w:rsidRPr="007C5924">
              <w:t>-0,2</w:t>
            </w:r>
          </w:p>
        </w:tc>
        <w:tc>
          <w:tcPr>
            <w:tcW w:w="1134" w:type="dxa"/>
          </w:tcPr>
          <w:p w14:paraId="7F267656" w14:textId="77777777" w:rsidR="00EE3209" w:rsidRPr="00AE376F" w:rsidRDefault="00EE3209" w:rsidP="001539D1">
            <w:pPr>
              <w:pStyle w:val="TabNumeri"/>
            </w:pPr>
            <w:r w:rsidRPr="007C5924">
              <w:t>0,6</w:t>
            </w:r>
          </w:p>
        </w:tc>
      </w:tr>
      <w:tr w:rsidR="00EE3209" w:rsidRPr="00AE376F" w14:paraId="676280AA" w14:textId="77777777" w:rsidTr="001539D1">
        <w:trPr>
          <w:cantSplit/>
          <w:trHeight w:val="227"/>
        </w:trPr>
        <w:tc>
          <w:tcPr>
            <w:tcW w:w="4820" w:type="dxa"/>
            <w:shd w:val="clear" w:color="auto" w:fill="DAEEF3" w:themeFill="accent5" w:themeFillTint="33"/>
          </w:tcPr>
          <w:p w14:paraId="1170AE2E" w14:textId="77777777" w:rsidR="00EE3209" w:rsidRPr="007427DC" w:rsidRDefault="00EE3209" w:rsidP="001539D1">
            <w:pPr>
              <w:pStyle w:val="tabetic"/>
            </w:pPr>
            <w:r>
              <w:t xml:space="preserve"> Tasso di attività (2)(3</w:t>
            </w:r>
            <w:r w:rsidRPr="007427DC">
              <w:t>)</w:t>
            </w:r>
          </w:p>
        </w:tc>
        <w:tc>
          <w:tcPr>
            <w:tcW w:w="1134" w:type="dxa"/>
            <w:shd w:val="clear" w:color="auto" w:fill="DAEEF3" w:themeFill="accent5" w:themeFillTint="33"/>
          </w:tcPr>
          <w:p w14:paraId="2AD6CAAB" w14:textId="77777777" w:rsidR="00EE3209" w:rsidRPr="00AE376F" w:rsidRDefault="00EE3209" w:rsidP="001539D1">
            <w:pPr>
              <w:pStyle w:val="TabNumeri"/>
            </w:pPr>
            <w:r w:rsidRPr="007C5924">
              <w:t>48,6</w:t>
            </w:r>
          </w:p>
        </w:tc>
        <w:tc>
          <w:tcPr>
            <w:tcW w:w="1134" w:type="dxa"/>
            <w:shd w:val="clear" w:color="auto" w:fill="DAEEF3" w:themeFill="accent5" w:themeFillTint="33"/>
          </w:tcPr>
          <w:p w14:paraId="0D29CAB1" w14:textId="77777777" w:rsidR="00EE3209" w:rsidRPr="00AE376F" w:rsidRDefault="00EE3209" w:rsidP="001539D1">
            <w:pPr>
              <w:pStyle w:val="TabNumeri"/>
            </w:pPr>
            <w:r w:rsidRPr="007C5924">
              <w:t>47,7</w:t>
            </w:r>
          </w:p>
        </w:tc>
        <w:tc>
          <w:tcPr>
            <w:tcW w:w="1134" w:type="dxa"/>
            <w:shd w:val="clear" w:color="auto" w:fill="DAEEF3" w:themeFill="accent5" w:themeFillTint="33"/>
          </w:tcPr>
          <w:p w14:paraId="1751ABDA" w14:textId="77777777" w:rsidR="00EE3209" w:rsidRPr="00AE376F" w:rsidRDefault="00EE3209" w:rsidP="001539D1">
            <w:pPr>
              <w:pStyle w:val="TabNumeri"/>
            </w:pPr>
            <w:r w:rsidRPr="007C5924">
              <w:t>48,3</w:t>
            </w:r>
          </w:p>
        </w:tc>
        <w:tc>
          <w:tcPr>
            <w:tcW w:w="1134" w:type="dxa"/>
            <w:shd w:val="clear" w:color="auto" w:fill="DAEEF3" w:themeFill="accent5" w:themeFillTint="33"/>
          </w:tcPr>
          <w:p w14:paraId="333A873A" w14:textId="77777777" w:rsidR="00EE3209" w:rsidRPr="00AE376F" w:rsidRDefault="00EE3209" w:rsidP="001539D1">
            <w:pPr>
              <w:pStyle w:val="TabNumeri"/>
            </w:pPr>
            <w:r w:rsidRPr="007C5924">
              <w:t>48,7</w:t>
            </w:r>
          </w:p>
        </w:tc>
      </w:tr>
      <w:tr w:rsidR="00EE3209" w:rsidRPr="00AE376F" w14:paraId="22239BE6" w14:textId="77777777" w:rsidTr="001539D1">
        <w:trPr>
          <w:cantSplit/>
          <w:trHeight w:val="227"/>
        </w:trPr>
        <w:tc>
          <w:tcPr>
            <w:tcW w:w="4820" w:type="dxa"/>
          </w:tcPr>
          <w:p w14:paraId="48EEF1FB" w14:textId="77777777" w:rsidR="00EE3209" w:rsidRPr="007427DC" w:rsidRDefault="00EE3209" w:rsidP="001539D1">
            <w:pPr>
              <w:pStyle w:val="tabetic"/>
            </w:pPr>
            <w:r>
              <w:t xml:space="preserve"> </w:t>
            </w:r>
            <w:r w:rsidRPr="007427DC">
              <w:t>Tasso di occupazione</w:t>
            </w:r>
            <w:r>
              <w:t xml:space="preserve"> </w:t>
            </w:r>
            <w:r w:rsidRPr="007427DC">
              <w:t>(</w:t>
            </w:r>
            <w:r>
              <w:t>2</w:t>
            </w:r>
            <w:r w:rsidRPr="007427DC">
              <w:t>)(</w:t>
            </w:r>
            <w:r>
              <w:t>3</w:t>
            </w:r>
            <w:r w:rsidRPr="007427DC">
              <w:t>)</w:t>
            </w:r>
          </w:p>
        </w:tc>
        <w:tc>
          <w:tcPr>
            <w:tcW w:w="1134" w:type="dxa"/>
          </w:tcPr>
          <w:p w14:paraId="11C601DA" w14:textId="77777777" w:rsidR="00EE3209" w:rsidRPr="00AE376F" w:rsidRDefault="00EE3209" w:rsidP="001539D1">
            <w:pPr>
              <w:pStyle w:val="TabNumeri"/>
            </w:pPr>
            <w:r w:rsidRPr="007C5924">
              <w:t>45,9</w:t>
            </w:r>
          </w:p>
        </w:tc>
        <w:tc>
          <w:tcPr>
            <w:tcW w:w="1134" w:type="dxa"/>
          </w:tcPr>
          <w:p w14:paraId="7441CF99" w14:textId="77777777" w:rsidR="00EE3209" w:rsidRPr="00AE376F" w:rsidRDefault="00EE3209" w:rsidP="001539D1">
            <w:pPr>
              <w:pStyle w:val="TabNumeri"/>
            </w:pPr>
            <w:r w:rsidRPr="007C5924">
              <w:t>44,9</w:t>
            </w:r>
          </w:p>
        </w:tc>
        <w:tc>
          <w:tcPr>
            <w:tcW w:w="1134" w:type="dxa"/>
          </w:tcPr>
          <w:p w14:paraId="1BC624C2" w14:textId="77777777" w:rsidR="00EE3209" w:rsidRPr="00AE376F" w:rsidRDefault="00EE3209" w:rsidP="001539D1">
            <w:pPr>
              <w:pStyle w:val="TabNumeri"/>
            </w:pPr>
            <w:r w:rsidRPr="007C5924">
              <w:t>44,8</w:t>
            </w:r>
          </w:p>
        </w:tc>
        <w:tc>
          <w:tcPr>
            <w:tcW w:w="1134" w:type="dxa"/>
          </w:tcPr>
          <w:p w14:paraId="1B7CE9D7" w14:textId="77777777" w:rsidR="00EE3209" w:rsidRPr="00AE376F" w:rsidRDefault="00EE3209" w:rsidP="001539D1">
            <w:pPr>
              <w:pStyle w:val="TabNumeri"/>
            </w:pPr>
            <w:r w:rsidRPr="007C5924">
              <w:t>45,0</w:t>
            </w:r>
          </w:p>
        </w:tc>
      </w:tr>
      <w:tr w:rsidR="00EE3209" w:rsidRPr="00AE376F" w14:paraId="596B8E1E" w14:textId="77777777" w:rsidTr="001539D1">
        <w:trPr>
          <w:cantSplit/>
          <w:trHeight w:val="227"/>
        </w:trPr>
        <w:tc>
          <w:tcPr>
            <w:tcW w:w="4820" w:type="dxa"/>
            <w:shd w:val="clear" w:color="auto" w:fill="DAEEF3" w:themeFill="accent5" w:themeFillTint="33"/>
          </w:tcPr>
          <w:p w14:paraId="4B208246" w14:textId="77777777" w:rsidR="00EE3209" w:rsidRPr="007427DC" w:rsidRDefault="00EE3209" w:rsidP="001539D1">
            <w:pPr>
              <w:pStyle w:val="tabetic"/>
            </w:pPr>
            <w:r>
              <w:t xml:space="preserve"> Tasso di disoccupazione (2</w:t>
            </w:r>
            <w:r w:rsidRPr="007427DC">
              <w:t>)</w:t>
            </w:r>
          </w:p>
        </w:tc>
        <w:tc>
          <w:tcPr>
            <w:tcW w:w="1134" w:type="dxa"/>
            <w:shd w:val="clear" w:color="auto" w:fill="DAEEF3" w:themeFill="accent5" w:themeFillTint="33"/>
          </w:tcPr>
          <w:p w14:paraId="3932885A" w14:textId="77777777" w:rsidR="00EE3209" w:rsidRPr="00AE376F" w:rsidRDefault="00EE3209" w:rsidP="001539D1">
            <w:pPr>
              <w:pStyle w:val="TabNumeri"/>
            </w:pPr>
            <w:r w:rsidRPr="007C5924">
              <w:t>5,5</w:t>
            </w:r>
          </w:p>
        </w:tc>
        <w:tc>
          <w:tcPr>
            <w:tcW w:w="1134" w:type="dxa"/>
            <w:shd w:val="clear" w:color="auto" w:fill="DAEEF3" w:themeFill="accent5" w:themeFillTint="33"/>
          </w:tcPr>
          <w:p w14:paraId="62A5C520" w14:textId="77777777" w:rsidR="00EE3209" w:rsidRPr="00AE376F" w:rsidRDefault="00EE3209" w:rsidP="001539D1">
            <w:pPr>
              <w:pStyle w:val="TabNumeri"/>
            </w:pPr>
            <w:r w:rsidRPr="007C5924">
              <w:t>5,7</w:t>
            </w:r>
          </w:p>
        </w:tc>
        <w:tc>
          <w:tcPr>
            <w:tcW w:w="1134" w:type="dxa"/>
            <w:shd w:val="clear" w:color="auto" w:fill="DAEEF3" w:themeFill="accent5" w:themeFillTint="33"/>
          </w:tcPr>
          <w:p w14:paraId="0C885410" w14:textId="77777777" w:rsidR="00EE3209" w:rsidRPr="00AE376F" w:rsidRDefault="00EE3209" w:rsidP="001539D1">
            <w:pPr>
              <w:pStyle w:val="TabNumeri"/>
            </w:pPr>
            <w:r w:rsidRPr="007C5924">
              <w:t>7,2</w:t>
            </w:r>
          </w:p>
        </w:tc>
        <w:tc>
          <w:tcPr>
            <w:tcW w:w="1134" w:type="dxa"/>
            <w:shd w:val="clear" w:color="auto" w:fill="DAEEF3" w:themeFill="accent5" w:themeFillTint="33"/>
          </w:tcPr>
          <w:p w14:paraId="650DB1D1" w14:textId="77777777" w:rsidR="00EE3209" w:rsidRPr="00AE376F" w:rsidRDefault="00EE3209" w:rsidP="001539D1">
            <w:pPr>
              <w:pStyle w:val="TabNumeri"/>
            </w:pPr>
            <w:r w:rsidRPr="007C5924">
              <w:t>7,6</w:t>
            </w:r>
          </w:p>
        </w:tc>
      </w:tr>
      <w:tr w:rsidR="00EE3209" w:rsidRPr="00AE376F" w14:paraId="2D5EFF68" w14:textId="77777777" w:rsidTr="001539D1">
        <w:trPr>
          <w:cantSplit/>
          <w:trHeight w:val="227"/>
        </w:trPr>
        <w:tc>
          <w:tcPr>
            <w:tcW w:w="4820" w:type="dxa"/>
          </w:tcPr>
          <w:p w14:paraId="0E380405" w14:textId="77777777" w:rsidR="00EE3209" w:rsidRPr="00EC6592" w:rsidRDefault="00EE3209" w:rsidP="001539D1">
            <w:pPr>
              <w:pStyle w:val="TabEtichetteBold"/>
            </w:pPr>
            <w:r w:rsidRPr="00EC6592">
              <w:t>Produttività e capacità di spesa</w:t>
            </w:r>
          </w:p>
        </w:tc>
        <w:tc>
          <w:tcPr>
            <w:tcW w:w="1134" w:type="dxa"/>
          </w:tcPr>
          <w:p w14:paraId="15FEF59B" w14:textId="77777777" w:rsidR="00EE3209" w:rsidRPr="00AE376F" w:rsidRDefault="00EE3209" w:rsidP="001539D1">
            <w:pPr>
              <w:pStyle w:val="TabNumeri"/>
            </w:pPr>
          </w:p>
        </w:tc>
        <w:tc>
          <w:tcPr>
            <w:tcW w:w="1134" w:type="dxa"/>
          </w:tcPr>
          <w:p w14:paraId="71210137" w14:textId="77777777" w:rsidR="00EE3209" w:rsidRPr="00AE376F" w:rsidRDefault="00EE3209" w:rsidP="001539D1">
            <w:pPr>
              <w:pStyle w:val="TabNumeri"/>
            </w:pPr>
          </w:p>
        </w:tc>
        <w:tc>
          <w:tcPr>
            <w:tcW w:w="1134" w:type="dxa"/>
          </w:tcPr>
          <w:p w14:paraId="1A3886E1" w14:textId="77777777" w:rsidR="00EE3209" w:rsidRPr="00AE376F" w:rsidRDefault="00EE3209" w:rsidP="001539D1">
            <w:pPr>
              <w:pStyle w:val="TabNumeri"/>
            </w:pPr>
          </w:p>
        </w:tc>
        <w:tc>
          <w:tcPr>
            <w:tcW w:w="1134" w:type="dxa"/>
          </w:tcPr>
          <w:p w14:paraId="059B2ECC" w14:textId="77777777" w:rsidR="00EE3209" w:rsidRPr="00AE376F" w:rsidRDefault="00EE3209" w:rsidP="001539D1">
            <w:pPr>
              <w:pStyle w:val="TabNumeri"/>
            </w:pPr>
          </w:p>
        </w:tc>
      </w:tr>
      <w:tr w:rsidR="00EE3209" w:rsidRPr="00AE376F" w14:paraId="08998185" w14:textId="77777777" w:rsidTr="001539D1">
        <w:trPr>
          <w:cantSplit/>
          <w:trHeight w:val="227"/>
        </w:trPr>
        <w:tc>
          <w:tcPr>
            <w:tcW w:w="4820" w:type="dxa"/>
            <w:shd w:val="clear" w:color="auto" w:fill="DAEEF3" w:themeFill="accent5" w:themeFillTint="33"/>
          </w:tcPr>
          <w:p w14:paraId="30791492" w14:textId="77777777" w:rsidR="00EE3209" w:rsidRPr="00B130A5" w:rsidRDefault="00EE3209" w:rsidP="001539D1">
            <w:pPr>
              <w:pStyle w:val="TabEtichette"/>
            </w:pPr>
            <w:r w:rsidRPr="00B130A5">
              <w:t xml:space="preserve">Reddito disponibile delle famiglie e </w:t>
            </w:r>
            <w:proofErr w:type="spellStart"/>
            <w:r w:rsidRPr="00B130A5">
              <w:t>Istituz.SP</w:t>
            </w:r>
            <w:proofErr w:type="spellEnd"/>
            <w:r w:rsidRPr="00B130A5">
              <w:t xml:space="preserve"> (prezzi correnti)</w:t>
            </w:r>
          </w:p>
        </w:tc>
        <w:tc>
          <w:tcPr>
            <w:tcW w:w="1134" w:type="dxa"/>
            <w:shd w:val="clear" w:color="auto" w:fill="DAEEF3" w:themeFill="accent5" w:themeFillTint="33"/>
          </w:tcPr>
          <w:p w14:paraId="3016EC13" w14:textId="77777777" w:rsidR="00EE3209" w:rsidRPr="00AE376F" w:rsidRDefault="00EE3209" w:rsidP="001539D1">
            <w:pPr>
              <w:pStyle w:val="TabNumeri"/>
            </w:pPr>
            <w:r w:rsidRPr="007C5924">
              <w:t>0,7</w:t>
            </w:r>
          </w:p>
        </w:tc>
        <w:tc>
          <w:tcPr>
            <w:tcW w:w="1134" w:type="dxa"/>
            <w:shd w:val="clear" w:color="auto" w:fill="DAEEF3" w:themeFill="accent5" w:themeFillTint="33"/>
          </w:tcPr>
          <w:p w14:paraId="7A6B4FDE" w14:textId="77777777" w:rsidR="00EE3209" w:rsidRPr="00AE376F" w:rsidRDefault="00EE3209" w:rsidP="001539D1">
            <w:pPr>
              <w:pStyle w:val="TabNumeri"/>
            </w:pPr>
            <w:r w:rsidRPr="007C5924">
              <w:t>-2,8</w:t>
            </w:r>
          </w:p>
        </w:tc>
        <w:tc>
          <w:tcPr>
            <w:tcW w:w="1134" w:type="dxa"/>
            <w:shd w:val="clear" w:color="auto" w:fill="DAEEF3" w:themeFill="accent5" w:themeFillTint="33"/>
          </w:tcPr>
          <w:p w14:paraId="01E3F5FB" w14:textId="77777777" w:rsidR="00EE3209" w:rsidRPr="00AE376F" w:rsidRDefault="00EE3209" w:rsidP="001539D1">
            <w:pPr>
              <w:pStyle w:val="TabNumeri"/>
            </w:pPr>
            <w:r w:rsidRPr="007C5924">
              <w:t>4,8</w:t>
            </w:r>
          </w:p>
        </w:tc>
        <w:tc>
          <w:tcPr>
            <w:tcW w:w="1134" w:type="dxa"/>
            <w:shd w:val="clear" w:color="auto" w:fill="DAEEF3" w:themeFill="accent5" w:themeFillTint="33"/>
          </w:tcPr>
          <w:p w14:paraId="21605B41" w14:textId="77777777" w:rsidR="00EE3209" w:rsidRPr="00AE376F" w:rsidRDefault="00EE3209" w:rsidP="001539D1">
            <w:pPr>
              <w:pStyle w:val="TabNumeri"/>
            </w:pPr>
            <w:r w:rsidRPr="007C5924">
              <w:t>3,2</w:t>
            </w:r>
          </w:p>
        </w:tc>
      </w:tr>
      <w:tr w:rsidR="00EE3209" w14:paraId="1002B9B5" w14:textId="77777777" w:rsidTr="001539D1">
        <w:trPr>
          <w:cantSplit/>
          <w:trHeight w:val="227"/>
        </w:trPr>
        <w:tc>
          <w:tcPr>
            <w:tcW w:w="4820" w:type="dxa"/>
          </w:tcPr>
          <w:p w14:paraId="040A7894" w14:textId="77777777" w:rsidR="00EE3209" w:rsidRDefault="00EE3209" w:rsidP="001539D1">
            <w:pPr>
              <w:pStyle w:val="TabEtichette"/>
            </w:pPr>
            <w:r w:rsidRPr="00B130A5">
              <w:t>Valore aggiunto totale per abitante (migliaia di euro)</w:t>
            </w:r>
          </w:p>
        </w:tc>
        <w:tc>
          <w:tcPr>
            <w:tcW w:w="1134" w:type="dxa"/>
          </w:tcPr>
          <w:p w14:paraId="20C06E27" w14:textId="77777777" w:rsidR="00EE3209" w:rsidRPr="00AE376F" w:rsidRDefault="00EE3209" w:rsidP="001539D1">
            <w:pPr>
              <w:pStyle w:val="TabNumeri"/>
            </w:pPr>
            <w:r w:rsidRPr="007C5924">
              <w:t>31,9</w:t>
            </w:r>
          </w:p>
        </w:tc>
        <w:tc>
          <w:tcPr>
            <w:tcW w:w="1134" w:type="dxa"/>
          </w:tcPr>
          <w:p w14:paraId="114EA457" w14:textId="77777777" w:rsidR="00EE3209" w:rsidRPr="00AE376F" w:rsidRDefault="00EE3209" w:rsidP="001539D1">
            <w:pPr>
              <w:pStyle w:val="TabNumeri"/>
            </w:pPr>
            <w:r w:rsidRPr="007C5924">
              <w:t>29,1</w:t>
            </w:r>
          </w:p>
        </w:tc>
        <w:tc>
          <w:tcPr>
            <w:tcW w:w="1134" w:type="dxa"/>
          </w:tcPr>
          <w:p w14:paraId="11034CBD" w14:textId="77777777" w:rsidR="00EE3209" w:rsidRPr="00AE376F" w:rsidRDefault="00EE3209" w:rsidP="001539D1">
            <w:pPr>
              <w:pStyle w:val="TabNumeri"/>
            </w:pPr>
            <w:r w:rsidRPr="007C5924">
              <w:t>30,8</w:t>
            </w:r>
          </w:p>
        </w:tc>
        <w:tc>
          <w:tcPr>
            <w:tcW w:w="1134" w:type="dxa"/>
          </w:tcPr>
          <w:p w14:paraId="46A3ABCD" w14:textId="77777777" w:rsidR="00EE3209" w:rsidRDefault="00EE3209" w:rsidP="001539D1">
            <w:pPr>
              <w:pStyle w:val="TabNumeri"/>
            </w:pPr>
            <w:r w:rsidRPr="007C5924">
              <w:t>32,1</w:t>
            </w:r>
          </w:p>
        </w:tc>
      </w:tr>
      <w:tr w:rsidR="00EE3209" w:rsidRPr="007C570B" w14:paraId="171448E0" w14:textId="77777777" w:rsidTr="001539D1">
        <w:trPr>
          <w:cantSplit/>
        </w:trPr>
        <w:tc>
          <w:tcPr>
            <w:tcW w:w="9356" w:type="dxa"/>
            <w:gridSpan w:val="5"/>
            <w:tcBorders>
              <w:top w:val="single" w:sz="4" w:space="0" w:color="800000"/>
            </w:tcBorders>
          </w:tcPr>
          <w:p w14:paraId="539B0D40" w14:textId="77777777" w:rsidR="00EE3209" w:rsidRDefault="00EE3209" w:rsidP="001539D1">
            <w:pPr>
              <w:pStyle w:val="TabNoteSuperiori"/>
            </w:pPr>
            <w:r>
              <w:t>(1) Al netto delle scorte. (2) Rapporto percentuale. (3) Quota sulla popolazione presente totale.</w:t>
            </w:r>
          </w:p>
          <w:p w14:paraId="7E582870" w14:textId="77777777" w:rsidR="00EE3209" w:rsidRPr="007C570B" w:rsidRDefault="00EE3209" w:rsidP="001539D1">
            <w:pPr>
              <w:pStyle w:val="TabNoteInferiori"/>
            </w:pPr>
            <w:r w:rsidRPr="00B60C06">
              <w:t xml:space="preserve">Fonte: elaborazione Unioncamere E.R. su dati Prometeia, Scenari per le economie locali, </w:t>
            </w:r>
            <w:r>
              <w:t xml:space="preserve">aprile </w:t>
            </w:r>
            <w:r>
              <w:fldChar w:fldCharType="begin"/>
            </w:r>
            <w:r>
              <w:instrText xml:space="preserve"> DATE  \@ "yyyy"  \* MERGEFORMAT </w:instrText>
            </w:r>
            <w:r>
              <w:fldChar w:fldCharType="separate"/>
            </w:r>
            <w:r>
              <w:rPr>
                <w:noProof/>
              </w:rPr>
              <w:t>2021</w:t>
            </w:r>
            <w:r>
              <w:fldChar w:fldCharType="end"/>
            </w:r>
            <w:r w:rsidRPr="00B60C06">
              <w:t>.</w:t>
            </w:r>
          </w:p>
        </w:tc>
      </w:tr>
    </w:tbl>
    <w:tbl>
      <w:tblPr>
        <w:tblpPr w:topFromText="284" w:bottomFromText="284" w:horzAnchor="margin" w:tblpXSpec="center" w:tblpYSpec="bottom"/>
        <w:tblOverlap w:val="never"/>
        <w:tblW w:w="0" w:type="auto"/>
        <w:tblLayout w:type="fixed"/>
        <w:tblCellMar>
          <w:left w:w="0" w:type="dxa"/>
          <w:right w:w="0" w:type="dxa"/>
        </w:tblCellMar>
        <w:tblLook w:val="04A0" w:firstRow="1" w:lastRow="0" w:firstColumn="1" w:lastColumn="0" w:noHBand="0" w:noVBand="1"/>
      </w:tblPr>
      <w:tblGrid>
        <w:gridCol w:w="9356"/>
      </w:tblGrid>
      <w:tr w:rsidR="00EE3209" w14:paraId="1F581506" w14:textId="77777777" w:rsidTr="001539D1">
        <w:trPr>
          <w:cantSplit/>
        </w:trPr>
        <w:tc>
          <w:tcPr>
            <w:tcW w:w="9356" w:type="dxa"/>
          </w:tcPr>
          <w:p w14:paraId="6081823E" w14:textId="77777777" w:rsidR="00EE3209" w:rsidRDefault="00EE3209" w:rsidP="001539D1">
            <w:pPr>
              <w:pStyle w:val="FigTitolo"/>
              <w:ind w:left="1134" w:hanging="1134"/>
            </w:pPr>
            <w:r>
              <w:t>Il quadro regionale: tasso di variazione e numero indice del Pil (2000=100)</w:t>
            </w:r>
          </w:p>
          <w:p w14:paraId="636E63C1" w14:textId="77777777" w:rsidR="00EE3209" w:rsidRDefault="00EE3209" w:rsidP="001539D1">
            <w:pPr>
              <w:pStyle w:val="Figure"/>
            </w:pPr>
            <w:r w:rsidRPr="00AD0198">
              <w:rPr>
                <w:noProof/>
              </w:rPr>
              <w:drawing>
                <wp:inline distT="0" distB="0" distL="0" distR="0" wp14:anchorId="112B4A05" wp14:editId="44C35631">
                  <wp:extent cx="5904000" cy="2340000"/>
                  <wp:effectExtent l="0" t="0" r="0" b="0"/>
                  <wp:docPr id="1"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CF5DE26" w14:textId="77777777" w:rsidR="00EE3209" w:rsidRDefault="00EE3209" w:rsidP="001539D1">
            <w:pPr>
              <w:pStyle w:val="TabNoteInferiori"/>
            </w:pPr>
            <w:r w:rsidRPr="0029075E">
              <w:t xml:space="preserve">Fonte: </w:t>
            </w:r>
            <w:r w:rsidRPr="00B60C06">
              <w:t xml:space="preserve">elaborazione Unioncamere E.R. su dati Prometeia, Scenari per le economie locali, </w:t>
            </w:r>
            <w:r>
              <w:t xml:space="preserve">aprile </w:t>
            </w:r>
            <w:r>
              <w:fldChar w:fldCharType="begin"/>
            </w:r>
            <w:r>
              <w:instrText xml:space="preserve"> DATE  \@ "yyyy"  \* MERGEFORMAT </w:instrText>
            </w:r>
            <w:r>
              <w:fldChar w:fldCharType="separate"/>
            </w:r>
            <w:r>
              <w:rPr>
                <w:noProof/>
              </w:rPr>
              <w:t>2021</w:t>
            </w:r>
            <w:r>
              <w:fldChar w:fldCharType="end"/>
            </w:r>
            <w:r w:rsidRPr="00B60C06">
              <w:t>.</w:t>
            </w:r>
          </w:p>
        </w:tc>
      </w:tr>
    </w:tbl>
    <w:p w14:paraId="12BAC336" w14:textId="77777777" w:rsidR="00D2518E" w:rsidRDefault="00D2518E" w:rsidP="00D2518E">
      <w:r>
        <w:t>Gli investimenti fissi lordi hanno subito un duro colpo lo scorso anno (-8,7 per cento), più ampio di quanto precedentemente ipotizzato. Ma nel 2021, grazie alle prospettive di ripresa dell’attività produttiva e ai massicci interventi pubblici, sarà una sensibile crescita degli investimenti fissi lordi (+14,0 per cento) a trainare la ripresa. I livelli di accumulazione nel 2021 saranno comunque inferiori del 15,6 per cento rispetto a quelli del precedente massimo risalente ormai al 2008.</w:t>
      </w:r>
    </w:p>
    <w:p w14:paraId="21DFB1D4" w14:textId="77777777" w:rsidR="00D2518E" w:rsidRDefault="00D2518E" w:rsidP="00D2518E">
      <w:r>
        <w:t xml:space="preserve">La caduta del commercio mondiale, accentuata dallo sfasamento temporale della diffusione mondiale dalla pandemia, ha avuto pesanti riflessi sull’export regionale, soprattutto nella prima parte del 2020, ma nel complesso sensibilmente inferiori rispetto a quanto prospettato in precedenza (-7,7 per cento) e notevolmente inferiori a quelli sperimentati nel 2009 (-21,5 per cento). Inoltre, insieme agli investimenti, saranno le vendite all’estero a sostenere la ripresa nel 2021 (+12,7 per cento), sulla scia della crescita del commercio mondiale. Al termine dell’anno corrente in valore reale le esportazioni regionali dovrebbe </w:t>
      </w:r>
      <w:r>
        <w:lastRenderedPageBreak/>
        <w:t>risultare superiori del 33,3 per cento al livello massimo precedente la crisi finanziaria, toccato nel 2007. Si tratta di un chiaro indicatore dell’importanza assunta dai mercati esteri nel sostenere l’attività e i redditi regionali.</w:t>
      </w:r>
    </w:p>
    <w:p w14:paraId="66C166C1" w14:textId="77777777" w:rsidR="00D2518E" w:rsidRDefault="00D2518E" w:rsidP="00D2518E">
      <w:bookmarkStart w:id="4" w:name="_Hlk39510571"/>
      <w:r>
        <w:t>Gli effetti delle misure adottate a difesa dalla pandemia dovrebbero avere condotto a una caduta del 10,3 per cento del valore aggiunto dell’industria in senso stretto regionale nel 2020. Ma nel 2021, la ripresa condurrà a una crescita del 9,3 per cento. Al termine dell’anno corrente, il valore aggiunto reale dell’industria risulterà superiore del 3,9 per cento rispetto al massimo precedente la crisi finanziaria del 2007.</w:t>
      </w:r>
    </w:p>
    <w:tbl>
      <w:tblPr>
        <w:tblpPr w:topFromText="284" w:bottomFromText="284" w:horzAnchor="margin" w:tblpXSpec="center" w:tblpYSpec="top"/>
        <w:tblOverlap w:val="never"/>
        <w:tblW w:w="0" w:type="auto"/>
        <w:tblLayout w:type="fixed"/>
        <w:tblCellMar>
          <w:left w:w="0" w:type="dxa"/>
          <w:right w:w="0" w:type="dxa"/>
        </w:tblCellMar>
        <w:tblLook w:val="04A0" w:firstRow="1" w:lastRow="0" w:firstColumn="1" w:lastColumn="0" w:noHBand="0" w:noVBand="1"/>
      </w:tblPr>
      <w:tblGrid>
        <w:gridCol w:w="9356"/>
      </w:tblGrid>
      <w:tr w:rsidR="00EE3209" w14:paraId="7DDC44C4" w14:textId="77777777" w:rsidTr="001539D1">
        <w:trPr>
          <w:cantSplit/>
        </w:trPr>
        <w:tc>
          <w:tcPr>
            <w:tcW w:w="9356" w:type="dxa"/>
          </w:tcPr>
          <w:p w14:paraId="0A26D024" w14:textId="77777777" w:rsidR="00EE3209" w:rsidRDefault="00EE3209" w:rsidP="001539D1">
            <w:pPr>
              <w:pStyle w:val="FigTitolo"/>
              <w:ind w:left="1134" w:hanging="1134"/>
            </w:pPr>
            <w:r>
              <w:t xml:space="preserve">Il quadro regionale, i </w:t>
            </w:r>
            <w:proofErr w:type="gramStart"/>
            <w:r>
              <w:t>settori :</w:t>
            </w:r>
            <w:proofErr w:type="gramEnd"/>
            <w:r>
              <w:t xml:space="preserve"> tassi di variazione e numeri indice del valore aggiunto (2000=100)</w:t>
            </w:r>
          </w:p>
          <w:p w14:paraId="0E0BBE36" w14:textId="77777777" w:rsidR="00EE3209" w:rsidRDefault="00EE3209" w:rsidP="001539D1">
            <w:pPr>
              <w:pStyle w:val="Figure"/>
            </w:pPr>
            <w:r w:rsidRPr="00AD0198">
              <w:rPr>
                <w:noProof/>
              </w:rPr>
              <w:drawing>
                <wp:inline distT="0" distB="0" distL="0" distR="0" wp14:anchorId="06470120" wp14:editId="6D02EE15">
                  <wp:extent cx="5904000" cy="2340000"/>
                  <wp:effectExtent l="0" t="0" r="0" b="0"/>
                  <wp:docPr id="29" name="Gra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38CDBE1" w14:textId="77777777" w:rsidR="00EE3209" w:rsidRDefault="00EE3209" w:rsidP="001539D1">
            <w:pPr>
              <w:pStyle w:val="TabNoteInferiori"/>
            </w:pPr>
            <w:r w:rsidRPr="0029075E">
              <w:t xml:space="preserve">Fonte: </w:t>
            </w:r>
            <w:r w:rsidRPr="00B60C06">
              <w:t xml:space="preserve">elaborazione Unioncamere E.R. su dati </w:t>
            </w:r>
            <w:r w:rsidRPr="0029075E">
              <w:t xml:space="preserve">Prometeia, Scenari per le economie locali, </w:t>
            </w:r>
            <w:r>
              <w:t xml:space="preserve">aprile </w:t>
            </w:r>
            <w:r>
              <w:fldChar w:fldCharType="begin"/>
            </w:r>
            <w:r>
              <w:instrText xml:space="preserve"> DATE  \@ "yyyy"  \* MERGEFORMAT </w:instrText>
            </w:r>
            <w:r>
              <w:fldChar w:fldCharType="separate"/>
            </w:r>
            <w:r>
              <w:rPr>
                <w:noProof/>
              </w:rPr>
              <w:t>2021</w:t>
            </w:r>
            <w:r>
              <w:fldChar w:fldCharType="end"/>
            </w:r>
            <w:r w:rsidRPr="006F0EA1">
              <w:t>.</w:t>
            </w:r>
          </w:p>
        </w:tc>
      </w:tr>
    </w:tbl>
    <w:p w14:paraId="248FF0A7" w14:textId="77777777" w:rsidR="00D2518E" w:rsidRDefault="00D2518E" w:rsidP="00D2518E">
      <w:r>
        <w:t>Appare decisamente più contenuta la caduta del valore aggiunto delle costruzioni stimata per lo scorso anno che dovrebbe essere stata del 5,3 per cento. Nel 2021 la tendenza positiva riprenderà con decisione (+11,6 per cento), grazie anche ai piani di investimento pubblico e alle misure di incentivazione adottate dal governo a sostegno del settore, della sicurezza sismica e della sostenibilità ambientale. Nonostante ciò, al termine del corrente anno il valore aggiunto delle costruzioni risulterà inferiore del 36,4 per cento rispetto agli eccessi del precedente massimo del 2007.</w:t>
      </w:r>
    </w:p>
    <w:p w14:paraId="410FF7C8" w14:textId="77777777" w:rsidR="00D2518E" w:rsidRDefault="00D2518E" w:rsidP="00D2518E">
      <w:r>
        <w:t>Gli effetti negativi dello shock da coronavirus si sono fatti sentire più a lungo e duramente nel settore dei servizi. Il valore aggiunto ha subito una riduzione sensibile (-8,4 per cento) lo scorso anno per effetto della pandemia. Nel 2021 la ripresa sarà decisamente parziale (+3,8 per cento), la più contenuta rispetto agli altri macrosettori, data la maggiore difficoltà ad affrontare gli effetti della pandemia nella prima metà dell’anno. Purtroppo, il modello non ci permette di osservare in dettaglio i macrosettori dei servizi, alcuni dei quali hanno ben resistito, mentre altri hanno sofferto duramente. Al termine dell’anno corrente il valore aggiunto dei servizi dovrebbe risultare inferiore dell’1,5 per cento rispetto al precedente massimo antecedente la crisi finanziaria toccato nel 2008.</w:t>
      </w:r>
    </w:p>
    <w:p w14:paraId="4935942A" w14:textId="77777777" w:rsidR="00D2518E" w:rsidRDefault="00D2518E" w:rsidP="00D2518E">
      <w:bookmarkStart w:id="5" w:name="_Hlk47101816"/>
      <w:bookmarkEnd w:id="4"/>
      <w:r>
        <w:t>Le forze di lavoro si sono ridotte sensibilmente nel 2020 per effetto dell’uscita dal mercato del lavoro di lavoratori non tutelati, non occupabili e scoraggiati dei settori maggiormente colpiti (-1,9 per cento). Nel 2021 con la ripresa dell’attività e le riaperture attese le forze di lavoro cresceranno rapidamente (+1,4 per cento). Il tasso di attività, calcolato come quota sulla popolazione presente totale, è sceso al 47,7 nel 2020, ma si riporterà al 48,3 per cento nel 2021.</w:t>
      </w:r>
    </w:p>
    <w:p w14:paraId="2781E8CD" w14:textId="77777777" w:rsidR="00D2518E" w:rsidRDefault="00D2518E" w:rsidP="00D2518E">
      <w:r>
        <w:t>La pandemia ha inciso sensibilmente sull’occupazione, nonostante le misure di salvaguardia adottate, colpendo particolarmente i lavoratori non tutelati, e con effetti protratti nel tempo. Lo scorso anno l’occupazione si è ridotta del 2,1 per cento. La tendenza negativa proseguirà, ma decisamente più contenuta, nel 2021 con un lieve calo dell’occupazione dello 0,2 per cento. Il tasso di occupazione si è ridotto sensibilmente lo scorso anno (44,9 per cento) e si ridurrà leggermente anche nel 2021 al 44,8 per cento. A fine anno risulterà inferiore di 2,5 punti rispetto al precedente massimo assoluto risalente al 2002.</w:t>
      </w:r>
    </w:p>
    <w:p w14:paraId="3DCCB646" w14:textId="77777777" w:rsidR="00D2518E" w:rsidRDefault="00D2518E" w:rsidP="00D2518E">
      <w:r>
        <w:t xml:space="preserve">Il tasso di disoccupazione era pari al 2,8 per cento nel 2007 </w:t>
      </w:r>
      <w:proofErr w:type="gramStart"/>
      <w:r>
        <w:t>e</w:t>
      </w:r>
      <w:proofErr w:type="gramEnd"/>
      <w:r>
        <w:t xml:space="preserve"> era salito all’8,4 per cento nel 2013 per poi gradualmente ridiscendere al 5,5 per cento nel 2019. Lo scorso anno è salito solo al 5,7 per cento, grazie alle misure di sostegno all’occupazione introdotte, ma anche per la cospicua fuoriuscita dal mercato del lavoro. Le conseguenze negative della pandemia sul mercato del lavoro si manifesteranno anche successivamente al rientro dell’emergenza sanitaria e le misure di sostegno all’occupazione dovranno contenere nel tempo e nel livello gli effetti sul tasso di disoccupazione che nel 2021 potrebbe salire al 7,2 per cento, il livello più elevato dal 2016.</w:t>
      </w:r>
      <w:bookmarkEnd w:id="5"/>
    </w:p>
    <w:sectPr w:rsidR="00D2518E" w:rsidSect="00EC7F1C">
      <w:footerReference w:type="even" r:id="rId13"/>
      <w:footerReference w:type="default" r:id="rId14"/>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3BE01" w14:textId="77777777" w:rsidR="0025438C" w:rsidRDefault="0025438C">
      <w:r>
        <w:separator/>
      </w:r>
    </w:p>
    <w:p w14:paraId="2D6D1052" w14:textId="77777777" w:rsidR="0025438C" w:rsidRDefault="0025438C"/>
  </w:endnote>
  <w:endnote w:type="continuationSeparator" w:id="0">
    <w:p w14:paraId="4D631F3D" w14:textId="77777777" w:rsidR="0025438C" w:rsidRDefault="0025438C">
      <w:r>
        <w:continuationSeparator/>
      </w:r>
    </w:p>
    <w:p w14:paraId="6EB2426C" w14:textId="77777777" w:rsidR="0025438C" w:rsidRDefault="00254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EA69A" w14:textId="77777777"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89214E">
      <w:rPr>
        <w:rStyle w:val="Numeropagina"/>
        <w:noProof/>
      </w:rPr>
      <w:t>2</w:t>
    </w:r>
    <w:r>
      <w:rPr>
        <w:rStyle w:val="Numeropagina"/>
      </w:rPr>
      <w:fldChar w:fldCharType="end"/>
    </w:r>
  </w:p>
  <w:p w14:paraId="63FA37D0" w14:textId="77777777" w:rsidR="00EC7F1C" w:rsidRDefault="00EC7F1C" w:rsidP="00EC7F1C">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F67C" w14:textId="77777777"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4B4540">
      <w:rPr>
        <w:rStyle w:val="Numeropagina"/>
        <w:noProof/>
      </w:rPr>
      <w:t>3</w:t>
    </w:r>
    <w:r>
      <w:rPr>
        <w:rStyle w:val="Numeropagina"/>
      </w:rPr>
      <w:fldChar w:fldCharType="end"/>
    </w:r>
  </w:p>
  <w:p w14:paraId="4CA3D3C7" w14:textId="77777777" w:rsidR="00EC7F1C" w:rsidRDefault="00EC7F1C" w:rsidP="00EC7F1C">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85376" w14:textId="77777777" w:rsidR="0025438C" w:rsidRDefault="0025438C">
      <w:r>
        <w:separator/>
      </w:r>
    </w:p>
    <w:p w14:paraId="05869842" w14:textId="77777777" w:rsidR="0025438C" w:rsidRDefault="0025438C"/>
  </w:footnote>
  <w:footnote w:type="continuationSeparator" w:id="0">
    <w:p w14:paraId="6940AB35" w14:textId="77777777" w:rsidR="0025438C" w:rsidRDefault="0025438C">
      <w:r>
        <w:continuationSeparator/>
      </w:r>
    </w:p>
    <w:p w14:paraId="70F502AB" w14:textId="77777777" w:rsidR="0025438C" w:rsidRDefault="002543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C702E"/>
    <w:multiLevelType w:val="hybridMultilevel"/>
    <w:tmpl w:val="B09E391E"/>
    <w:lvl w:ilvl="0" w:tplc="04100001">
      <w:start w:val="1"/>
      <w:numFmt w:val="bullet"/>
      <w:lvlText w:val=""/>
      <w:lvlJc w:val="left"/>
      <w:pPr>
        <w:ind w:left="947" w:hanging="360"/>
      </w:pPr>
      <w:rPr>
        <w:rFonts w:ascii="Symbol" w:hAnsi="Symbol"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121"/>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2A"/>
    <w:rsid w:val="00006931"/>
    <w:rsid w:val="00006FF0"/>
    <w:rsid w:val="000355D6"/>
    <w:rsid w:val="00060534"/>
    <w:rsid w:val="00072096"/>
    <w:rsid w:val="00084734"/>
    <w:rsid w:val="000954C7"/>
    <w:rsid w:val="000A136A"/>
    <w:rsid w:val="000A47C0"/>
    <w:rsid w:val="000A7ACE"/>
    <w:rsid w:val="000B711D"/>
    <w:rsid w:val="000C35DD"/>
    <w:rsid w:val="000C3780"/>
    <w:rsid w:val="000C5215"/>
    <w:rsid w:val="000C731A"/>
    <w:rsid w:val="000D3408"/>
    <w:rsid w:val="000D4337"/>
    <w:rsid w:val="000D5FD4"/>
    <w:rsid w:val="000D77D9"/>
    <w:rsid w:val="000E7C99"/>
    <w:rsid w:val="0011376D"/>
    <w:rsid w:val="00116309"/>
    <w:rsid w:val="001169DB"/>
    <w:rsid w:val="0012006D"/>
    <w:rsid w:val="001405BD"/>
    <w:rsid w:val="00143FE6"/>
    <w:rsid w:val="00145433"/>
    <w:rsid w:val="001454AD"/>
    <w:rsid w:val="001455FD"/>
    <w:rsid w:val="00151819"/>
    <w:rsid w:val="0015664B"/>
    <w:rsid w:val="00185B3E"/>
    <w:rsid w:val="0019786B"/>
    <w:rsid w:val="001A2E23"/>
    <w:rsid w:val="001B00BB"/>
    <w:rsid w:val="001C7B8A"/>
    <w:rsid w:val="001D3F9B"/>
    <w:rsid w:val="001E2EB1"/>
    <w:rsid w:val="001F0E1F"/>
    <w:rsid w:val="00205EB4"/>
    <w:rsid w:val="002112CA"/>
    <w:rsid w:val="0021718E"/>
    <w:rsid w:val="00226FD7"/>
    <w:rsid w:val="0023194D"/>
    <w:rsid w:val="002331F6"/>
    <w:rsid w:val="00233DDE"/>
    <w:rsid w:val="0025438C"/>
    <w:rsid w:val="002624CD"/>
    <w:rsid w:val="00280045"/>
    <w:rsid w:val="00295CB4"/>
    <w:rsid w:val="00297826"/>
    <w:rsid w:val="002A4363"/>
    <w:rsid w:val="002A67C3"/>
    <w:rsid w:val="002B3250"/>
    <w:rsid w:val="002B4A67"/>
    <w:rsid w:val="002D0E0B"/>
    <w:rsid w:val="002E0C1E"/>
    <w:rsid w:val="002F3B2B"/>
    <w:rsid w:val="003079C8"/>
    <w:rsid w:val="00311B8C"/>
    <w:rsid w:val="00326BDD"/>
    <w:rsid w:val="00337D30"/>
    <w:rsid w:val="00343BBA"/>
    <w:rsid w:val="00370DD3"/>
    <w:rsid w:val="00374C2B"/>
    <w:rsid w:val="0037602F"/>
    <w:rsid w:val="00392CCA"/>
    <w:rsid w:val="003A4CBD"/>
    <w:rsid w:val="003A7986"/>
    <w:rsid w:val="003C6E43"/>
    <w:rsid w:val="003D4594"/>
    <w:rsid w:val="003F66B1"/>
    <w:rsid w:val="00403C5A"/>
    <w:rsid w:val="004045CE"/>
    <w:rsid w:val="00421C45"/>
    <w:rsid w:val="004308CF"/>
    <w:rsid w:val="004727C6"/>
    <w:rsid w:val="00474F23"/>
    <w:rsid w:val="00475E64"/>
    <w:rsid w:val="0048031B"/>
    <w:rsid w:val="004821B2"/>
    <w:rsid w:val="00497B8C"/>
    <w:rsid w:val="004B0C54"/>
    <w:rsid w:val="004B4540"/>
    <w:rsid w:val="004B73AB"/>
    <w:rsid w:val="004B7A63"/>
    <w:rsid w:val="004C08CA"/>
    <w:rsid w:val="004C2B43"/>
    <w:rsid w:val="004D12DD"/>
    <w:rsid w:val="004D2755"/>
    <w:rsid w:val="004D5DA3"/>
    <w:rsid w:val="0050153E"/>
    <w:rsid w:val="00507F77"/>
    <w:rsid w:val="00521119"/>
    <w:rsid w:val="00526DAE"/>
    <w:rsid w:val="00530A7E"/>
    <w:rsid w:val="0053677E"/>
    <w:rsid w:val="00537422"/>
    <w:rsid w:val="00541FB1"/>
    <w:rsid w:val="00556356"/>
    <w:rsid w:val="00576C2B"/>
    <w:rsid w:val="005A3111"/>
    <w:rsid w:val="005A35E9"/>
    <w:rsid w:val="005B1DC4"/>
    <w:rsid w:val="005B25C7"/>
    <w:rsid w:val="005D3AA6"/>
    <w:rsid w:val="005E16BE"/>
    <w:rsid w:val="005F729A"/>
    <w:rsid w:val="006017C5"/>
    <w:rsid w:val="0060388C"/>
    <w:rsid w:val="006127E5"/>
    <w:rsid w:val="0061438E"/>
    <w:rsid w:val="00615949"/>
    <w:rsid w:val="006232D9"/>
    <w:rsid w:val="00624FD5"/>
    <w:rsid w:val="00627304"/>
    <w:rsid w:val="0063075B"/>
    <w:rsid w:val="00646138"/>
    <w:rsid w:val="006657DD"/>
    <w:rsid w:val="00666BD4"/>
    <w:rsid w:val="0067025A"/>
    <w:rsid w:val="006716DF"/>
    <w:rsid w:val="00675B59"/>
    <w:rsid w:val="00680B91"/>
    <w:rsid w:val="00687AC9"/>
    <w:rsid w:val="00693137"/>
    <w:rsid w:val="006A2313"/>
    <w:rsid w:val="006B24FA"/>
    <w:rsid w:val="006B25D9"/>
    <w:rsid w:val="006C2096"/>
    <w:rsid w:val="006C2562"/>
    <w:rsid w:val="006D01B7"/>
    <w:rsid w:val="006D0B80"/>
    <w:rsid w:val="006E5935"/>
    <w:rsid w:val="006F1520"/>
    <w:rsid w:val="006F328F"/>
    <w:rsid w:val="006F4958"/>
    <w:rsid w:val="00711AD4"/>
    <w:rsid w:val="00736E99"/>
    <w:rsid w:val="007413B2"/>
    <w:rsid w:val="007579C8"/>
    <w:rsid w:val="007709BA"/>
    <w:rsid w:val="007767D7"/>
    <w:rsid w:val="00776C28"/>
    <w:rsid w:val="00782A90"/>
    <w:rsid w:val="00785036"/>
    <w:rsid w:val="007864F5"/>
    <w:rsid w:val="007B585C"/>
    <w:rsid w:val="007C32E7"/>
    <w:rsid w:val="007D4EF0"/>
    <w:rsid w:val="007E6D32"/>
    <w:rsid w:val="007F4A37"/>
    <w:rsid w:val="008001F3"/>
    <w:rsid w:val="0080528A"/>
    <w:rsid w:val="0081512A"/>
    <w:rsid w:val="00823044"/>
    <w:rsid w:val="0083021E"/>
    <w:rsid w:val="00832B4E"/>
    <w:rsid w:val="008410B5"/>
    <w:rsid w:val="00847E0A"/>
    <w:rsid w:val="008575CD"/>
    <w:rsid w:val="00863834"/>
    <w:rsid w:val="00865D33"/>
    <w:rsid w:val="00872B5F"/>
    <w:rsid w:val="008761FF"/>
    <w:rsid w:val="00885A3D"/>
    <w:rsid w:val="008917D4"/>
    <w:rsid w:val="0089214E"/>
    <w:rsid w:val="00897A4F"/>
    <w:rsid w:val="008A59C8"/>
    <w:rsid w:val="008D2187"/>
    <w:rsid w:val="008E1F7C"/>
    <w:rsid w:val="008E7A1C"/>
    <w:rsid w:val="008F762B"/>
    <w:rsid w:val="00904F49"/>
    <w:rsid w:val="00906A3E"/>
    <w:rsid w:val="009124B3"/>
    <w:rsid w:val="009135F2"/>
    <w:rsid w:val="00924ED4"/>
    <w:rsid w:val="00927E9E"/>
    <w:rsid w:val="009317C6"/>
    <w:rsid w:val="00943682"/>
    <w:rsid w:val="009439FA"/>
    <w:rsid w:val="00946774"/>
    <w:rsid w:val="009520BC"/>
    <w:rsid w:val="009546A8"/>
    <w:rsid w:val="00956CB8"/>
    <w:rsid w:val="00962949"/>
    <w:rsid w:val="00964213"/>
    <w:rsid w:val="0096720D"/>
    <w:rsid w:val="00986FFE"/>
    <w:rsid w:val="00997F90"/>
    <w:rsid w:val="009A19E1"/>
    <w:rsid w:val="009B6044"/>
    <w:rsid w:val="009D0172"/>
    <w:rsid w:val="009F1A6A"/>
    <w:rsid w:val="009F3FAC"/>
    <w:rsid w:val="009F7EE6"/>
    <w:rsid w:val="00A04E5E"/>
    <w:rsid w:val="00A206B3"/>
    <w:rsid w:val="00A226D3"/>
    <w:rsid w:val="00A56554"/>
    <w:rsid w:val="00A7082C"/>
    <w:rsid w:val="00A72937"/>
    <w:rsid w:val="00A730F5"/>
    <w:rsid w:val="00A90F5A"/>
    <w:rsid w:val="00A92FA0"/>
    <w:rsid w:val="00A97F64"/>
    <w:rsid w:val="00AA3813"/>
    <w:rsid w:val="00AA704C"/>
    <w:rsid w:val="00AB3C50"/>
    <w:rsid w:val="00AC42A0"/>
    <w:rsid w:val="00AC6CE4"/>
    <w:rsid w:val="00AD3962"/>
    <w:rsid w:val="00B0117D"/>
    <w:rsid w:val="00B141FF"/>
    <w:rsid w:val="00B27432"/>
    <w:rsid w:val="00B300CF"/>
    <w:rsid w:val="00B33405"/>
    <w:rsid w:val="00B3596A"/>
    <w:rsid w:val="00B37865"/>
    <w:rsid w:val="00B510DE"/>
    <w:rsid w:val="00B74896"/>
    <w:rsid w:val="00B937FD"/>
    <w:rsid w:val="00BA4E1E"/>
    <w:rsid w:val="00BA6EC0"/>
    <w:rsid w:val="00BB4979"/>
    <w:rsid w:val="00BC1241"/>
    <w:rsid w:val="00BC5420"/>
    <w:rsid w:val="00BD16F9"/>
    <w:rsid w:val="00BD7C77"/>
    <w:rsid w:val="00BD7ED5"/>
    <w:rsid w:val="00BE6A5D"/>
    <w:rsid w:val="00BF4352"/>
    <w:rsid w:val="00C10760"/>
    <w:rsid w:val="00C35C72"/>
    <w:rsid w:val="00C40E72"/>
    <w:rsid w:val="00C43F0D"/>
    <w:rsid w:val="00C44E27"/>
    <w:rsid w:val="00C91709"/>
    <w:rsid w:val="00CA7D73"/>
    <w:rsid w:val="00CB605B"/>
    <w:rsid w:val="00CC5909"/>
    <w:rsid w:val="00CD278F"/>
    <w:rsid w:val="00CE0250"/>
    <w:rsid w:val="00CE68C2"/>
    <w:rsid w:val="00CF2079"/>
    <w:rsid w:val="00D03990"/>
    <w:rsid w:val="00D11BF6"/>
    <w:rsid w:val="00D2026C"/>
    <w:rsid w:val="00D20CDE"/>
    <w:rsid w:val="00D2518E"/>
    <w:rsid w:val="00D263C9"/>
    <w:rsid w:val="00D32334"/>
    <w:rsid w:val="00D70926"/>
    <w:rsid w:val="00D765FD"/>
    <w:rsid w:val="00D8389E"/>
    <w:rsid w:val="00D91F47"/>
    <w:rsid w:val="00DB7F10"/>
    <w:rsid w:val="00DD14C1"/>
    <w:rsid w:val="00DD43EA"/>
    <w:rsid w:val="00DE5BDC"/>
    <w:rsid w:val="00DF3629"/>
    <w:rsid w:val="00DF42E6"/>
    <w:rsid w:val="00E01DC4"/>
    <w:rsid w:val="00E167FF"/>
    <w:rsid w:val="00E3114E"/>
    <w:rsid w:val="00E52DE6"/>
    <w:rsid w:val="00E534DF"/>
    <w:rsid w:val="00E55380"/>
    <w:rsid w:val="00E678F3"/>
    <w:rsid w:val="00E67F80"/>
    <w:rsid w:val="00E743E6"/>
    <w:rsid w:val="00E85754"/>
    <w:rsid w:val="00EA3B0A"/>
    <w:rsid w:val="00EC2DB8"/>
    <w:rsid w:val="00EC7F1C"/>
    <w:rsid w:val="00ED09E7"/>
    <w:rsid w:val="00ED3E7E"/>
    <w:rsid w:val="00EE115B"/>
    <w:rsid w:val="00EE2F9D"/>
    <w:rsid w:val="00EE3209"/>
    <w:rsid w:val="00F16173"/>
    <w:rsid w:val="00F216E5"/>
    <w:rsid w:val="00F333A5"/>
    <w:rsid w:val="00F34C07"/>
    <w:rsid w:val="00F516F4"/>
    <w:rsid w:val="00F56FF5"/>
    <w:rsid w:val="00F60684"/>
    <w:rsid w:val="00F61994"/>
    <w:rsid w:val="00F72471"/>
    <w:rsid w:val="00F81090"/>
    <w:rsid w:val="00F81CE8"/>
    <w:rsid w:val="00F82353"/>
    <w:rsid w:val="00F858D8"/>
    <w:rsid w:val="00F91DDE"/>
    <w:rsid w:val="00F94364"/>
    <w:rsid w:val="00F97B57"/>
    <w:rsid w:val="00FA4C39"/>
    <w:rsid w:val="00FB0790"/>
    <w:rsid w:val="00FB5FA2"/>
    <w:rsid w:val="00FC1708"/>
    <w:rsid w:val="00FC201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2B4EF8"/>
  <w15:docId w15:val="{78088AD6-CD38-4365-86E5-A959F41CF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semiHidden/>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uiPriority w:val="59"/>
    <w:rsid w:val="00BE6A5D"/>
    <w:pPr>
      <w:spacing w:line="240" w:lineRule="atLeast"/>
      <w:ind w:firstLine="22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tichetteBold">
    <w:name w:val="Tab Etichette Bold"/>
    <w:basedOn w:val="TabEtichette"/>
    <w:rsid w:val="00EE3209"/>
    <w:rPr>
      <w:b/>
      <w:bCs/>
    </w:rPr>
  </w:style>
  <w:style w:type="paragraph" w:customStyle="1" w:styleId="tabnum">
    <w:name w:val="tab num"/>
    <w:basedOn w:val="Normale"/>
    <w:qFormat/>
    <w:rsid w:val="00EE3209"/>
    <w:pPr>
      <w:keepLines/>
      <w:spacing w:line="240" w:lineRule="auto"/>
      <w:ind w:firstLine="0"/>
      <w:jc w:val="right"/>
    </w:pPr>
    <w:rPr>
      <w:sz w:val="16"/>
      <w:szCs w:val="24"/>
    </w:rPr>
  </w:style>
  <w:style w:type="paragraph" w:customStyle="1" w:styleId="tabetic">
    <w:name w:val="tab etic"/>
    <w:basedOn w:val="Normale"/>
    <w:qFormat/>
    <w:rsid w:val="00EE3209"/>
    <w:pPr>
      <w:keepLines/>
      <w:tabs>
        <w:tab w:val="left" w:pos="113"/>
        <w:tab w:val="left" w:pos="227"/>
      </w:tabs>
      <w:spacing w:line="240" w:lineRule="auto"/>
      <w:ind w:firstLine="0"/>
      <w:jc w:val="left"/>
    </w:pPr>
    <w:rPr>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z_sistema\m_modelli\rap_eco_reg.dot"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rgbClr val="FFFFCC"/>
            </a:solidFill>
            <a:ln w="9525">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Foglio1!$B$2:$B$11</c:f>
              <c:numCache>
                <c:formatCode>0.0;[Red]\-0.0</c:formatCode>
                <c:ptCount val="10"/>
                <c:pt idx="0">
                  <c:v>-3.4</c:v>
                </c:pt>
                <c:pt idx="1">
                  <c:v>-3.5</c:v>
                </c:pt>
                <c:pt idx="2">
                  <c:v>-4.4000000000000004</c:v>
                </c:pt>
                <c:pt idx="3">
                  <c:v>-11.141255920944184</c:v>
                </c:pt>
                <c:pt idx="4">
                  <c:v>1.8</c:v>
                </c:pt>
                <c:pt idx="5">
                  <c:v>-3.6</c:v>
                </c:pt>
                <c:pt idx="6">
                  <c:v>-7.4</c:v>
                </c:pt>
                <c:pt idx="7">
                  <c:v>-2.1</c:v>
                </c:pt>
                <c:pt idx="8">
                  <c:v>2.2999999999999998</c:v>
                </c:pt>
                <c:pt idx="9">
                  <c:v>-4.8</c:v>
                </c:pt>
              </c:numCache>
            </c:numRef>
          </c:val>
          <c:extLst>
            <c:ext xmlns:c16="http://schemas.microsoft.com/office/drawing/2014/chart" uri="{C3380CC4-5D6E-409C-BE32-E72D297353CC}">
              <c16:uniqueId val="{00000000-DFEF-4225-9556-01AD28DE70A6}"/>
            </c:ext>
          </c:extLst>
        </c:ser>
        <c:ser>
          <c:idx val="1"/>
          <c:order val="1"/>
          <c:tx>
            <c:strRef>
              <c:f>Foglio1!$C$1</c:f>
              <c:strCache>
                <c:ptCount val="1"/>
                <c:pt idx="0">
                  <c:v>2021</c:v>
                </c:pt>
              </c:strCache>
            </c:strRef>
          </c:tx>
          <c:spPr>
            <a:solidFill>
              <a:schemeClr val="accent5">
                <a:lumMod val="20000"/>
                <a:lumOff val="80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Foglio1!$C$2:$C$11</c:f>
              <c:numCache>
                <c:formatCode>0.0;[Red]\-0.0</c:formatCode>
                <c:ptCount val="10"/>
                <c:pt idx="0">
                  <c:v>5.6</c:v>
                </c:pt>
                <c:pt idx="1">
                  <c:v>6.5</c:v>
                </c:pt>
                <c:pt idx="2">
                  <c:v>3.7</c:v>
                </c:pt>
                <c:pt idx="3">
                  <c:v>5.8756425715113041</c:v>
                </c:pt>
                <c:pt idx="4">
                  <c:v>5.9</c:v>
                </c:pt>
                <c:pt idx="5">
                  <c:v>2.7</c:v>
                </c:pt>
                <c:pt idx="6">
                  <c:v>12.6</c:v>
                </c:pt>
                <c:pt idx="7">
                  <c:v>4.9000000000000004</c:v>
                </c:pt>
                <c:pt idx="8">
                  <c:v>7.8</c:v>
                </c:pt>
                <c:pt idx="9">
                  <c:v>2.7</c:v>
                </c:pt>
              </c:numCache>
            </c:numRef>
          </c:val>
          <c:extLst>
            <c:ext xmlns:c16="http://schemas.microsoft.com/office/drawing/2014/chart" uri="{C3380CC4-5D6E-409C-BE32-E72D297353CC}">
              <c16:uniqueId val="{00000001-DFEF-4225-9556-01AD28DE70A6}"/>
            </c:ext>
          </c:extLst>
        </c:ser>
        <c:ser>
          <c:idx val="2"/>
          <c:order val="2"/>
          <c:tx>
            <c:strRef>
              <c:f>Foglio1!$D$1</c:f>
              <c:strCache>
                <c:ptCount val="1"/>
                <c:pt idx="0">
                  <c:v>2022</c:v>
                </c:pt>
              </c:strCache>
            </c:strRef>
          </c:tx>
          <c:spPr>
            <a:solidFill>
              <a:schemeClr val="bg1">
                <a:lumMod val="85000"/>
              </a:schemeClr>
            </a:solidFill>
            <a:ln>
              <a:solidFill>
                <a:srgbClr val="00B0F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World</c:v>
                </c:pt>
                <c:pt idx="1">
                  <c:v>Usa</c:v>
                </c:pt>
                <c:pt idx="2">
                  <c:v>Brazil</c:v>
                </c:pt>
                <c:pt idx="3">
                  <c:v>Mexico</c:v>
                </c:pt>
                <c:pt idx="4">
                  <c:v>Turkey</c:v>
                </c:pt>
                <c:pt idx="5">
                  <c:v>Russia</c:v>
                </c:pt>
                <c:pt idx="6">
                  <c:v>India</c:v>
                </c:pt>
                <c:pt idx="7">
                  <c:v>Indonesia</c:v>
                </c:pt>
                <c:pt idx="8">
                  <c:v>China</c:v>
                </c:pt>
                <c:pt idx="9">
                  <c:v>Japan</c:v>
                </c:pt>
              </c:strCache>
            </c:strRef>
          </c:cat>
          <c:val>
            <c:numRef>
              <c:f>Foglio1!$D$2:$D$11</c:f>
              <c:numCache>
                <c:formatCode>0.0;[Red]\-0.0</c:formatCode>
                <c:ptCount val="10"/>
                <c:pt idx="0">
                  <c:v>4</c:v>
                </c:pt>
                <c:pt idx="1">
                  <c:v>4</c:v>
                </c:pt>
                <c:pt idx="2">
                  <c:v>2.7</c:v>
                </c:pt>
                <c:pt idx="3">
                  <c:v>4.6905275462157112</c:v>
                </c:pt>
                <c:pt idx="4">
                  <c:v>3</c:v>
                </c:pt>
                <c:pt idx="5">
                  <c:v>2.6</c:v>
                </c:pt>
                <c:pt idx="6">
                  <c:v>5.4</c:v>
                </c:pt>
                <c:pt idx="7">
                  <c:v>5.4</c:v>
                </c:pt>
                <c:pt idx="8">
                  <c:v>4.9000000000000004</c:v>
                </c:pt>
                <c:pt idx="9">
                  <c:v>1.8</c:v>
                </c:pt>
              </c:numCache>
            </c:numRef>
          </c:val>
          <c:extLst>
            <c:ext xmlns:c16="http://schemas.microsoft.com/office/drawing/2014/chart" uri="{C3380CC4-5D6E-409C-BE32-E72D297353CC}">
              <c16:uniqueId val="{00000002-DFEF-4225-9556-01AD28DE70A6}"/>
            </c:ext>
          </c:extLst>
        </c:ser>
        <c:dLbls>
          <c:showLegendKey val="0"/>
          <c:showVal val="0"/>
          <c:showCatName val="0"/>
          <c:showSerName val="0"/>
          <c:showPercent val="0"/>
          <c:showBubbleSize val="0"/>
        </c:dLbls>
        <c:gapWidth val="10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min val="-15"/>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136227289770597"/>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373964618059108E-2"/>
          <c:y val="4.7619047619047616E-2"/>
          <c:w val="0.92515015168558479"/>
          <c:h val="0.77866288202108158"/>
        </c:manualLayout>
      </c:layout>
      <c:barChart>
        <c:barDir val="col"/>
        <c:grouping val="clustered"/>
        <c:varyColors val="0"/>
        <c:ser>
          <c:idx val="0"/>
          <c:order val="0"/>
          <c:tx>
            <c:strRef>
              <c:f>Foglio1!$B$1</c:f>
              <c:strCache>
                <c:ptCount val="1"/>
                <c:pt idx="0">
                  <c:v>2020</c:v>
                </c:pt>
              </c:strCache>
            </c:strRef>
          </c:tx>
          <c:spPr>
            <a:solidFill>
              <a:schemeClr val="accent5">
                <a:lumMod val="20000"/>
                <a:lumOff val="80000"/>
              </a:schemeClr>
            </a:solidFill>
            <a:ln>
              <a:solidFill>
                <a:schemeClr val="tx1">
                  <a:lumMod val="65000"/>
                  <a:lumOff val="35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Foglio1!$B$2:$B$11</c:f>
              <c:numCache>
                <c:formatCode>0.0;[Red]\-0.0</c:formatCode>
                <c:ptCount val="10"/>
                <c:pt idx="0">
                  <c:v>-4.9032589393442523</c:v>
                </c:pt>
                <c:pt idx="1">
                  <c:v>-8.2317523171746103</c:v>
                </c:pt>
                <c:pt idx="2">
                  <c:v>-8.8711289637504755</c:v>
                </c:pt>
                <c:pt idx="3">
                  <c:v>-10.963920409811076</c:v>
                </c:pt>
                <c:pt idx="4">
                  <c:v>-3.8</c:v>
                </c:pt>
                <c:pt idx="5">
                  <c:v>-6.5957583007692815</c:v>
                </c:pt>
                <c:pt idx="6">
                  <c:v>-2.8</c:v>
                </c:pt>
                <c:pt idx="7">
                  <c:v>-2.7</c:v>
                </c:pt>
                <c:pt idx="8">
                  <c:v>-3.9</c:v>
                </c:pt>
                <c:pt idx="9">
                  <c:v>-9.9202719802109165</c:v>
                </c:pt>
              </c:numCache>
            </c:numRef>
          </c:val>
          <c:extLst>
            <c:ext xmlns:c16="http://schemas.microsoft.com/office/drawing/2014/chart" uri="{C3380CC4-5D6E-409C-BE32-E72D297353CC}">
              <c16:uniqueId val="{00000000-1CA7-4DF2-8005-2451BF68F3C4}"/>
            </c:ext>
          </c:extLst>
        </c:ser>
        <c:ser>
          <c:idx val="1"/>
          <c:order val="1"/>
          <c:tx>
            <c:strRef>
              <c:f>Foglio1!$C$1</c:f>
              <c:strCache>
                <c:ptCount val="1"/>
                <c:pt idx="0">
                  <c:v>2021</c:v>
                </c:pt>
              </c:strCache>
            </c:strRef>
          </c:tx>
          <c:spPr>
            <a:solidFill>
              <a:srgbClr val="00B0F0"/>
            </a:solidFill>
            <a:ln>
              <a:solidFill>
                <a:schemeClr val="tx1">
                  <a:lumMod val="65000"/>
                  <a:lumOff val="35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Foglio1!$C$2:$C$11</c:f>
              <c:numCache>
                <c:formatCode>0.0;[Red]\-0.0</c:formatCode>
                <c:ptCount val="10"/>
                <c:pt idx="0">
                  <c:v>3.6024160995123338</c:v>
                </c:pt>
                <c:pt idx="1">
                  <c:v>5.8123282968676051</c:v>
                </c:pt>
                <c:pt idx="2">
                  <c:v>4.1504042732460915</c:v>
                </c:pt>
                <c:pt idx="3">
                  <c:v>6.3754281384372478</c:v>
                </c:pt>
                <c:pt idx="4">
                  <c:v>3.5</c:v>
                </c:pt>
                <c:pt idx="5">
                  <c:v>4.4289630241311437</c:v>
                </c:pt>
                <c:pt idx="6">
                  <c:v>3.1</c:v>
                </c:pt>
                <c:pt idx="7">
                  <c:v>3.5</c:v>
                </c:pt>
                <c:pt idx="8">
                  <c:v>6</c:v>
                </c:pt>
                <c:pt idx="9">
                  <c:v>5.3439491330909838</c:v>
                </c:pt>
              </c:numCache>
            </c:numRef>
          </c:val>
          <c:extLst>
            <c:ext xmlns:c16="http://schemas.microsoft.com/office/drawing/2014/chart" uri="{C3380CC4-5D6E-409C-BE32-E72D297353CC}">
              <c16:uniqueId val="{00000001-1CA7-4DF2-8005-2451BF68F3C4}"/>
            </c:ext>
          </c:extLst>
        </c:ser>
        <c:ser>
          <c:idx val="2"/>
          <c:order val="2"/>
          <c:tx>
            <c:strRef>
              <c:f>Foglio1!$D$1</c:f>
              <c:strCache>
                <c:ptCount val="1"/>
                <c:pt idx="0">
                  <c:v>2022</c:v>
                </c:pt>
              </c:strCache>
            </c:strRef>
          </c:tx>
          <c:spPr>
            <a:solidFill>
              <a:srgbClr val="0070C0"/>
            </a:solidFill>
            <a:ln>
              <a:solidFill>
                <a:schemeClr val="tx1">
                  <a:lumMod val="65000"/>
                  <a:lumOff val="35000"/>
                </a:schemeClr>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Arial" panose="020B0604020202020204" pitchFamily="34" charset="0"/>
                    <a:ea typeface="+mn-ea"/>
                    <a:cs typeface="Arial" panose="020B0604020202020204" pitchFamily="34" charset="0"/>
                  </a:defRPr>
                </a:pPr>
                <a:endParaRPr lang="it-I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Foglio1!$A$2:$A$11</c:f>
              <c:strCache>
                <c:ptCount val="10"/>
                <c:pt idx="0">
                  <c:v>Germania</c:v>
                </c:pt>
                <c:pt idx="1">
                  <c:v>Francia</c:v>
                </c:pt>
                <c:pt idx="2">
                  <c:v>Italia</c:v>
                </c:pt>
                <c:pt idx="3">
                  <c:v>Spagna</c:v>
                </c:pt>
                <c:pt idx="4">
                  <c:v>Olanda</c:v>
                </c:pt>
                <c:pt idx="5">
                  <c:v>Euro Area</c:v>
                </c:pt>
                <c:pt idx="6">
                  <c:v>Svezia</c:v>
                </c:pt>
                <c:pt idx="7">
                  <c:v>Polonia</c:v>
                </c:pt>
                <c:pt idx="8">
                  <c:v>Romania</c:v>
                </c:pt>
                <c:pt idx="9">
                  <c:v>Regno Unito</c:v>
                </c:pt>
              </c:strCache>
            </c:strRef>
          </c:cat>
          <c:val>
            <c:numRef>
              <c:f>Foglio1!$D$2:$D$11</c:f>
              <c:numCache>
                <c:formatCode>0.0;[Red]\-0.0</c:formatCode>
                <c:ptCount val="10"/>
                <c:pt idx="0">
                  <c:v>3.4243154131466333</c:v>
                </c:pt>
                <c:pt idx="1">
                  <c:v>4.2174046890331791</c:v>
                </c:pt>
                <c:pt idx="2">
                  <c:v>3.6039186656023388</c:v>
                </c:pt>
                <c:pt idx="3">
                  <c:v>4.7006102491746313</c:v>
                </c:pt>
                <c:pt idx="4">
                  <c:v>3</c:v>
                </c:pt>
                <c:pt idx="5">
                  <c:v>3.8196725296608003</c:v>
                </c:pt>
                <c:pt idx="6">
                  <c:v>3</c:v>
                </c:pt>
                <c:pt idx="7">
                  <c:v>4.5</c:v>
                </c:pt>
                <c:pt idx="8">
                  <c:v>4.8</c:v>
                </c:pt>
                <c:pt idx="9">
                  <c:v>5.0655825973973858</c:v>
                </c:pt>
              </c:numCache>
            </c:numRef>
          </c:val>
          <c:extLst>
            <c:ext xmlns:c16="http://schemas.microsoft.com/office/drawing/2014/chart" uri="{C3380CC4-5D6E-409C-BE32-E72D297353CC}">
              <c16:uniqueId val="{00000002-1CA7-4DF2-8005-2451BF68F3C4}"/>
            </c:ext>
          </c:extLst>
        </c:ser>
        <c:dLbls>
          <c:showLegendKey val="0"/>
          <c:showVal val="0"/>
          <c:showCatName val="0"/>
          <c:showSerName val="0"/>
          <c:showPercent val="0"/>
          <c:showBubbleSize val="0"/>
        </c:dLbls>
        <c:gapWidth val="50"/>
        <c:axId val="731300752"/>
        <c:axId val="731302416"/>
      </c:barChart>
      <c:catAx>
        <c:axId val="7313007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cross"/>
        <c:minorTickMark val="none"/>
        <c:tickLblPos val="low"/>
        <c:spPr>
          <a:noFill/>
          <a:ln w="9525" cap="flat" cmpd="sng" algn="ctr">
            <a:solidFill>
              <a:srgbClr val="FF0000"/>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2416"/>
        <c:crosses val="autoZero"/>
        <c:auto val="1"/>
        <c:lblAlgn val="ctr"/>
        <c:lblOffset val="100"/>
        <c:noMultiLvlLbl val="0"/>
      </c:catAx>
      <c:valAx>
        <c:axId val="731302416"/>
        <c:scaling>
          <c:orientation val="minMax"/>
          <c:min val="-15"/>
        </c:scaling>
        <c:delete val="0"/>
        <c:axPos val="l"/>
        <c:majorGridlines>
          <c:spPr>
            <a:ln w="9525" cap="flat" cmpd="sng" algn="ctr">
              <a:solidFill>
                <a:schemeClr val="tx1">
                  <a:lumMod val="15000"/>
                  <a:lumOff val="85000"/>
                </a:schemeClr>
              </a:solidFill>
              <a:prstDash val="sysDash"/>
              <a:round/>
            </a:ln>
            <a:effectLst/>
          </c:spPr>
        </c:majorGridlines>
        <c:numFmt formatCode="0.0;[Red]\-0.0" sourceLinked="1"/>
        <c:majorTickMark val="none"/>
        <c:minorTickMark val="none"/>
        <c:tickLblPos val="nextTo"/>
        <c:spPr>
          <a:noFill/>
          <a:ln>
            <a:solidFill>
              <a:schemeClr val="tx1">
                <a:lumMod val="50000"/>
                <a:lumOff val="5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crossAx val="731300752"/>
        <c:crosses val="autoZero"/>
        <c:crossBetween val="between"/>
        <c:majorUnit val="3"/>
      </c:valAx>
      <c:spPr>
        <a:noFill/>
        <a:ln w="25400">
          <a:noFill/>
        </a:ln>
        <a:effectLst/>
      </c:spPr>
    </c:plotArea>
    <c:legend>
      <c:legendPos val="b"/>
      <c:layout>
        <c:manualLayout>
          <c:xMode val="edge"/>
          <c:yMode val="edge"/>
          <c:x val="0.3969566564596092"/>
          <c:y val="0.93315241844769403"/>
          <c:w val="0.20136227289770597"/>
          <c:h val="6.684781785214628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it-I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sz="800">
          <a:latin typeface="Arial" panose="020B0604020202020204" pitchFamily="34" charset="0"/>
          <a:cs typeface="Arial" panose="020B0604020202020204" pitchFamily="34" charset="0"/>
        </a:defRPr>
      </a:pPr>
      <a:endParaRPr lang="it-IT"/>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755392826551313E-2"/>
          <c:y val="2.6248998386734904E-2"/>
          <c:w val="0.89120562330623354"/>
          <c:h val="0.88538151731568193"/>
        </c:manualLayout>
      </c:layout>
      <c:barChart>
        <c:barDir val="col"/>
        <c:grouping val="clustered"/>
        <c:varyColors val="0"/>
        <c:ser>
          <c:idx val="2"/>
          <c:order val="2"/>
          <c:tx>
            <c:strRef>
              <c:f>Foglio1!$D$1</c:f>
              <c:strCache>
                <c:ptCount val="1"/>
                <c:pt idx="0">
                  <c:v>Emilia-Romagna</c:v>
                </c:pt>
              </c:strCache>
            </c:strRef>
          </c:tx>
          <c:spPr>
            <a:solidFill>
              <a:srgbClr val="D99694"/>
            </a:solidFill>
            <a:ln>
              <a:solidFill>
                <a:srgbClr val="C00000"/>
              </a:solidFill>
            </a:ln>
          </c:spPr>
          <c:invertIfNegative val="0"/>
          <c:dLbls>
            <c:dLbl>
              <c:idx val="1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00A-4656-94DC-8E8991807910}"/>
                </c:ext>
              </c:extLst>
            </c:dLbl>
            <c:dLbl>
              <c:idx val="13"/>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00A-4656-94DC-8E8991807910}"/>
                </c:ext>
              </c:extLst>
            </c:dLbl>
            <c:dLbl>
              <c:idx val="14"/>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00A-4656-94DC-8E8991807910}"/>
                </c:ext>
              </c:extLst>
            </c:dLbl>
            <c:numFmt formatCode="0.0;[Red]\-0.0" sourceLinked="0"/>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1"/>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-0.93204009612679606</c:v>
                </c:pt>
                <c:pt idx="1">
                  <c:v>-6.6972449348851271</c:v>
                </c:pt>
                <c:pt idx="2">
                  <c:v>2.2055064983735218</c:v>
                </c:pt>
                <c:pt idx="3">
                  <c:v>2.6405205145021426</c:v>
                </c:pt>
                <c:pt idx="4">
                  <c:v>-2.8586457435854418</c:v>
                </c:pt>
                <c:pt idx="5">
                  <c:v>-0.73800762952651588</c:v>
                </c:pt>
                <c:pt idx="6">
                  <c:v>1.0096462934914063</c:v>
                </c:pt>
                <c:pt idx="7">
                  <c:v>0.53568021273482369</c:v>
                </c:pt>
                <c:pt idx="8">
                  <c:v>1.6937762975938631</c:v>
                </c:pt>
                <c:pt idx="9">
                  <c:v>2.321015694141626</c:v>
                </c:pt>
                <c:pt idx="10">
                  <c:v>1.495981133790103</c:v>
                </c:pt>
                <c:pt idx="11">
                  <c:v>0.68416427054653894</c:v>
                </c:pt>
                <c:pt idx="12">
                  <c:v>-9.0059394334575664</c:v>
                </c:pt>
                <c:pt idx="13">
                  <c:v>5.4543372885921482</c:v>
                </c:pt>
                <c:pt idx="14">
                  <c:v>4.5569080602926748</c:v>
                </c:pt>
              </c:numCache>
            </c:numRef>
          </c:val>
          <c:extLst>
            <c:ext xmlns:c16="http://schemas.microsoft.com/office/drawing/2014/chart" uri="{C3380CC4-5D6E-409C-BE32-E72D297353CC}">
              <c16:uniqueId val="{00000003-B00A-4656-94DC-8E8991807910}"/>
            </c:ext>
          </c:extLst>
        </c:ser>
        <c:ser>
          <c:idx val="3"/>
          <c:order val="3"/>
          <c:tx>
            <c:strRef>
              <c:f>Foglio1!$E$1</c:f>
              <c:strCache>
                <c:ptCount val="1"/>
                <c:pt idx="0">
                  <c:v>Italia</c:v>
                </c:pt>
              </c:strCache>
            </c:strRef>
          </c:tx>
          <c:spPr>
            <a:solidFill>
              <a:schemeClr val="accent5">
                <a:lumMod val="40000"/>
                <a:lumOff val="60000"/>
              </a:schemeClr>
            </a:solidFill>
            <a:ln>
              <a:solidFill>
                <a:schemeClr val="tx2">
                  <a:lumMod val="75000"/>
                </a:schemeClr>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-0.96201284057929604</c:v>
                </c:pt>
                <c:pt idx="1">
                  <c:v>-5.2809372082931016</c:v>
                </c:pt>
                <c:pt idx="2">
                  <c:v>1.7132958391692155</c:v>
                </c:pt>
                <c:pt idx="3">
                  <c:v>0.7073333470344334</c:v>
                </c:pt>
                <c:pt idx="4">
                  <c:v>-2.9809057682377071</c:v>
                </c:pt>
                <c:pt idx="5">
                  <c:v>-1.8410654508824953</c:v>
                </c:pt>
                <c:pt idx="6">
                  <c:v>-4.5475423638197121E-3</c:v>
                </c:pt>
                <c:pt idx="7">
                  <c:v>0.77830435071657433</c:v>
                </c:pt>
                <c:pt idx="8">
                  <c:v>1.293462731559103</c:v>
                </c:pt>
                <c:pt idx="9">
                  <c:v>1.6678590410685645</c:v>
                </c:pt>
                <c:pt idx="10">
                  <c:v>0.94173719337198314</c:v>
                </c:pt>
                <c:pt idx="11">
                  <c:v>0.28744993713920586</c:v>
                </c:pt>
                <c:pt idx="12">
                  <c:v>-8.8711463476679242</c:v>
                </c:pt>
                <c:pt idx="13">
                  <c:v>4.7136656780122577</c:v>
                </c:pt>
                <c:pt idx="14">
                  <c:v>4.2045135562689184</c:v>
                </c:pt>
              </c:numCache>
            </c:numRef>
          </c:val>
          <c:extLst>
            <c:ext xmlns:c16="http://schemas.microsoft.com/office/drawing/2014/chart" uri="{C3380CC4-5D6E-409C-BE32-E72D297353CC}">
              <c16:uniqueId val="{00000004-B00A-4656-94DC-8E8991807910}"/>
            </c:ext>
          </c:extLst>
        </c:ser>
        <c:dLbls>
          <c:showLegendKey val="0"/>
          <c:showVal val="0"/>
          <c:showCatName val="0"/>
          <c:showSerName val="0"/>
          <c:showPercent val="0"/>
          <c:showBubbleSize val="0"/>
        </c:dLbls>
        <c:gapWidth val="100"/>
        <c:axId val="351676928"/>
        <c:axId val="331912832"/>
      </c:barChart>
      <c:lineChart>
        <c:grouping val="standard"/>
        <c:varyColors val="0"/>
        <c:ser>
          <c:idx val="0"/>
          <c:order val="0"/>
          <c:tx>
            <c:strRef>
              <c:f>Foglio1!$B$1</c:f>
              <c:strCache>
                <c:ptCount val="1"/>
                <c:pt idx="0">
                  <c:v>ER</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5-B00A-4656-94DC-8E8991807910}"/>
                </c:ext>
              </c:extLst>
            </c:dLbl>
            <c:dLbl>
              <c:idx val="4"/>
              <c:delete val="1"/>
              <c:extLst>
                <c:ext xmlns:c15="http://schemas.microsoft.com/office/drawing/2012/chart" uri="{CE6537A1-D6FC-4f65-9D91-7224C49458BB}"/>
                <c:ext xmlns:c16="http://schemas.microsoft.com/office/drawing/2014/chart" uri="{C3380CC4-5D6E-409C-BE32-E72D297353CC}">
                  <c16:uniqueId val="{00000006-B00A-4656-94DC-8E8991807910}"/>
                </c:ext>
              </c:extLst>
            </c:dLbl>
            <c:dLbl>
              <c:idx val="8"/>
              <c:delete val="1"/>
              <c:extLst>
                <c:ext xmlns:c15="http://schemas.microsoft.com/office/drawing/2012/chart" uri="{CE6537A1-D6FC-4f65-9D91-7224C49458BB}"/>
                <c:ext xmlns:c16="http://schemas.microsoft.com/office/drawing/2014/chart" uri="{C3380CC4-5D6E-409C-BE32-E72D297353CC}">
                  <c16:uniqueId val="{00000007-B00A-4656-94DC-8E8991807910}"/>
                </c:ext>
              </c:extLst>
            </c:dLbl>
            <c:dLbl>
              <c:idx val="12"/>
              <c:delete val="1"/>
              <c:extLst>
                <c:ext xmlns:c15="http://schemas.microsoft.com/office/drawing/2012/chart" uri="{CE6537A1-D6FC-4f65-9D91-7224C49458BB}"/>
                <c:ext xmlns:c16="http://schemas.microsoft.com/office/drawing/2014/chart" uri="{C3380CC4-5D6E-409C-BE32-E72D297353CC}">
                  <c16:uniqueId val="{00000008-B00A-4656-94DC-8E8991807910}"/>
                </c:ext>
              </c:extLst>
            </c:dLbl>
            <c:dLbl>
              <c:idx val="13"/>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00A-4656-94DC-8E8991807910}"/>
                </c:ext>
              </c:extLst>
            </c:dLbl>
            <c:dLbl>
              <c:idx val="14"/>
              <c:delete val="1"/>
              <c:extLst>
                <c:ext xmlns:c15="http://schemas.microsoft.com/office/drawing/2012/chart" uri="{CE6537A1-D6FC-4f65-9D91-7224C49458BB}"/>
                <c:ext xmlns:c16="http://schemas.microsoft.com/office/drawing/2014/chart" uri="{C3380CC4-5D6E-409C-BE32-E72D297353CC}">
                  <c16:uniqueId val="{0000000A-B00A-4656-94DC-8E8991807910}"/>
                </c:ext>
              </c:extLst>
            </c:dLbl>
            <c:dLbl>
              <c:idx val="16"/>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00A-4656-94DC-8E8991807910}"/>
                </c:ext>
              </c:extLst>
            </c:dLbl>
            <c:dLbl>
              <c:idx val="18"/>
              <c:layout>
                <c:manualLayout>
                  <c:x val="-3.9821985094851006E-2"/>
                  <c:y val="4.016559785696911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00A-4656-94DC-8E8991807910}"/>
                </c:ext>
              </c:extLst>
            </c:dLbl>
            <c:dLbl>
              <c:idx val="20"/>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00A-4656-94DC-8E8991807910}"/>
                </c:ext>
              </c:extLst>
            </c:dLbl>
            <c:numFmt formatCode="0.0" sourceLinked="0"/>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109.32286520967401</c:v>
                </c:pt>
                <c:pt idx="1">
                  <c:v>102.00124515674781</c:v>
                </c:pt>
                <c:pt idx="2">
                  <c:v>104.25088924710178</c:v>
                </c:pt>
                <c:pt idx="3">
                  <c:v>107.00365536422241</c:v>
                </c:pt>
                <c:pt idx="4">
                  <c:v>103.94479992467222</c:v>
                </c:pt>
                <c:pt idx="5">
                  <c:v>103.17767937073208</c:v>
                </c:pt>
                <c:pt idx="6">
                  <c:v>104.21940898620912</c:v>
                </c:pt>
                <c:pt idx="7">
                  <c:v>104.77769173797742</c:v>
                </c:pt>
                <c:pt idx="8">
                  <c:v>106.55239144580126</c:v>
                </c:pt>
                <c:pt idx="9">
                  <c:v>109.02548917374155</c:v>
                </c:pt>
                <c:pt idx="10">
                  <c:v>110.65648992280309</c:v>
                </c:pt>
                <c:pt idx="11">
                  <c:v>111.41356208989583</c:v>
                </c:pt>
                <c:pt idx="12">
                  <c:v>101.37972416742217</c:v>
                </c:pt>
                <c:pt idx="13">
                  <c:v>106.90931626575775</c:v>
                </c:pt>
                <c:pt idx="14">
                  <c:v>111.78107551587586</c:v>
                </c:pt>
              </c:numCache>
            </c:numRef>
          </c:val>
          <c:smooth val="0"/>
          <c:extLst>
            <c:ext xmlns:c16="http://schemas.microsoft.com/office/drawing/2014/chart" uri="{C3380CC4-5D6E-409C-BE32-E72D297353CC}">
              <c16:uniqueId val="{0000000E-B00A-4656-94DC-8E8991807910}"/>
            </c:ext>
          </c:extLst>
        </c:ser>
        <c:ser>
          <c:idx val="1"/>
          <c:order val="1"/>
          <c:tx>
            <c:strRef>
              <c:f>Foglio1!$C$1</c:f>
              <c:strCache>
                <c:ptCount val="1"/>
                <c:pt idx="0">
                  <c:v>Ita</c:v>
                </c:pt>
              </c:strCache>
            </c:strRef>
          </c:tx>
          <c:spPr>
            <a:ln w="34925">
              <a:solidFill>
                <a:srgbClr val="376092"/>
              </a:solidFill>
            </a:ln>
          </c:spPr>
          <c:marker>
            <c:symbol val="none"/>
          </c:marker>
          <c:dLbls>
            <c:dLbl>
              <c:idx val="4"/>
              <c:delete val="1"/>
              <c:extLst>
                <c:ext xmlns:c15="http://schemas.microsoft.com/office/drawing/2012/chart" uri="{CE6537A1-D6FC-4f65-9D91-7224C49458BB}"/>
                <c:ext xmlns:c16="http://schemas.microsoft.com/office/drawing/2014/chart" uri="{C3380CC4-5D6E-409C-BE32-E72D297353CC}">
                  <c16:uniqueId val="{0000000F-B00A-4656-94DC-8E8991807910}"/>
                </c:ext>
              </c:extLst>
            </c:dLbl>
            <c:dLbl>
              <c:idx val="8"/>
              <c:delete val="1"/>
              <c:extLst>
                <c:ext xmlns:c15="http://schemas.microsoft.com/office/drawing/2012/chart" uri="{CE6537A1-D6FC-4f65-9D91-7224C49458BB}"/>
                <c:ext xmlns:c16="http://schemas.microsoft.com/office/drawing/2014/chart" uri="{C3380CC4-5D6E-409C-BE32-E72D297353CC}">
                  <c16:uniqueId val="{00000010-B00A-4656-94DC-8E8991807910}"/>
                </c:ext>
              </c:extLst>
            </c:dLbl>
            <c:dLbl>
              <c:idx val="12"/>
              <c:delete val="1"/>
              <c:extLst>
                <c:ext xmlns:c15="http://schemas.microsoft.com/office/drawing/2012/chart" uri="{CE6537A1-D6FC-4f65-9D91-7224C49458BB}"/>
                <c:ext xmlns:c16="http://schemas.microsoft.com/office/drawing/2014/chart" uri="{C3380CC4-5D6E-409C-BE32-E72D297353CC}">
                  <c16:uniqueId val="{00000011-B00A-4656-94DC-8E8991807910}"/>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00A-4656-94DC-8E8991807910}"/>
                </c:ext>
              </c:extLst>
            </c:dLbl>
            <c:dLbl>
              <c:idx val="14"/>
              <c:delete val="1"/>
              <c:extLst>
                <c:ext xmlns:c15="http://schemas.microsoft.com/office/drawing/2012/chart" uri="{CE6537A1-D6FC-4f65-9D91-7224C49458BB}"/>
                <c:ext xmlns:c16="http://schemas.microsoft.com/office/drawing/2014/chart" uri="{C3380CC4-5D6E-409C-BE32-E72D297353CC}">
                  <c16:uniqueId val="{00000013-B00A-4656-94DC-8E8991807910}"/>
                </c:ext>
              </c:extLst>
            </c:dLbl>
            <c:numFmt formatCode="#,##0.0" sourceLinked="0"/>
            <c:spPr>
              <a:noFill/>
              <a:ln>
                <a:noFill/>
              </a:ln>
              <a:effectLst/>
            </c:spPr>
            <c:txPr>
              <a:bodyPr/>
              <a:lstStyle/>
              <a:p>
                <a:pPr>
                  <a:defRPr>
                    <a:solidFill>
                      <a:srgbClr val="0070C0"/>
                    </a:solidFill>
                  </a:defRPr>
                </a:pPr>
                <a:endParaRPr lang="it-IT"/>
              </a:p>
            </c:tx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107.07620411683644</c:v>
                </c:pt>
                <c:pt idx="1">
                  <c:v>101.42157701240255</c:v>
                </c:pt>
                <c:pt idx="2">
                  <c:v>103.15922867137584</c:v>
                </c:pt>
                <c:pt idx="3">
                  <c:v>103.888908296312</c:v>
                </c:pt>
                <c:pt idx="4">
                  <c:v>100.79207783634804</c:v>
                </c:pt>
                <c:pt idx="5">
                  <c:v>98.936429714076453</c:v>
                </c:pt>
                <c:pt idx="6">
                  <c:v>98.931930538021959</c:v>
                </c:pt>
                <c:pt idx="7">
                  <c:v>99.70192205764728</c:v>
                </c:pt>
                <c:pt idx="8">
                  <c:v>100.99152926211103</c:v>
                </c:pt>
                <c:pt idx="9">
                  <c:v>102.67592561362257</c:v>
                </c:pt>
                <c:pt idx="10">
                  <c:v>103.64286299376499</c:v>
                </c:pt>
                <c:pt idx="11">
                  <c:v>103.94078433828986</c:v>
                </c:pt>
                <c:pt idx="12">
                  <c:v>94.720045244726265</c:v>
                </c:pt>
                <c:pt idx="13">
                  <c:v>99.184831507624608</c:v>
                </c:pt>
                <c:pt idx="14">
                  <c:v>103.35507119412519</c:v>
                </c:pt>
              </c:numCache>
            </c:numRef>
          </c:val>
          <c:smooth val="0"/>
          <c:extLst>
            <c:ext xmlns:c16="http://schemas.microsoft.com/office/drawing/2014/chart" uri="{C3380CC4-5D6E-409C-BE32-E72D297353CC}">
              <c16:uniqueId val="{00000014-B00A-4656-94DC-8E8991807910}"/>
            </c:ext>
          </c:extLst>
        </c:ser>
        <c:dLbls>
          <c:showLegendKey val="0"/>
          <c:showVal val="0"/>
          <c:showCatName val="0"/>
          <c:showSerName val="0"/>
          <c:showPercent val="0"/>
          <c:showBubbleSize val="0"/>
        </c:dLbls>
        <c:marker val="1"/>
        <c:smooth val="0"/>
        <c:axId val="351676416"/>
        <c:axId val="331911104"/>
      </c:lineChart>
      <c:catAx>
        <c:axId val="351676416"/>
        <c:scaling>
          <c:orientation val="minMax"/>
        </c:scaling>
        <c:delete val="0"/>
        <c:axPos val="b"/>
        <c:numFmt formatCode="General" sourceLinked="1"/>
        <c:majorTickMark val="out"/>
        <c:minorTickMark val="none"/>
        <c:tickLblPos val="nextTo"/>
        <c:crossAx val="331911104"/>
        <c:crosses val="autoZero"/>
        <c:auto val="1"/>
        <c:lblAlgn val="ctr"/>
        <c:lblOffset val="100"/>
        <c:noMultiLvlLbl val="0"/>
      </c:catAx>
      <c:valAx>
        <c:axId val="331911104"/>
        <c:scaling>
          <c:orientation val="minMax"/>
          <c:min val="91"/>
        </c:scaling>
        <c:delete val="0"/>
        <c:axPos val="l"/>
        <c:majorGridlines>
          <c:spPr>
            <a:ln w="9525">
              <a:prstDash val="dash"/>
            </a:ln>
          </c:spPr>
        </c:majorGridlines>
        <c:numFmt formatCode="0" sourceLinked="0"/>
        <c:majorTickMark val="out"/>
        <c:minorTickMark val="none"/>
        <c:tickLblPos val="nextTo"/>
        <c:crossAx val="351676416"/>
        <c:crosses val="autoZero"/>
        <c:crossBetween val="between"/>
        <c:majorUnit val="3"/>
      </c:valAx>
      <c:valAx>
        <c:axId val="331912832"/>
        <c:scaling>
          <c:orientation val="minMax"/>
        </c:scaling>
        <c:delete val="0"/>
        <c:axPos val="r"/>
        <c:numFmt formatCode="0.0" sourceLinked="1"/>
        <c:majorTickMark val="out"/>
        <c:minorTickMark val="none"/>
        <c:tickLblPos val="nextTo"/>
        <c:crossAx val="351676928"/>
        <c:crosses val="max"/>
        <c:crossBetween val="between"/>
        <c:majorUnit val="4"/>
      </c:valAx>
      <c:catAx>
        <c:axId val="351676928"/>
        <c:scaling>
          <c:orientation val="minMax"/>
        </c:scaling>
        <c:delete val="0"/>
        <c:axPos val="b"/>
        <c:numFmt formatCode="General" sourceLinked="1"/>
        <c:majorTickMark val="none"/>
        <c:minorTickMark val="none"/>
        <c:tickLblPos val="none"/>
        <c:crossAx val="331912832"/>
        <c:crossesAt val="0"/>
        <c:auto val="1"/>
        <c:lblAlgn val="ctr"/>
        <c:lblOffset val="100"/>
        <c:noMultiLvlLbl val="0"/>
      </c:catAx>
    </c:plotArea>
    <c:legend>
      <c:legendPos val="r"/>
      <c:legendEntry>
        <c:idx val="2"/>
        <c:delete val="1"/>
      </c:legendEntry>
      <c:legendEntry>
        <c:idx val="3"/>
        <c:delete val="1"/>
      </c:legendEntry>
      <c:layout>
        <c:manualLayout>
          <c:xMode val="edge"/>
          <c:yMode val="edge"/>
          <c:x val="0.23170034529807684"/>
          <c:y val="0.73023130589002017"/>
          <c:w val="0.15735225864044541"/>
          <c:h val="0.16145458905033386"/>
        </c:manualLayout>
      </c:layout>
      <c:overlay val="0"/>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3.4084376794264626E-2"/>
          <c:y val="3.1659313725490655E-2"/>
          <c:w val="0.90555737647992451"/>
          <c:h val="0.87452686460325435"/>
        </c:manualLayout>
      </c:layout>
      <c:barChart>
        <c:barDir val="col"/>
        <c:grouping val="clustered"/>
        <c:varyColors val="0"/>
        <c:ser>
          <c:idx val="3"/>
          <c:order val="3"/>
          <c:tx>
            <c:strRef>
              <c:f>Foglio1!$E$1</c:f>
              <c:strCache>
                <c:ptCount val="1"/>
                <c:pt idx="0">
                  <c:v>Industria</c:v>
                </c:pt>
              </c:strCache>
            </c:strRef>
          </c:tx>
          <c:spPr>
            <a:solidFill>
              <a:srgbClr val="C00000"/>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Foglio1!$E$2:$E$16</c:f>
              <c:numCache>
                <c:formatCode>0.0</c:formatCode>
                <c:ptCount val="15"/>
                <c:pt idx="0">
                  <c:v>-2.2213679303614842</c:v>
                </c:pt>
                <c:pt idx="1">
                  <c:v>-20.000824821632314</c:v>
                </c:pt>
                <c:pt idx="2">
                  <c:v>13.716581491499081</c:v>
                </c:pt>
                <c:pt idx="3">
                  <c:v>4.7869318181818166</c:v>
                </c:pt>
                <c:pt idx="4">
                  <c:v>-4.1165900916880886</c:v>
                </c:pt>
                <c:pt idx="5">
                  <c:v>1.2817119171233848</c:v>
                </c:pt>
                <c:pt idx="6">
                  <c:v>1.575850813912405</c:v>
                </c:pt>
                <c:pt idx="7">
                  <c:v>2.2572241406028315</c:v>
                </c:pt>
                <c:pt idx="8">
                  <c:v>3.5364120629165496</c:v>
                </c:pt>
                <c:pt idx="9">
                  <c:v>4.6788050847691887</c:v>
                </c:pt>
                <c:pt idx="10">
                  <c:v>3.647607263555841</c:v>
                </c:pt>
                <c:pt idx="11">
                  <c:v>0.41362387971564107</c:v>
                </c:pt>
                <c:pt idx="12">
                  <c:v>-10.327386918064462</c:v>
                </c:pt>
                <c:pt idx="13">
                  <c:v>9.251405002948232</c:v>
                </c:pt>
                <c:pt idx="14">
                  <c:v>4.0772337507258172</c:v>
                </c:pt>
              </c:numCache>
            </c:numRef>
          </c:val>
          <c:extLst>
            <c:ext xmlns:c16="http://schemas.microsoft.com/office/drawing/2014/chart" uri="{C3380CC4-5D6E-409C-BE32-E72D297353CC}">
              <c16:uniqueId val="{00000000-1FD0-4142-A00C-037CDE327421}"/>
            </c:ext>
          </c:extLst>
        </c:ser>
        <c:ser>
          <c:idx val="4"/>
          <c:order val="4"/>
          <c:tx>
            <c:strRef>
              <c:f>Foglio1!$F$1</c:f>
              <c:strCache>
                <c:ptCount val="1"/>
                <c:pt idx="0">
                  <c:v>Costruzioni</c:v>
                </c:pt>
              </c:strCache>
            </c:strRef>
          </c:tx>
          <c:spPr>
            <a:solidFill>
              <a:schemeClr val="bg1">
                <a:lumMod val="75000"/>
              </a:schemeClr>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Foglio1!$F$2:$F$16</c:f>
              <c:numCache>
                <c:formatCode>0.0</c:formatCode>
                <c:ptCount val="15"/>
                <c:pt idx="0">
                  <c:v>-5.4949778774979414</c:v>
                </c:pt>
                <c:pt idx="1">
                  <c:v>-8.4926278886583777</c:v>
                </c:pt>
                <c:pt idx="2">
                  <c:v>-9.9221648359642209</c:v>
                </c:pt>
                <c:pt idx="3">
                  <c:v>-6.0472691054940908</c:v>
                </c:pt>
                <c:pt idx="4">
                  <c:v>-9.5609197048921892</c:v>
                </c:pt>
                <c:pt idx="5">
                  <c:v>-4.7773676957437727</c:v>
                </c:pt>
                <c:pt idx="6">
                  <c:v>-10.380104799134992</c:v>
                </c:pt>
                <c:pt idx="7">
                  <c:v>-3.3373549883990772</c:v>
                </c:pt>
                <c:pt idx="8">
                  <c:v>3.1261401386408538</c:v>
                </c:pt>
                <c:pt idx="9">
                  <c:v>1.1972814449306535</c:v>
                </c:pt>
                <c:pt idx="10">
                  <c:v>2.8004710384926801</c:v>
                </c:pt>
                <c:pt idx="11">
                  <c:v>2.6597458385537953</c:v>
                </c:pt>
                <c:pt idx="12">
                  <c:v>-5.3407990871388478</c:v>
                </c:pt>
                <c:pt idx="13">
                  <c:v>11.64708233386853</c:v>
                </c:pt>
                <c:pt idx="14">
                  <c:v>6.8894786595631974</c:v>
                </c:pt>
              </c:numCache>
            </c:numRef>
          </c:val>
          <c:extLst>
            <c:ext xmlns:c16="http://schemas.microsoft.com/office/drawing/2014/chart" uri="{C3380CC4-5D6E-409C-BE32-E72D297353CC}">
              <c16:uniqueId val="{00000001-1FD0-4142-A00C-037CDE327421}"/>
            </c:ext>
          </c:extLst>
        </c:ser>
        <c:ser>
          <c:idx val="5"/>
          <c:order val="5"/>
          <c:tx>
            <c:strRef>
              <c:f>Foglio1!$G$1</c:f>
              <c:strCache>
                <c:ptCount val="1"/>
                <c:pt idx="0">
                  <c:v>Servizi</c:v>
                </c:pt>
              </c:strCache>
            </c:strRef>
          </c:tx>
          <c:spPr>
            <a:solidFill>
              <a:srgbClr val="99CCFF"/>
            </a:solidFill>
            <a:ln>
              <a:solidFill>
                <a:schemeClr val="tx1"/>
              </a:solidFill>
            </a:ln>
          </c:spPr>
          <c:invertIfNegative val="0"/>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Foglio1!$G$2:$G$16</c:f>
              <c:numCache>
                <c:formatCode>0.0</c:formatCode>
                <c:ptCount val="15"/>
                <c:pt idx="0">
                  <c:v>0.25126352190103507</c:v>
                </c:pt>
                <c:pt idx="1">
                  <c:v>-2.0110402683450768</c:v>
                </c:pt>
                <c:pt idx="2">
                  <c:v>-0.28601504879179895</c:v>
                </c:pt>
                <c:pt idx="3">
                  <c:v>2.3518243186668286</c:v>
                </c:pt>
                <c:pt idx="4">
                  <c:v>-1.3586611052580966</c:v>
                </c:pt>
                <c:pt idx="5">
                  <c:v>-0.91204861270658411</c:v>
                </c:pt>
                <c:pt idx="6">
                  <c:v>1.5647992001257771</c:v>
                </c:pt>
                <c:pt idx="7">
                  <c:v>0.27450683427359124</c:v>
                </c:pt>
                <c:pt idx="8">
                  <c:v>0.86113551278874656</c:v>
                </c:pt>
                <c:pt idx="9">
                  <c:v>1.6404002233005643</c:v>
                </c:pt>
                <c:pt idx="10">
                  <c:v>0.65204838959538325</c:v>
                </c:pt>
                <c:pt idx="11">
                  <c:v>0.89246698453357975</c:v>
                </c:pt>
                <c:pt idx="12">
                  <c:v>-8.406209395379328</c:v>
                </c:pt>
                <c:pt idx="13">
                  <c:v>3.7905873966746606</c:v>
                </c:pt>
                <c:pt idx="14">
                  <c:v>4.7999557388199054</c:v>
                </c:pt>
              </c:numCache>
            </c:numRef>
          </c:val>
          <c:extLst>
            <c:ext xmlns:c16="http://schemas.microsoft.com/office/drawing/2014/chart" uri="{C3380CC4-5D6E-409C-BE32-E72D297353CC}">
              <c16:uniqueId val="{00000002-1FD0-4142-A00C-037CDE327421}"/>
            </c:ext>
          </c:extLst>
        </c:ser>
        <c:dLbls>
          <c:showLegendKey val="0"/>
          <c:showVal val="0"/>
          <c:showCatName val="0"/>
          <c:showSerName val="0"/>
          <c:showPercent val="0"/>
          <c:showBubbleSize val="0"/>
        </c:dLbls>
        <c:gapWidth val="100"/>
        <c:axId val="352104448"/>
        <c:axId val="330173248"/>
      </c:barChart>
      <c:lineChart>
        <c:grouping val="standard"/>
        <c:varyColors val="0"/>
        <c:ser>
          <c:idx val="0"/>
          <c:order val="0"/>
          <c:tx>
            <c:strRef>
              <c:f>Foglio1!$B$1</c:f>
              <c:strCache>
                <c:ptCount val="1"/>
                <c:pt idx="0">
                  <c:v>Industria-i</c:v>
                </c:pt>
              </c:strCache>
            </c:strRef>
          </c:tx>
          <c:spPr>
            <a:ln w="34925">
              <a:solidFill>
                <a:srgbClr val="C00000"/>
              </a:solidFill>
            </a:ln>
          </c:spPr>
          <c:marker>
            <c:symbol val="none"/>
          </c:marker>
          <c:dLbls>
            <c:dLbl>
              <c:idx val="1"/>
              <c:delete val="1"/>
              <c:extLst>
                <c:ext xmlns:c15="http://schemas.microsoft.com/office/drawing/2012/chart" uri="{CE6537A1-D6FC-4f65-9D91-7224C49458BB}"/>
                <c:ext xmlns:c16="http://schemas.microsoft.com/office/drawing/2014/chart" uri="{C3380CC4-5D6E-409C-BE32-E72D297353CC}">
                  <c16:uniqueId val="{00000003-1FD0-4142-A00C-037CDE327421}"/>
                </c:ext>
              </c:extLst>
            </c:dLbl>
            <c:dLbl>
              <c:idx val="2"/>
              <c:delete val="1"/>
              <c:extLst>
                <c:ext xmlns:c15="http://schemas.microsoft.com/office/drawing/2012/chart" uri="{CE6537A1-D6FC-4f65-9D91-7224C49458BB}"/>
                <c:ext xmlns:c16="http://schemas.microsoft.com/office/drawing/2014/chart" uri="{C3380CC4-5D6E-409C-BE32-E72D297353CC}">
                  <c16:uniqueId val="{00000004-1FD0-4142-A00C-037CDE327421}"/>
                </c:ext>
              </c:extLst>
            </c:dLbl>
            <c:dLbl>
              <c:idx val="13"/>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FD0-4142-A00C-037CDE327421}"/>
                </c:ext>
              </c:extLst>
            </c:dLbl>
            <c:spPr>
              <a:noFill/>
              <a:ln>
                <a:noFill/>
              </a:ln>
              <a:effectLst/>
            </c:spPr>
            <c:txPr>
              <a:bodyPr/>
              <a:lstStyle/>
              <a:p>
                <a:pPr>
                  <a:defRPr>
                    <a:solidFill>
                      <a:srgbClr val="C00000"/>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Foglio1!$B$2:$B$16</c:f>
              <c:numCache>
                <c:formatCode>0.0</c:formatCode>
                <c:ptCount val="15"/>
                <c:pt idx="0">
                  <c:v>111.38178766980658</c:v>
                </c:pt>
                <c:pt idx="1">
                  <c:v>89.104511434766096</c:v>
                </c:pt>
                <c:pt idx="2">
                  <c:v>101.32660435831792</c:v>
                </c:pt>
                <c:pt idx="3">
                  <c:v>106.17703982262945</c:v>
                </c:pt>
                <c:pt idx="4">
                  <c:v>101.80616632164337</c:v>
                </c:pt>
                <c:pt idx="5">
                  <c:v>103.11102808775432</c:v>
                </c:pt>
                <c:pt idx="6">
                  <c:v>104.73590406310866</c:v>
                </c:pt>
                <c:pt idx="7">
                  <c:v>107.10002817349978</c:v>
                </c:pt>
                <c:pt idx="8">
                  <c:v>110.88752648921445</c:v>
                </c:pt>
                <c:pt idx="9">
                  <c:v>116.07573771696659</c:v>
                </c:pt>
                <c:pt idx="10">
                  <c:v>120.30972475715669</c:v>
                </c:pt>
                <c:pt idx="11">
                  <c:v>120.80735450837243</c:v>
                </c:pt>
                <c:pt idx="12">
                  <c:v>108.33111158281503</c:v>
                </c:pt>
                <c:pt idx="13">
                  <c:v>118.35326145953701</c:v>
                </c:pt>
                <c:pt idx="14">
                  <c:v>123.17880058085002</c:v>
                </c:pt>
              </c:numCache>
            </c:numRef>
          </c:val>
          <c:smooth val="0"/>
          <c:extLst>
            <c:ext xmlns:c16="http://schemas.microsoft.com/office/drawing/2014/chart" uri="{C3380CC4-5D6E-409C-BE32-E72D297353CC}">
              <c16:uniqueId val="{00000006-1FD0-4142-A00C-037CDE327421}"/>
            </c:ext>
          </c:extLst>
        </c:ser>
        <c:ser>
          <c:idx val="1"/>
          <c:order val="1"/>
          <c:tx>
            <c:strRef>
              <c:f>Foglio1!$C$1</c:f>
              <c:strCache>
                <c:ptCount val="1"/>
                <c:pt idx="0">
                  <c:v>Costruzioni-i</c:v>
                </c:pt>
              </c:strCache>
            </c:strRef>
          </c:tx>
          <c:spPr>
            <a:ln w="34925">
              <a:solidFill>
                <a:schemeClr val="bg1">
                  <a:lumMod val="50000"/>
                </a:schemeClr>
              </a:solidFill>
            </a:ln>
          </c:spPr>
          <c:marker>
            <c:symbol val="none"/>
          </c:marker>
          <c:dLbls>
            <c:dLbl>
              <c:idx val="13"/>
              <c:numFmt formatCode="0.0" sourceLinked="0"/>
              <c:spPr/>
              <c:txPr>
                <a:bodyPr/>
                <a:lstStyle/>
                <a:p>
                  <a:pPr>
                    <a:defRPr>
                      <a:solidFill>
                        <a:schemeClr val="tx1">
                          <a:lumMod val="50000"/>
                          <a:lumOff val="50000"/>
                        </a:schemeClr>
                      </a:solidFill>
                    </a:defRPr>
                  </a:pPr>
                  <a:endParaRPr lang="it-IT"/>
                </a:p>
              </c:txPr>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FD0-4142-A00C-037CDE327421}"/>
                </c:ext>
              </c:extLst>
            </c:dLbl>
            <c:dLbl>
              <c:idx val="18"/>
              <c:dLblPos val="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FD0-4142-A00C-037CDE327421}"/>
                </c:ext>
              </c:extLst>
            </c:dLbl>
            <c:spPr>
              <a:noFill/>
              <a:ln>
                <a:noFill/>
              </a:ln>
              <a:effectLst/>
            </c:spPr>
            <c:txPr>
              <a:bodyPr/>
              <a:lstStyle/>
              <a:p>
                <a:pPr>
                  <a:defRPr>
                    <a:solidFill>
                      <a:schemeClr val="tx1">
                        <a:lumMod val="50000"/>
                        <a:lumOff val="50000"/>
                      </a:schemeClr>
                    </a:solidFill>
                  </a:defRPr>
                </a:pPr>
                <a:endParaRPr lang="it-IT"/>
              </a:p>
            </c:txPr>
            <c:dLblPos val="t"/>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Foglio1!$C$2:$C$16</c:f>
              <c:numCache>
                <c:formatCode>0.0</c:formatCode>
                <c:ptCount val="15"/>
                <c:pt idx="0">
                  <c:v>129.63197330763811</c:v>
                </c:pt>
                <c:pt idx="1">
                  <c:v>118.62281218989546</c:v>
                </c:pt>
                <c:pt idx="2">
                  <c:v>106.85286123135776</c:v>
                </c:pt>
                <c:pt idx="3">
                  <c:v>100.3911811657774</c:v>
                </c:pt>
                <c:pt idx="4">
                  <c:v>90.792860943724563</c:v>
                </c:pt>
                <c:pt idx="5">
                  <c:v>86.455352134957494</c:v>
                </c:pt>
                <c:pt idx="6">
                  <c:v>77.481195978887726</c:v>
                </c:pt>
                <c:pt idx="7">
                  <c:v>74.895373419815044</c:v>
                </c:pt>
                <c:pt idx="8">
                  <c:v>77.23670775027685</c:v>
                </c:pt>
                <c:pt idx="9">
                  <c:v>78.161448520846221</c:v>
                </c:pt>
                <c:pt idx="10">
                  <c:v>80.350337249938875</c:v>
                </c:pt>
                <c:pt idx="11">
                  <c:v>82.487452001208055</c:v>
                </c:pt>
                <c:pt idx="12">
                  <c:v>78.081962917723445</c:v>
                </c:pt>
                <c:pt idx="13">
                  <c:v>87.176233426651393</c:v>
                </c:pt>
                <c:pt idx="14">
                  <c:v>93.182221424791535</c:v>
                </c:pt>
              </c:numCache>
            </c:numRef>
          </c:val>
          <c:smooth val="0"/>
          <c:extLst>
            <c:ext xmlns:c16="http://schemas.microsoft.com/office/drawing/2014/chart" uri="{C3380CC4-5D6E-409C-BE32-E72D297353CC}">
              <c16:uniqueId val="{00000009-1FD0-4142-A00C-037CDE327421}"/>
            </c:ext>
          </c:extLst>
        </c:ser>
        <c:ser>
          <c:idx val="2"/>
          <c:order val="2"/>
          <c:tx>
            <c:strRef>
              <c:f>Foglio1!$D$1</c:f>
              <c:strCache>
                <c:ptCount val="1"/>
                <c:pt idx="0">
                  <c:v>Servizi-i</c:v>
                </c:pt>
              </c:strCache>
            </c:strRef>
          </c:tx>
          <c:spPr>
            <a:ln w="34925">
              <a:solidFill>
                <a:srgbClr val="99CCFF"/>
              </a:solidFill>
            </a:ln>
          </c:spPr>
          <c:marker>
            <c:symbol val="none"/>
          </c:marker>
          <c:dLbls>
            <c:dLbl>
              <c:idx val="2"/>
              <c:delete val="1"/>
              <c:extLst>
                <c:ext xmlns:c15="http://schemas.microsoft.com/office/drawing/2012/chart" uri="{CE6537A1-D6FC-4f65-9D91-7224C49458BB}"/>
                <c:ext xmlns:c16="http://schemas.microsoft.com/office/drawing/2014/chart" uri="{C3380CC4-5D6E-409C-BE32-E72D297353CC}">
                  <c16:uniqueId val="{0000000A-1FD0-4142-A00C-037CDE327421}"/>
                </c:ext>
              </c:extLst>
            </c:dLbl>
            <c:dLbl>
              <c:idx val="13"/>
              <c:numFmt formatCode="0.0;[Red]\-0.0" sourceLinked="0"/>
              <c:spPr/>
              <c:txPr>
                <a:bodyPr/>
                <a:lstStyle/>
                <a:p>
                  <a:pPr>
                    <a:defRPr>
                      <a:solidFill>
                        <a:srgbClr val="0070C0"/>
                      </a:solidFill>
                    </a:defRPr>
                  </a:pPr>
                  <a:endParaRPr lang="it-IT"/>
                </a:p>
              </c:txPr>
              <c:dLblPos val="b"/>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FD0-4142-A00C-037CDE327421}"/>
                </c:ext>
              </c:extLst>
            </c:dLbl>
            <c:spPr>
              <a:noFill/>
              <a:ln>
                <a:noFill/>
              </a:ln>
              <a:effectLst/>
            </c:spPr>
            <c:dLblPos val="b"/>
            <c:showLegendKey val="0"/>
            <c:showVal val="0"/>
            <c:showCatName val="0"/>
            <c:showSerName val="0"/>
            <c:showPercent val="0"/>
            <c:showBubbleSize val="0"/>
            <c:extLst>
              <c:ext xmlns:c15="http://schemas.microsoft.com/office/drawing/2012/chart" uri="{CE6537A1-D6FC-4f65-9D91-7224C49458BB}">
                <c15:showLeaderLines val="0"/>
              </c:ext>
            </c:extLst>
          </c:dLbls>
          <c:cat>
            <c:numRef>
              <c:f>Foglio1!$A$2:$A$16</c:f>
              <c:numCache>
                <c:formatCode>General</c:formatCode>
                <c:ptCount val="15"/>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numCache>
            </c:numRef>
          </c:cat>
          <c:val>
            <c:numRef>
              <c:f>Foglio1!$D$2:$D$16</c:f>
              <c:numCache>
                <c:formatCode>0.0</c:formatCode>
                <c:ptCount val="15"/>
                <c:pt idx="0">
                  <c:v>109.16904233722532</c:v>
                </c:pt>
                <c:pt idx="1">
                  <c:v>106.97360893525703</c:v>
                </c:pt>
                <c:pt idx="2">
                  <c:v>106.66764831546652</c:v>
                </c:pt>
                <c:pt idx="3">
                  <c:v>109.17628400869965</c:v>
                </c:pt>
                <c:pt idx="4">
                  <c:v>107.69294830170735</c:v>
                </c:pt>
                <c:pt idx="5">
                  <c:v>106.7107362607388</c:v>
                </c:pt>
                <c:pt idx="6">
                  <c:v>108.38054500819516</c:v>
                </c:pt>
                <c:pt idx="7">
                  <c:v>108.67805701126562</c:v>
                </c:pt>
                <c:pt idx="8">
                  <c:v>109.61392235479845</c:v>
                </c:pt>
                <c:pt idx="9">
                  <c:v>111.41202938187506</c:v>
                </c:pt>
                <c:pt idx="10">
                  <c:v>112.13848972527512</c:v>
                </c:pt>
                <c:pt idx="11">
                  <c:v>113.13928872302779</c:v>
                </c:pt>
                <c:pt idx="12">
                  <c:v>103.62856320452727</c:v>
                </c:pt>
                <c:pt idx="13">
                  <c:v>107.55669446071312</c:v>
                </c:pt>
                <c:pt idx="14">
                  <c:v>112.71936818896511</c:v>
                </c:pt>
              </c:numCache>
            </c:numRef>
          </c:val>
          <c:smooth val="0"/>
          <c:extLst>
            <c:ext xmlns:c16="http://schemas.microsoft.com/office/drawing/2014/chart" uri="{C3380CC4-5D6E-409C-BE32-E72D297353CC}">
              <c16:uniqueId val="{0000000C-1FD0-4142-A00C-037CDE327421}"/>
            </c:ext>
          </c:extLst>
        </c:ser>
        <c:dLbls>
          <c:showLegendKey val="0"/>
          <c:showVal val="0"/>
          <c:showCatName val="0"/>
          <c:showSerName val="0"/>
          <c:showPercent val="0"/>
          <c:showBubbleSize val="0"/>
        </c:dLbls>
        <c:marker val="1"/>
        <c:smooth val="0"/>
        <c:axId val="351677952"/>
        <c:axId val="330172672"/>
      </c:lineChart>
      <c:catAx>
        <c:axId val="351677952"/>
        <c:scaling>
          <c:orientation val="minMax"/>
        </c:scaling>
        <c:delete val="0"/>
        <c:axPos val="b"/>
        <c:majorGridlines>
          <c:spPr>
            <a:ln w="3175"/>
          </c:spPr>
        </c:majorGridlines>
        <c:numFmt formatCode="0" sourceLinked="0"/>
        <c:majorTickMark val="out"/>
        <c:minorTickMark val="none"/>
        <c:tickLblPos val="low"/>
        <c:spPr>
          <a:ln w="3175">
            <a:solidFill>
              <a:schemeClr val="tx1"/>
            </a:solidFill>
          </a:ln>
        </c:spPr>
        <c:crossAx val="330172672"/>
        <c:crossesAt val="100"/>
        <c:auto val="1"/>
        <c:lblAlgn val="ctr"/>
        <c:lblOffset val="100"/>
        <c:noMultiLvlLbl val="0"/>
      </c:catAx>
      <c:valAx>
        <c:axId val="330172672"/>
        <c:scaling>
          <c:orientation val="minMax"/>
          <c:max val="140"/>
          <c:min val="70"/>
        </c:scaling>
        <c:delete val="0"/>
        <c:axPos val="l"/>
        <c:numFmt formatCode="0" sourceLinked="0"/>
        <c:majorTickMark val="out"/>
        <c:minorTickMark val="none"/>
        <c:tickLblPos val="nextTo"/>
        <c:crossAx val="351677952"/>
        <c:crossesAt val="1"/>
        <c:crossBetween val="between"/>
        <c:majorUnit val="10"/>
        <c:minorUnit val="5"/>
      </c:valAx>
      <c:valAx>
        <c:axId val="330173248"/>
        <c:scaling>
          <c:orientation val="minMax"/>
        </c:scaling>
        <c:delete val="0"/>
        <c:axPos val="r"/>
        <c:numFmt formatCode="0_ ;[Red]\-0\ " sourceLinked="0"/>
        <c:majorTickMark val="out"/>
        <c:minorTickMark val="none"/>
        <c:tickLblPos val="nextTo"/>
        <c:crossAx val="352104448"/>
        <c:crosses val="max"/>
        <c:crossBetween val="between"/>
      </c:valAx>
      <c:catAx>
        <c:axId val="352104448"/>
        <c:scaling>
          <c:orientation val="minMax"/>
        </c:scaling>
        <c:delete val="0"/>
        <c:axPos val="b"/>
        <c:numFmt formatCode="General" sourceLinked="1"/>
        <c:majorTickMark val="none"/>
        <c:minorTickMark val="none"/>
        <c:tickLblPos val="none"/>
        <c:crossAx val="330173248"/>
        <c:crossesAt val="0"/>
        <c:auto val="1"/>
        <c:lblAlgn val="ctr"/>
        <c:lblOffset val="100"/>
        <c:noMultiLvlLbl val="0"/>
      </c:catAx>
    </c:plotArea>
    <c:legend>
      <c:legendPos val="r"/>
      <c:legendEntry>
        <c:idx val="3"/>
        <c:delete val="1"/>
      </c:legendEntry>
      <c:legendEntry>
        <c:idx val="4"/>
        <c:delete val="1"/>
      </c:legendEntry>
      <c:legendEntry>
        <c:idx val="5"/>
        <c:delete val="1"/>
      </c:legendEntry>
      <c:layout>
        <c:manualLayout>
          <c:xMode val="edge"/>
          <c:yMode val="edge"/>
          <c:x val="0.56471499691830929"/>
          <c:y val="7.2480261541255767E-2"/>
          <c:w val="0.29473244692428935"/>
          <c:h val="7.3469588350302872E-2"/>
        </c:manualLayout>
      </c:layout>
      <c:overlay val="0"/>
      <c:spPr>
        <a:solidFill>
          <a:schemeClr val="bg1"/>
        </a:solidFill>
      </c:spPr>
    </c:legend>
    <c:plotVisOnly val="1"/>
    <c:dispBlanksAs val="gap"/>
    <c:showDLblsOverMax val="0"/>
  </c:chart>
  <c:spPr>
    <a:ln>
      <a:noFill/>
    </a:ln>
  </c:spPr>
  <c:txPr>
    <a:bodyPr/>
    <a:lstStyle/>
    <a:p>
      <a:pPr>
        <a:defRPr sz="800">
          <a:latin typeface="Arial" pitchFamily="34" charset="0"/>
          <a:cs typeface="Arial" pitchFamily="34" charset="0"/>
        </a:defRPr>
      </a:pPr>
      <a:endParaRPr lang="it-I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0.61689</cdr:x>
      <cdr:y>0.04499</cdr:y>
    </cdr:from>
    <cdr:to>
      <cdr:x>0.61754</cdr:x>
      <cdr:y>0.82241</cdr:y>
    </cdr:to>
    <cdr:cxnSp macro="">
      <cdr:nvCxnSpPr>
        <cdr:cNvPr id="4" name="Connettore diritto 3"/>
        <cdr:cNvCxnSpPr/>
      </cdr:nvCxnSpPr>
      <cdr:spPr>
        <a:xfrm xmlns:a="http://schemas.openxmlformats.org/drawingml/2006/main" flipH="1">
          <a:off x="3641886" y="89077"/>
          <a:ext cx="3838" cy="1539237"/>
        </a:xfrm>
        <a:prstGeom xmlns:a="http://schemas.openxmlformats.org/drawingml/2006/main" prst="line">
          <a:avLst/>
        </a:prstGeom>
        <a:ln xmlns:a="http://schemas.openxmlformats.org/drawingml/2006/main" w="190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0.89408</cdr:x>
      <cdr:y>0.04568</cdr:y>
    </cdr:from>
    <cdr:to>
      <cdr:x>0.89473</cdr:x>
      <cdr:y>0.8231</cdr:y>
    </cdr:to>
    <cdr:cxnSp macro="">
      <cdr:nvCxnSpPr>
        <cdr:cNvPr id="3" name="Connettore diritto 2"/>
        <cdr:cNvCxnSpPr/>
      </cdr:nvCxnSpPr>
      <cdr:spPr>
        <a:xfrm xmlns:a="http://schemas.openxmlformats.org/drawingml/2006/main" flipH="1">
          <a:off x="5245921" y="90449"/>
          <a:ext cx="3814" cy="1539238"/>
        </a:xfrm>
        <a:prstGeom xmlns:a="http://schemas.openxmlformats.org/drawingml/2006/main" prst="line">
          <a:avLst/>
        </a:prstGeom>
        <a:ln xmlns:a="http://schemas.openxmlformats.org/drawingml/2006/main" w="19050"/>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4591A-F14E-4877-8449-59E6194A0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rap_eco_reg.dot</Template>
  <TotalTime>25</TotalTime>
  <Pages>8</Pages>
  <Words>4810</Words>
  <Characters>27419</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32165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Mauro Guaitoli</dc:creator>
  <cp:lastModifiedBy>Mauro Guaitoli</cp:lastModifiedBy>
  <cp:revision>8</cp:revision>
  <cp:lastPrinted>2012-03-30T09:15:00Z</cp:lastPrinted>
  <dcterms:created xsi:type="dcterms:W3CDTF">2021-04-21T14:56:00Z</dcterms:created>
  <dcterms:modified xsi:type="dcterms:W3CDTF">2021-04-22T09:27:00Z</dcterms:modified>
</cp:coreProperties>
</file>