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E9B" w:rsidRDefault="00364E9B" w:rsidP="00364E9B">
      <w:pPr>
        <w:jc w:val="center"/>
        <w:rPr>
          <w:rFonts w:ascii="Verdana" w:hAnsi="Verdana"/>
          <w:b/>
          <w:iCs/>
          <w:sz w:val="20"/>
          <w:szCs w:val="20"/>
          <w:lang w:eastAsia="pt-BR"/>
        </w:rPr>
      </w:pPr>
      <w:r>
        <w:rPr>
          <w:rFonts w:ascii="Verdana" w:hAnsi="Verdana"/>
          <w:b/>
          <w:iCs/>
          <w:sz w:val="20"/>
        </w:rPr>
        <w:t xml:space="preserve">LEGISLAZIONE DOGANALE </w:t>
      </w:r>
    </w:p>
    <w:p w:rsidR="00364E9B" w:rsidRDefault="00364E9B" w:rsidP="00364E9B">
      <w:pPr>
        <w:jc w:val="center"/>
        <w:rPr>
          <w:rFonts w:ascii="Verdana" w:hAnsi="Verdana"/>
          <w:b/>
          <w:iCs/>
          <w:sz w:val="20"/>
          <w:szCs w:val="20"/>
        </w:rPr>
      </w:pPr>
      <w:r>
        <w:rPr>
          <w:rFonts w:ascii="Verdana" w:hAnsi="Verdana"/>
          <w:b/>
          <w:iCs/>
          <w:sz w:val="20"/>
        </w:rPr>
        <w:t xml:space="preserve">Informazioni Generali </w:t>
      </w:r>
    </w:p>
    <w:p w:rsidR="00364E9B" w:rsidRDefault="00364E9B" w:rsidP="00364E9B">
      <w:pPr>
        <w:ind w:left="709"/>
        <w:jc w:val="both"/>
        <w:rPr>
          <w:rFonts w:ascii="Bookman Old Style" w:hAnsi="Bookman Old Style"/>
          <w:sz w:val="20"/>
          <w:szCs w:val="20"/>
        </w:rPr>
      </w:pPr>
      <w:r>
        <w:rPr>
          <w:rFonts w:ascii="Bookman Old Style" w:hAnsi="Bookman Old Style"/>
          <w:b/>
          <w:sz w:val="20"/>
        </w:rPr>
        <w:t>Informazioni Generali:</w:t>
      </w:r>
    </w:p>
    <w:p w:rsidR="00364E9B" w:rsidRDefault="00364E9B" w:rsidP="00364E9B">
      <w:pPr>
        <w:ind w:left="709"/>
        <w:jc w:val="both"/>
        <w:rPr>
          <w:rFonts w:ascii="Bookman Old Style" w:hAnsi="Bookman Old Style"/>
          <w:sz w:val="20"/>
          <w:szCs w:val="20"/>
        </w:rPr>
      </w:pPr>
      <w:r>
        <w:rPr>
          <w:rFonts w:ascii="Bookman Old Style" w:hAnsi="Bookman Old Style"/>
          <w:sz w:val="20"/>
        </w:rPr>
        <w:t xml:space="preserve">Per calcolare il costo dell'importazione di merci in Brasile, vengono considerate 5 tipi diversi di imposte: </w:t>
      </w:r>
    </w:p>
    <w:p w:rsidR="00364E9B" w:rsidRDefault="00364E9B" w:rsidP="00364E9B">
      <w:pPr>
        <w:ind w:left="360"/>
        <w:jc w:val="both"/>
        <w:rPr>
          <w:rFonts w:ascii="Bookman Old Style" w:hAnsi="Bookman Old Style"/>
          <w:b/>
          <w:sz w:val="20"/>
          <w:szCs w:val="20"/>
        </w:rPr>
      </w:pPr>
    </w:p>
    <w:p w:rsidR="00364E9B" w:rsidRDefault="00364E9B" w:rsidP="00364E9B">
      <w:pPr>
        <w:ind w:left="360"/>
        <w:jc w:val="both"/>
        <w:rPr>
          <w:rFonts w:ascii="Bookman Old Style" w:hAnsi="Bookman Old Style"/>
          <w:b/>
          <w:sz w:val="20"/>
          <w:szCs w:val="20"/>
        </w:rPr>
      </w:pPr>
    </w:p>
    <w:p w:rsidR="00364E9B" w:rsidRDefault="00364E9B" w:rsidP="00364E9B">
      <w:pPr>
        <w:numPr>
          <w:ilvl w:val="0"/>
          <w:numId w:val="1"/>
        </w:numPr>
        <w:jc w:val="both"/>
        <w:rPr>
          <w:rFonts w:ascii="Bookman Old Style" w:hAnsi="Bookman Old Style"/>
          <w:sz w:val="20"/>
          <w:szCs w:val="20"/>
        </w:rPr>
      </w:pPr>
      <w:r>
        <w:rPr>
          <w:rFonts w:ascii="Bookman Old Style" w:hAnsi="Bookman Old Style"/>
          <w:b/>
          <w:sz w:val="20"/>
          <w:u w:val="single"/>
        </w:rPr>
        <w:t>IMPOSTA ALL'IMPORTAZIONE Tassa d'Importazione (Tariffa esterna comune TEC - Common External Tariff -) (I.I.)</w:t>
      </w:r>
      <w:r>
        <w:rPr>
          <w:rFonts w:ascii="Bookman Old Style" w:hAnsi="Bookman Old Style"/>
          <w:b/>
          <w:sz w:val="20"/>
        </w:rPr>
        <w:t xml:space="preserve">: </w:t>
      </w:r>
      <w:r>
        <w:rPr>
          <w:rFonts w:ascii="Bookman Old Style" w:hAnsi="Bookman Old Style"/>
          <w:sz w:val="20"/>
        </w:rPr>
        <w:t>Il Mercosur ha introdotto la tariffa esterna comune TEC, creata dal Protocollo di Ouro Preto e sottoscritta dal Brasile attraverso il Decreto n. 1343 del 23 dicembre 1994.</w:t>
      </w:r>
    </w:p>
    <w:p w:rsidR="00364E9B" w:rsidRDefault="00364E9B" w:rsidP="00364E9B">
      <w:pPr>
        <w:tabs>
          <w:tab w:val="left" w:pos="720"/>
        </w:tabs>
        <w:ind w:left="720"/>
        <w:jc w:val="both"/>
        <w:rPr>
          <w:rFonts w:ascii="Bookman Old Style" w:hAnsi="Bookman Old Style"/>
          <w:sz w:val="20"/>
          <w:szCs w:val="20"/>
        </w:rPr>
      </w:pPr>
      <w:smartTag w:uri="urn:schemas-microsoft-com:office:smarttags" w:element="PersonName">
        <w:smartTagPr>
          <w:attr w:name="ProductID" w:val="La tariffa TEC"/>
        </w:smartTagPr>
        <w:r>
          <w:rPr>
            <w:rFonts w:ascii="Bookman Old Style" w:hAnsi="Bookman Old Style"/>
            <w:sz w:val="20"/>
          </w:rPr>
          <w:t>La tariffa TEC</w:t>
        </w:r>
      </w:smartTag>
      <w:r>
        <w:rPr>
          <w:rFonts w:ascii="Bookman Old Style" w:hAnsi="Bookman Old Style"/>
          <w:sz w:val="20"/>
        </w:rPr>
        <w:t xml:space="preserve"> viene applicata nell’interscambio commerciale tra i firmatari del Mercosur con paesi terzi, e contiene diverse fasce che vanno dallo 0 al 16% potendo in alcuni casi raggiungere il 20%. Il principale obiettivo della TEC è di evitare flessioni nel flusso di mercato tra i paesi membri, dal momento che ciò causerebbe problemi a livello macro economico, con dannose conseguenze per lo sviluppo del Mercosur. </w:t>
      </w:r>
    </w:p>
    <w:p w:rsidR="00364E9B" w:rsidRDefault="00364E9B" w:rsidP="00364E9B">
      <w:pPr>
        <w:tabs>
          <w:tab w:val="left" w:pos="720"/>
        </w:tabs>
        <w:ind w:left="720"/>
        <w:jc w:val="both"/>
        <w:rPr>
          <w:rFonts w:ascii="Bookman Old Style" w:hAnsi="Bookman Old Style"/>
          <w:sz w:val="20"/>
          <w:szCs w:val="20"/>
        </w:rPr>
      </w:pPr>
    </w:p>
    <w:p w:rsidR="00364E9B" w:rsidRDefault="00364E9B" w:rsidP="00364E9B">
      <w:pPr>
        <w:tabs>
          <w:tab w:val="left" w:pos="720"/>
        </w:tabs>
        <w:ind w:left="720"/>
        <w:jc w:val="both"/>
        <w:rPr>
          <w:rFonts w:ascii="Bookman Old Style" w:hAnsi="Bookman Old Style"/>
          <w:sz w:val="20"/>
          <w:szCs w:val="20"/>
        </w:rPr>
      </w:pPr>
    </w:p>
    <w:p w:rsidR="00364E9B" w:rsidRDefault="00364E9B" w:rsidP="00364E9B">
      <w:pPr>
        <w:tabs>
          <w:tab w:val="left" w:pos="720"/>
        </w:tabs>
        <w:ind w:left="720" w:hanging="360"/>
        <w:jc w:val="both"/>
        <w:rPr>
          <w:rFonts w:ascii="Bookman Old Style" w:hAnsi="Bookman Old Style"/>
          <w:b/>
          <w:sz w:val="20"/>
          <w:szCs w:val="20"/>
          <w:u w:val="single"/>
        </w:rPr>
      </w:pPr>
      <w:r>
        <w:rPr>
          <w:rFonts w:ascii="Bookman Old Style" w:hAnsi="Bookman Old Style"/>
          <w:b/>
          <w:sz w:val="20"/>
        </w:rPr>
        <w:t>2.</w:t>
      </w:r>
      <w:r>
        <w:rPr>
          <w:rFonts w:ascii="Bookman Old Style" w:hAnsi="Bookman Old Style"/>
          <w:b/>
          <w:sz w:val="20"/>
        </w:rPr>
        <w:tab/>
      </w:r>
      <w:r>
        <w:rPr>
          <w:rFonts w:ascii="Bookman Old Style" w:hAnsi="Bookman Old Style"/>
          <w:b/>
          <w:sz w:val="20"/>
          <w:u w:val="single"/>
        </w:rPr>
        <w:t>IMPOSTA SUI PRODOTTI INDUSTRIALI (I.P.I)</w:t>
      </w:r>
      <w:r>
        <w:rPr>
          <w:rFonts w:ascii="Bookman Old Style" w:hAnsi="Bookman Old Style"/>
          <w:b/>
          <w:sz w:val="20"/>
        </w:rPr>
        <w:t>:</w:t>
      </w:r>
      <w:r>
        <w:rPr>
          <w:rFonts w:ascii="Bookman Old Style" w:hAnsi="Bookman Old Style"/>
          <w:sz w:val="20"/>
        </w:rPr>
        <w:t xml:space="preserve"> L'IPI è una imposta federale sui prodotti industriali a tasse selettive, che variano a seconda della classifica dei prodotti nella tabella inclusa nella legge fiscale dell'IPI (Legge n. 4.502 / 64 e Decreto-Legge n. 34/66). </w:t>
      </w:r>
    </w:p>
    <w:p w:rsidR="00364E9B" w:rsidRDefault="00364E9B" w:rsidP="00364E9B">
      <w:pPr>
        <w:pStyle w:val="Rientrocorpodeltesto"/>
        <w:ind w:left="709" w:hanging="1"/>
        <w:rPr>
          <w:rFonts w:ascii="Bookman Old Style" w:hAnsi="Bookman Old Style"/>
          <w:sz w:val="20"/>
        </w:rPr>
      </w:pPr>
      <w:r>
        <w:rPr>
          <w:rFonts w:ascii="Bookman Old Style" w:hAnsi="Bookman Old Style"/>
          <w:sz w:val="20"/>
        </w:rPr>
        <w:t xml:space="preserve">Per prodotto industrializzato si intende il prodotto risultante da un qualsiasi processo classificato come industriale, quantunque parziale, incompleto o intermedio. Il processo industriale è caratterizzato da ogni operazione che modifica la natura, la funzione o l'aspetto di un prodotto, mettendolo in condizioni di essere consumato. Il tasso è variabile e dipende dalla classifica dei beni nella tabella contenuta nella  legge. </w:t>
      </w:r>
    </w:p>
    <w:p w:rsidR="00364E9B" w:rsidRDefault="00364E9B" w:rsidP="00364E9B">
      <w:pPr>
        <w:pStyle w:val="Rientrocorpodeltesto"/>
        <w:ind w:left="709" w:hanging="1"/>
        <w:rPr>
          <w:rFonts w:ascii="Bookman Old Style" w:hAnsi="Bookman Old Style"/>
          <w:sz w:val="20"/>
        </w:rPr>
      </w:pPr>
    </w:p>
    <w:p w:rsidR="00364E9B" w:rsidRDefault="00364E9B" w:rsidP="00364E9B">
      <w:pPr>
        <w:pStyle w:val="Rientrocorpodeltesto"/>
        <w:ind w:left="709" w:hanging="1"/>
        <w:rPr>
          <w:rFonts w:ascii="Bookman Old Style" w:hAnsi="Bookman Old Style"/>
          <w:sz w:val="20"/>
        </w:rPr>
      </w:pPr>
    </w:p>
    <w:p w:rsidR="00364E9B" w:rsidRDefault="00364E9B" w:rsidP="00364E9B">
      <w:pPr>
        <w:tabs>
          <w:tab w:val="left" w:pos="720"/>
        </w:tabs>
        <w:ind w:left="720" w:hanging="360"/>
        <w:jc w:val="both"/>
        <w:rPr>
          <w:rFonts w:ascii="Bookman Old Style" w:hAnsi="Bookman Old Style"/>
          <w:sz w:val="20"/>
          <w:szCs w:val="20"/>
        </w:rPr>
      </w:pPr>
      <w:r>
        <w:rPr>
          <w:rFonts w:ascii="Bookman Old Style" w:hAnsi="Bookman Old Style"/>
          <w:b/>
          <w:sz w:val="20"/>
        </w:rPr>
        <w:t>3.</w:t>
      </w:r>
      <w:r>
        <w:rPr>
          <w:rFonts w:ascii="Bookman Old Style" w:hAnsi="Bookman Old Style"/>
          <w:b/>
          <w:sz w:val="20"/>
        </w:rPr>
        <w:tab/>
      </w:r>
      <w:r>
        <w:rPr>
          <w:rFonts w:ascii="Bookman Old Style" w:hAnsi="Bookman Old Style"/>
          <w:b/>
          <w:sz w:val="20"/>
          <w:u w:val="single"/>
        </w:rPr>
        <w:t>CONTRIBUTO AL (PIS)</w:t>
      </w:r>
      <w:r>
        <w:rPr>
          <w:rFonts w:ascii="Bookman Old Style" w:hAnsi="Bookman Old Style"/>
          <w:b/>
          <w:sz w:val="20"/>
        </w:rPr>
        <w:t xml:space="preserve">: </w:t>
      </w:r>
      <w:r>
        <w:rPr>
          <w:rFonts w:ascii="Bookman Old Style" w:hAnsi="Bookman Old Style"/>
          <w:sz w:val="20"/>
        </w:rPr>
        <w:t>I contributi al Programma d’Integrazione Sociale sono stati istituiti nel 1970. Tutte le imprese commerciali che sono classificate come tali dagli statuti dell’imposta sul reddito, sono soggette a tale imposta. Questo contributo grava per uno 0,65% sulle ricevute lorde delle vendite.</w:t>
      </w:r>
    </w:p>
    <w:p w:rsidR="00364E9B" w:rsidRDefault="00364E9B" w:rsidP="00364E9B">
      <w:pPr>
        <w:tabs>
          <w:tab w:val="left" w:pos="720"/>
        </w:tabs>
        <w:ind w:left="720" w:hanging="360"/>
        <w:jc w:val="both"/>
        <w:rPr>
          <w:rFonts w:ascii="Bookman Old Style" w:hAnsi="Bookman Old Style"/>
          <w:sz w:val="20"/>
        </w:rPr>
      </w:pPr>
      <w:r>
        <w:rPr>
          <w:rFonts w:ascii="Bookman Old Style" w:hAnsi="Bookman Old Style"/>
          <w:sz w:val="20"/>
        </w:rPr>
        <w:t xml:space="preserve"> </w:t>
      </w:r>
    </w:p>
    <w:p w:rsidR="00364E9B" w:rsidRDefault="00364E9B" w:rsidP="00364E9B">
      <w:pPr>
        <w:tabs>
          <w:tab w:val="left" w:pos="720"/>
        </w:tabs>
        <w:ind w:left="720" w:hanging="360"/>
        <w:jc w:val="both"/>
        <w:rPr>
          <w:rFonts w:ascii="Bookman Old Style" w:hAnsi="Bookman Old Style"/>
          <w:b/>
          <w:sz w:val="20"/>
          <w:szCs w:val="20"/>
          <w:u w:val="single"/>
        </w:rPr>
      </w:pPr>
    </w:p>
    <w:p w:rsidR="00364E9B" w:rsidRDefault="00364E9B" w:rsidP="00364E9B">
      <w:pPr>
        <w:tabs>
          <w:tab w:val="left" w:pos="720"/>
        </w:tabs>
        <w:ind w:left="720" w:hanging="360"/>
        <w:jc w:val="both"/>
        <w:rPr>
          <w:rFonts w:ascii="Bookman Old Style" w:hAnsi="Bookman Old Style"/>
          <w:sz w:val="20"/>
          <w:szCs w:val="20"/>
        </w:rPr>
      </w:pPr>
      <w:r>
        <w:rPr>
          <w:rFonts w:ascii="Bookman Old Style" w:hAnsi="Bookman Old Style"/>
          <w:b/>
          <w:sz w:val="20"/>
        </w:rPr>
        <w:t>4.</w:t>
      </w:r>
      <w:r>
        <w:rPr>
          <w:rFonts w:ascii="Bookman Old Style" w:hAnsi="Bookman Old Style"/>
          <w:b/>
          <w:sz w:val="20"/>
        </w:rPr>
        <w:tab/>
      </w:r>
      <w:r>
        <w:rPr>
          <w:rFonts w:ascii="Bookman Old Style" w:hAnsi="Bookman Old Style"/>
          <w:b/>
          <w:sz w:val="20"/>
          <w:u w:val="single"/>
        </w:rPr>
        <w:t>CONTRIBUTO SOCIALE SUL VENDUTO (COFINS)</w:t>
      </w:r>
      <w:r>
        <w:rPr>
          <w:rFonts w:ascii="Bookman Old Style" w:hAnsi="Bookman Old Style"/>
          <w:b/>
          <w:sz w:val="20"/>
        </w:rPr>
        <w:t xml:space="preserve">: </w:t>
      </w:r>
      <w:r>
        <w:rPr>
          <w:rFonts w:ascii="Bookman Old Style" w:hAnsi="Bookman Old Style"/>
          <w:sz w:val="20"/>
        </w:rPr>
        <w:t xml:space="preserve">La Legge supplementare n.70 del 30 dicembre </w:t>
      </w:r>
      <w:smartTag w:uri="urn:schemas-microsoft-com:office:smarttags" w:element="metricconverter">
        <w:smartTagPr>
          <w:attr w:name="ProductID" w:val="1991 ha"/>
        </w:smartTagPr>
        <w:r>
          <w:rPr>
            <w:rFonts w:ascii="Bookman Old Style" w:hAnsi="Bookman Old Style"/>
            <w:sz w:val="20"/>
          </w:rPr>
          <w:t>1991 ha</w:t>
        </w:r>
      </w:smartTag>
      <w:r>
        <w:rPr>
          <w:rFonts w:ascii="Bookman Old Style" w:hAnsi="Bookman Old Style"/>
          <w:sz w:val="20"/>
        </w:rPr>
        <w:t xml:space="preserve"> istituito il contributo sociale su fatturazione per aiutare le finanze del Programma di Sicurezza Sociale. Il contributo sociale deve essere corrisposto al tasso del 2% sulle ricevute lorde di vendita di merce e sulla prestazione di servizi di qualsiasi natura, con cadenza mensile.</w:t>
      </w:r>
    </w:p>
    <w:p w:rsidR="00364E9B" w:rsidRDefault="00364E9B" w:rsidP="00364E9B">
      <w:pPr>
        <w:ind w:left="360"/>
        <w:jc w:val="both"/>
        <w:rPr>
          <w:rFonts w:ascii="Bookman Old Style" w:hAnsi="Bookman Old Style"/>
          <w:b/>
          <w:sz w:val="20"/>
          <w:szCs w:val="20"/>
          <w:u w:val="single"/>
        </w:rPr>
      </w:pPr>
    </w:p>
    <w:p w:rsidR="00364E9B" w:rsidRDefault="00364E9B" w:rsidP="00364E9B">
      <w:pPr>
        <w:ind w:left="360"/>
        <w:jc w:val="both"/>
        <w:rPr>
          <w:rFonts w:ascii="Bookman Old Style" w:hAnsi="Bookman Old Style"/>
          <w:b/>
          <w:sz w:val="20"/>
          <w:szCs w:val="20"/>
          <w:u w:val="single"/>
        </w:rPr>
      </w:pPr>
    </w:p>
    <w:p w:rsidR="00364E9B" w:rsidRDefault="00364E9B" w:rsidP="00364E9B">
      <w:pPr>
        <w:tabs>
          <w:tab w:val="left" w:pos="720"/>
        </w:tabs>
        <w:ind w:left="720" w:hanging="360"/>
        <w:jc w:val="both"/>
        <w:rPr>
          <w:rFonts w:ascii="Bookman Old Style" w:hAnsi="Bookman Old Style"/>
          <w:b/>
          <w:sz w:val="20"/>
          <w:szCs w:val="20"/>
          <w:u w:val="single"/>
        </w:rPr>
      </w:pPr>
      <w:r>
        <w:rPr>
          <w:rFonts w:ascii="Bookman Old Style" w:hAnsi="Bookman Old Style"/>
          <w:b/>
          <w:sz w:val="20"/>
        </w:rPr>
        <w:t>5.</w:t>
      </w:r>
      <w:r>
        <w:rPr>
          <w:rFonts w:ascii="Bookman Old Style" w:hAnsi="Bookman Old Style"/>
          <w:b/>
          <w:sz w:val="20"/>
        </w:rPr>
        <w:tab/>
      </w:r>
      <w:r>
        <w:rPr>
          <w:rFonts w:ascii="Bookman Old Style" w:hAnsi="Bookman Old Style"/>
          <w:b/>
          <w:sz w:val="20"/>
          <w:u w:val="single"/>
        </w:rPr>
        <w:t>IMPOSTA SULLE OPERAZIONI DI CIRCOLAZIONE DI MERCI E SUI SERVIZI DI QUALSIASI NATURA (ICMS)</w:t>
      </w:r>
      <w:r>
        <w:rPr>
          <w:rFonts w:ascii="Bookman Old Style" w:hAnsi="Bookman Old Style"/>
          <w:b/>
          <w:sz w:val="20"/>
        </w:rPr>
        <w:t xml:space="preserve">: </w:t>
      </w:r>
      <w:r>
        <w:rPr>
          <w:rFonts w:ascii="Bookman Old Style" w:hAnsi="Bookman Old Style"/>
          <w:sz w:val="20"/>
        </w:rPr>
        <w:t xml:space="preserve">L'ICMS è una imposta statale che grava, con aliquota unica, tutti i prodotti indipendentemente dal fatto che siano considerati essenziali o di lusso. L'aliquota applicata nei diversi stati che compongono la federazione brasiliana, viene determinata dallo stato stesso e, nel caso di San Paolo, corrisponde al 18% sul valore della merce o dei servizi. Al momento dell'acquisto delle merci o dei servizi, l'imposta ICMS è già inclusa nel prezzo (Decreto-Legge n. 4, 31 dicembre 1968). </w:t>
      </w:r>
    </w:p>
    <w:p w:rsidR="00364E9B" w:rsidRDefault="00364E9B" w:rsidP="00364E9B">
      <w:pPr>
        <w:ind w:left="708"/>
        <w:jc w:val="both"/>
        <w:rPr>
          <w:rFonts w:ascii="Bookman Old Style" w:hAnsi="Bookman Old Style"/>
          <w:sz w:val="20"/>
          <w:szCs w:val="20"/>
        </w:rPr>
      </w:pPr>
      <w:r>
        <w:rPr>
          <w:rFonts w:ascii="Bookman Old Style" w:hAnsi="Bookman Old Style"/>
          <w:b/>
          <w:sz w:val="20"/>
          <w:szCs w:val="20"/>
          <w:u w:val="single"/>
        </w:rPr>
        <w:br w:type="page"/>
      </w:r>
      <w:r>
        <w:rPr>
          <w:rFonts w:ascii="Bookman Old Style" w:hAnsi="Bookman Old Style"/>
          <w:sz w:val="20"/>
        </w:rPr>
        <w:lastRenderedPageBreak/>
        <w:t xml:space="preserve">Con riferimento all'acquisto all'ingrosso di un prodotto, l'ICMS è registrato come un debito nel registro di controllo fiscale della ditta che acquista il prodotto, e al momento della vendita del prodotto finito, il valore dell'imposta segnalata sulla fattura fiscale viene registrato come credito. Il bilancio che risulta ogni mese corrisponde all'imposta che deve essere versata all’autorità statale.  L'ICMS è, quindi, un´imposta standard sul valore aggiunto. In particolare, l´imposta contenuta nei materiali che entrano nella ditta è addebitata contro la tassa dovuta quando il prodotto lascia lo stabilimento. Se un prodotto lavorato viene esportato, non è dovuta imposta sulla vendita: l'addebito sui materiali acquistati dallo stabilimento (che compongono il prodotto) può, comunque, essere usato contro altri crediti per vendite nel mercato interno. </w:t>
      </w:r>
    </w:p>
    <w:p w:rsidR="00364E9B" w:rsidRDefault="00364E9B" w:rsidP="00364E9B">
      <w:pPr>
        <w:ind w:left="708"/>
        <w:jc w:val="both"/>
        <w:rPr>
          <w:rFonts w:ascii="Bookman Old Style" w:hAnsi="Bookman Old Style"/>
          <w:sz w:val="20"/>
          <w:szCs w:val="20"/>
        </w:rPr>
      </w:pPr>
    </w:p>
    <w:p w:rsidR="00364E9B" w:rsidRDefault="00364E9B" w:rsidP="00364E9B">
      <w:pPr>
        <w:ind w:left="708"/>
        <w:jc w:val="both"/>
        <w:rPr>
          <w:rFonts w:ascii="Bookman Old Style" w:hAnsi="Bookman Old Style"/>
          <w:sz w:val="20"/>
          <w:szCs w:val="20"/>
        </w:rPr>
      </w:pPr>
    </w:p>
    <w:p w:rsidR="00364E9B" w:rsidRDefault="00364E9B" w:rsidP="00364E9B">
      <w:pPr>
        <w:rPr>
          <w:rFonts w:ascii="Bookman Old Style" w:hAnsi="Bookman Old Style"/>
          <w:b/>
          <w:sz w:val="20"/>
          <w:szCs w:val="20"/>
          <w:u w:val="single"/>
        </w:rPr>
      </w:pPr>
      <w:r>
        <w:rPr>
          <w:rFonts w:ascii="Bookman Old Style" w:hAnsi="Bookman Old Style"/>
          <w:b/>
          <w:sz w:val="20"/>
          <w:u w:val="single"/>
        </w:rPr>
        <w:t>Le imposte vengono calcolate "a cascata" e cioè:</w:t>
      </w:r>
    </w:p>
    <w:p w:rsidR="00364E9B" w:rsidRDefault="00364E9B" w:rsidP="00364E9B">
      <w:pPr>
        <w:ind w:left="360"/>
        <w:rPr>
          <w:rFonts w:ascii="Bookman Old Style" w:hAnsi="Bookman Old Style"/>
          <w:b/>
          <w:sz w:val="20"/>
          <w:szCs w:val="20"/>
          <w:u w:val="single"/>
        </w:rPr>
      </w:pPr>
      <w:r>
        <w:rPr>
          <w:rFonts w:ascii="Bookman Old Style" w:hAnsi="Bookman Old Style"/>
          <w:b/>
          <w:sz w:val="20"/>
          <w:u w:val="single"/>
        </w:rPr>
        <w:t xml:space="preserve"> </w:t>
      </w:r>
    </w:p>
    <w:p w:rsidR="00364E9B" w:rsidRDefault="00364E9B" w:rsidP="00364E9B">
      <w:pPr>
        <w:ind w:left="360"/>
        <w:rPr>
          <w:rFonts w:ascii="Bookman Old Style" w:hAnsi="Bookman Old Style"/>
          <w:sz w:val="20"/>
          <w:szCs w:val="20"/>
        </w:rPr>
      </w:pPr>
      <w:r>
        <w:rPr>
          <w:rFonts w:ascii="Bookman Old Style" w:hAnsi="Bookman Old Style"/>
          <w:sz w:val="20"/>
        </w:rPr>
        <w:t>L’</w:t>
      </w:r>
      <w:r>
        <w:rPr>
          <w:rFonts w:ascii="Bookman Old Style" w:hAnsi="Bookman Old Style"/>
          <w:b/>
          <w:sz w:val="20"/>
        </w:rPr>
        <w:t>II</w:t>
      </w:r>
      <w:r>
        <w:rPr>
          <w:rFonts w:ascii="Bookman Old Style" w:hAnsi="Bookman Old Style"/>
          <w:sz w:val="20"/>
        </w:rPr>
        <w:t xml:space="preserve"> =  percentuale sul valore CIF </w:t>
      </w:r>
      <w:r>
        <w:rPr>
          <w:rFonts w:ascii="Bookman Old Style" w:hAnsi="Bookman Old Style"/>
          <w:sz w:val="20"/>
        </w:rPr>
        <w:tab/>
      </w:r>
      <w:r>
        <w:rPr>
          <w:rFonts w:ascii="Bookman Old Style" w:hAnsi="Bookman Old Style"/>
          <w:sz w:val="20"/>
        </w:rPr>
        <w:tab/>
      </w:r>
    </w:p>
    <w:p w:rsidR="00364E9B" w:rsidRDefault="00364E9B" w:rsidP="00364E9B">
      <w:pPr>
        <w:pStyle w:val="Titolo5"/>
        <w:ind w:left="3686" w:hanging="3326"/>
        <w:rPr>
          <w:rFonts w:ascii="Bookman Old Style" w:eastAsia="Arial Unicode MS" w:hAnsi="Bookman Old Style"/>
          <w:sz w:val="20"/>
          <w:lang w:val="it-IT"/>
        </w:rPr>
      </w:pPr>
      <w:r>
        <w:rPr>
          <w:rFonts w:ascii="Bookman Old Style" w:hAnsi="Bookman Old Style"/>
          <w:b w:val="0"/>
          <w:bCs/>
          <w:i/>
          <w:sz w:val="20"/>
          <w:lang w:val="it-IT"/>
        </w:rPr>
        <w:t>L’</w:t>
      </w:r>
      <w:r>
        <w:rPr>
          <w:rFonts w:ascii="Bookman Old Style" w:hAnsi="Bookman Old Style"/>
          <w:i/>
          <w:sz w:val="20"/>
          <w:lang w:val="it-IT"/>
        </w:rPr>
        <w:t>IPI</w:t>
      </w:r>
      <w:r>
        <w:rPr>
          <w:rFonts w:ascii="Bookman Old Style" w:hAnsi="Bookman Old Style"/>
          <w:b w:val="0"/>
          <w:bCs/>
          <w:i/>
          <w:sz w:val="20"/>
          <w:lang w:val="it-IT"/>
        </w:rPr>
        <w:t xml:space="preserve"> </w:t>
      </w:r>
      <w:r>
        <w:rPr>
          <w:rFonts w:ascii="Bookman Old Style" w:hAnsi="Bookman Old Style"/>
          <w:i/>
          <w:sz w:val="20"/>
          <w:lang w:val="it-IT"/>
        </w:rPr>
        <w:t xml:space="preserve">= </w:t>
      </w:r>
      <w:r>
        <w:rPr>
          <w:rFonts w:ascii="Bookman Old Style" w:hAnsi="Bookman Old Style"/>
          <w:b w:val="0"/>
          <w:bCs/>
          <w:i/>
          <w:sz w:val="20"/>
          <w:lang w:val="it-IT"/>
        </w:rPr>
        <w:t>percentuale sul valore CIF</w:t>
      </w:r>
      <w:r>
        <w:rPr>
          <w:rFonts w:ascii="Bookman Old Style" w:hAnsi="Bookman Old Style"/>
          <w:i/>
          <w:sz w:val="20"/>
          <w:lang w:val="it-IT"/>
        </w:rPr>
        <w:t xml:space="preserve"> + II </w:t>
      </w:r>
    </w:p>
    <w:p w:rsidR="00364E9B" w:rsidRDefault="00364E9B" w:rsidP="00364E9B">
      <w:pPr>
        <w:pStyle w:val="Titolo5"/>
        <w:ind w:left="3686" w:hanging="3326"/>
        <w:rPr>
          <w:rFonts w:ascii="Bookman Old Style" w:eastAsia="Arial Unicode MS" w:hAnsi="Bookman Old Style"/>
          <w:sz w:val="20"/>
          <w:lang w:val="it-IT"/>
        </w:rPr>
      </w:pPr>
      <w:r>
        <w:rPr>
          <w:rFonts w:ascii="Bookman Old Style" w:hAnsi="Bookman Old Style"/>
          <w:b w:val="0"/>
          <w:bCs/>
          <w:i/>
          <w:sz w:val="20"/>
          <w:lang w:val="it-IT"/>
        </w:rPr>
        <w:t xml:space="preserve">Il </w:t>
      </w:r>
      <w:r>
        <w:rPr>
          <w:rFonts w:ascii="Bookman Old Style" w:hAnsi="Bookman Old Style"/>
          <w:bCs/>
          <w:i/>
          <w:sz w:val="20"/>
          <w:lang w:val="it-IT"/>
        </w:rPr>
        <w:t xml:space="preserve">PIS = </w:t>
      </w:r>
      <w:r>
        <w:rPr>
          <w:rFonts w:ascii="Bookman Old Style" w:hAnsi="Bookman Old Style"/>
          <w:b w:val="0"/>
          <w:bCs/>
          <w:i/>
          <w:sz w:val="20"/>
          <w:lang w:val="it-IT"/>
        </w:rPr>
        <w:t>percentuale sul valore CIF</w:t>
      </w:r>
      <w:r>
        <w:rPr>
          <w:rFonts w:ascii="Bookman Old Style" w:hAnsi="Bookman Old Style"/>
          <w:i/>
          <w:sz w:val="20"/>
          <w:lang w:val="it-IT"/>
        </w:rPr>
        <w:t xml:space="preserve"> + II + IPI</w:t>
      </w:r>
    </w:p>
    <w:p w:rsidR="00364E9B" w:rsidRDefault="00364E9B" w:rsidP="00364E9B">
      <w:pPr>
        <w:pStyle w:val="Titolo5"/>
        <w:ind w:left="3686" w:hanging="3326"/>
        <w:rPr>
          <w:rFonts w:ascii="Bookman Old Style" w:eastAsia="Arial Unicode MS" w:hAnsi="Bookman Old Style"/>
          <w:b w:val="0"/>
          <w:sz w:val="20"/>
          <w:lang w:val="it-IT"/>
        </w:rPr>
      </w:pPr>
      <w:r>
        <w:rPr>
          <w:rFonts w:ascii="Bookman Old Style" w:hAnsi="Bookman Old Style"/>
          <w:b w:val="0"/>
          <w:bCs/>
          <w:i/>
          <w:sz w:val="20"/>
          <w:lang w:val="it-IT"/>
        </w:rPr>
        <w:t xml:space="preserve">Il </w:t>
      </w:r>
      <w:r>
        <w:rPr>
          <w:rFonts w:ascii="Bookman Old Style" w:hAnsi="Bookman Old Style"/>
          <w:bCs/>
          <w:i/>
          <w:sz w:val="20"/>
          <w:lang w:val="it-IT"/>
        </w:rPr>
        <w:t>COFINS</w:t>
      </w:r>
      <w:r>
        <w:rPr>
          <w:rFonts w:ascii="Bookman Old Style" w:hAnsi="Bookman Old Style"/>
          <w:b w:val="0"/>
          <w:bCs/>
          <w:i/>
          <w:sz w:val="20"/>
          <w:lang w:val="it-IT"/>
        </w:rPr>
        <w:t xml:space="preserve"> = percentuale sul valore CIF + </w:t>
      </w:r>
      <w:r>
        <w:rPr>
          <w:rFonts w:ascii="Bookman Old Style" w:hAnsi="Bookman Old Style"/>
          <w:bCs/>
          <w:i/>
          <w:sz w:val="20"/>
          <w:lang w:val="it-IT"/>
        </w:rPr>
        <w:t>II</w:t>
      </w:r>
      <w:r>
        <w:rPr>
          <w:rFonts w:ascii="Bookman Old Style" w:hAnsi="Bookman Old Style"/>
          <w:b w:val="0"/>
          <w:bCs/>
          <w:i/>
          <w:sz w:val="20"/>
          <w:lang w:val="it-IT"/>
        </w:rPr>
        <w:t xml:space="preserve"> + </w:t>
      </w:r>
      <w:r>
        <w:rPr>
          <w:rFonts w:ascii="Bookman Old Style" w:hAnsi="Bookman Old Style"/>
          <w:bCs/>
          <w:i/>
          <w:sz w:val="20"/>
          <w:lang w:val="it-IT"/>
        </w:rPr>
        <w:t>IPI + PIS</w:t>
      </w:r>
    </w:p>
    <w:p w:rsidR="00364E9B" w:rsidRDefault="00364E9B" w:rsidP="00364E9B">
      <w:pPr>
        <w:ind w:left="360"/>
        <w:rPr>
          <w:rFonts w:ascii="Bookman Old Style" w:hAnsi="Bookman Old Style"/>
          <w:b/>
          <w:iCs/>
          <w:sz w:val="20"/>
          <w:szCs w:val="20"/>
        </w:rPr>
      </w:pPr>
      <w:r>
        <w:rPr>
          <w:rFonts w:ascii="Bookman Old Style" w:hAnsi="Bookman Old Style"/>
          <w:sz w:val="20"/>
        </w:rPr>
        <w:t>L’</w:t>
      </w:r>
      <w:r>
        <w:rPr>
          <w:rFonts w:ascii="Bookman Old Style" w:hAnsi="Bookman Old Style"/>
          <w:b/>
          <w:sz w:val="20"/>
        </w:rPr>
        <w:t xml:space="preserve">ICMS = </w:t>
      </w:r>
      <w:r>
        <w:rPr>
          <w:rFonts w:ascii="Bookman Old Style" w:hAnsi="Bookman Old Style"/>
          <w:sz w:val="20"/>
        </w:rPr>
        <w:t>percentuale</w:t>
      </w:r>
      <w:r>
        <w:rPr>
          <w:rFonts w:ascii="Bookman Old Style" w:hAnsi="Bookman Old Style"/>
          <w:b/>
          <w:sz w:val="20"/>
        </w:rPr>
        <w:t xml:space="preserve"> </w:t>
      </w:r>
      <w:r>
        <w:rPr>
          <w:rFonts w:ascii="Bookman Old Style" w:hAnsi="Bookman Old Style"/>
          <w:sz w:val="20"/>
        </w:rPr>
        <w:t xml:space="preserve">sul valore CIF + </w:t>
      </w:r>
      <w:r>
        <w:rPr>
          <w:rFonts w:ascii="Bookman Old Style" w:hAnsi="Bookman Old Style"/>
          <w:b/>
          <w:sz w:val="20"/>
        </w:rPr>
        <w:t>II</w:t>
      </w:r>
      <w:r>
        <w:rPr>
          <w:rFonts w:ascii="Bookman Old Style" w:hAnsi="Bookman Old Style"/>
          <w:sz w:val="20"/>
        </w:rPr>
        <w:t xml:space="preserve"> + </w:t>
      </w:r>
      <w:r>
        <w:rPr>
          <w:rFonts w:ascii="Bookman Old Style" w:hAnsi="Bookman Old Style"/>
          <w:b/>
          <w:sz w:val="20"/>
        </w:rPr>
        <w:t xml:space="preserve">IPI </w:t>
      </w:r>
      <w:r>
        <w:rPr>
          <w:rFonts w:ascii="Bookman Old Style" w:hAnsi="Bookman Old Style"/>
          <w:b/>
          <w:iCs/>
          <w:sz w:val="20"/>
        </w:rPr>
        <w:t>+ PIS + COFINS</w:t>
      </w:r>
    </w:p>
    <w:p w:rsidR="00364E9B" w:rsidRDefault="00364E9B" w:rsidP="00364E9B">
      <w:pPr>
        <w:ind w:left="360"/>
        <w:rPr>
          <w:rFonts w:ascii="Bookman Old Style" w:hAnsi="Bookman Old Style"/>
          <w:sz w:val="20"/>
          <w:szCs w:val="20"/>
        </w:rPr>
      </w:pPr>
    </w:p>
    <w:p w:rsidR="00364E9B" w:rsidRDefault="00364E9B" w:rsidP="00364E9B">
      <w:pPr>
        <w:ind w:left="360"/>
        <w:rPr>
          <w:rFonts w:ascii="Bookman Old Style" w:hAnsi="Bookman Old Style"/>
          <w:sz w:val="20"/>
          <w:szCs w:val="20"/>
        </w:rPr>
      </w:pPr>
    </w:p>
    <w:p w:rsidR="00364E9B" w:rsidRDefault="00364E9B" w:rsidP="00364E9B">
      <w:pPr>
        <w:ind w:left="360"/>
        <w:rPr>
          <w:rFonts w:ascii="Bookman Old Style" w:hAnsi="Bookman Old Style"/>
          <w:b/>
          <w:sz w:val="20"/>
          <w:szCs w:val="20"/>
        </w:rPr>
      </w:pPr>
      <w:r>
        <w:rPr>
          <w:rFonts w:ascii="Bookman Old Style" w:hAnsi="Bookman Old Style"/>
          <w:b/>
          <w:sz w:val="20"/>
        </w:rPr>
        <w:t>NOTA: Base Valore CIF della merce</w:t>
      </w:r>
    </w:p>
    <w:p w:rsidR="00364E9B" w:rsidRDefault="00364E9B" w:rsidP="00364E9B">
      <w:pPr>
        <w:ind w:left="360"/>
        <w:rPr>
          <w:rFonts w:ascii="Bookman Old Style" w:hAnsi="Bookman Old Style"/>
          <w:sz w:val="20"/>
          <w:szCs w:val="20"/>
        </w:rPr>
      </w:pPr>
      <w:r>
        <w:rPr>
          <w:rFonts w:ascii="Bookman Old Style" w:hAnsi="Bookman Old Style"/>
          <w:sz w:val="20"/>
        </w:rPr>
        <w:t xml:space="preserve">Valore Fob merce (X) </w:t>
      </w:r>
    </w:p>
    <w:p w:rsidR="00364E9B" w:rsidRDefault="00364E9B" w:rsidP="00364E9B">
      <w:pPr>
        <w:ind w:left="360"/>
        <w:rPr>
          <w:rFonts w:ascii="Bookman Old Style" w:hAnsi="Bookman Old Style"/>
          <w:sz w:val="20"/>
        </w:rPr>
      </w:pPr>
      <w:r>
        <w:rPr>
          <w:rFonts w:ascii="Bookman Old Style" w:hAnsi="Bookman Old Style"/>
          <w:sz w:val="20"/>
        </w:rPr>
        <w:t xml:space="preserve">Assicurazione (Y) </w:t>
      </w:r>
    </w:p>
    <w:p w:rsidR="00364E9B" w:rsidRDefault="00364E9B" w:rsidP="00364E9B">
      <w:pPr>
        <w:ind w:left="360"/>
        <w:rPr>
          <w:rFonts w:ascii="Bookman Old Style" w:hAnsi="Bookman Old Style"/>
          <w:sz w:val="20"/>
          <w:szCs w:val="20"/>
        </w:rPr>
      </w:pPr>
      <w:r>
        <w:rPr>
          <w:rFonts w:ascii="Bookman Old Style" w:hAnsi="Bookman Old Style"/>
          <w:sz w:val="20"/>
        </w:rPr>
        <w:t xml:space="preserve">Nolo Aereo / Marittimo (Z) </w:t>
      </w:r>
    </w:p>
    <w:p w:rsidR="00364E9B" w:rsidRDefault="00364E9B" w:rsidP="00364E9B">
      <w:pPr>
        <w:ind w:left="360"/>
        <w:rPr>
          <w:rFonts w:ascii="Bookman Old Style" w:hAnsi="Bookman Old Style"/>
          <w:sz w:val="20"/>
          <w:szCs w:val="20"/>
        </w:rPr>
      </w:pPr>
      <w:r>
        <w:rPr>
          <w:rFonts w:ascii="Bookman Old Style" w:hAnsi="Bookman Old Style"/>
          <w:sz w:val="20"/>
        </w:rPr>
        <w:t xml:space="preserve">Valore Cif = X+Y+Z </w:t>
      </w:r>
    </w:p>
    <w:p w:rsidR="00364E9B" w:rsidRDefault="00364E9B" w:rsidP="00364E9B">
      <w:pPr>
        <w:ind w:left="360"/>
        <w:rPr>
          <w:rFonts w:ascii="Bookman Old Style" w:hAnsi="Bookman Old Style"/>
          <w:b/>
          <w:color w:val="000000"/>
          <w:sz w:val="20"/>
        </w:rPr>
      </w:pPr>
    </w:p>
    <w:p w:rsidR="00364E9B" w:rsidRDefault="00364E9B" w:rsidP="00364E9B">
      <w:pPr>
        <w:ind w:left="360"/>
        <w:rPr>
          <w:rFonts w:ascii="Bookman Old Style" w:hAnsi="Bookman Old Style"/>
          <w:b/>
          <w:color w:val="000000"/>
          <w:sz w:val="20"/>
          <w:szCs w:val="20"/>
        </w:rPr>
      </w:pPr>
      <w:r>
        <w:rPr>
          <w:rFonts w:ascii="Bookman Old Style" w:hAnsi="Bookman Old Style"/>
          <w:b/>
          <w:color w:val="000000"/>
          <w:sz w:val="20"/>
        </w:rPr>
        <w:t>OSS: Tanto il PIS come il COFINS ora incidono sul valore dell’importazione del prodotto, che subisce variazioni conforme la tipologia del prodotto.</w:t>
      </w:r>
    </w:p>
    <w:p w:rsidR="00364E9B" w:rsidRDefault="00364E9B" w:rsidP="00364E9B">
      <w:pPr>
        <w:rPr>
          <w:rFonts w:ascii="Bookman Old Style" w:hAnsi="Bookman Old Style"/>
          <w:b/>
          <w:color w:val="000000"/>
          <w:sz w:val="20"/>
          <w:szCs w:val="20"/>
        </w:rPr>
      </w:pPr>
    </w:p>
    <w:p w:rsidR="00364E9B" w:rsidRDefault="00364E9B" w:rsidP="00364E9B">
      <w:pPr>
        <w:rPr>
          <w:rFonts w:ascii="Bookman Old Style" w:hAnsi="Bookman Old Style"/>
          <w:b/>
          <w:color w:val="000000"/>
          <w:sz w:val="20"/>
          <w:szCs w:val="20"/>
        </w:rPr>
      </w:pPr>
    </w:p>
    <w:p w:rsidR="00364E9B" w:rsidRDefault="00364E9B" w:rsidP="00364E9B">
      <w:pPr>
        <w:jc w:val="both"/>
        <w:rPr>
          <w:rFonts w:ascii="Bookman Old Style" w:hAnsi="Bookman Old Style"/>
          <w:b/>
          <w:i/>
          <w:sz w:val="20"/>
          <w:u w:val="single"/>
        </w:rPr>
      </w:pPr>
      <w:r>
        <w:rPr>
          <w:rFonts w:ascii="Bookman Old Style" w:hAnsi="Bookman Old Style"/>
          <w:b/>
          <w:i/>
          <w:sz w:val="20"/>
          <w:u w:val="single"/>
        </w:rPr>
        <w:t xml:space="preserve">NOTA: </w:t>
      </w:r>
    </w:p>
    <w:p w:rsidR="00364E9B" w:rsidRDefault="00364E9B" w:rsidP="00364E9B">
      <w:pPr>
        <w:jc w:val="both"/>
        <w:rPr>
          <w:rFonts w:ascii="Bookman Old Style" w:hAnsi="Bookman Old Style"/>
          <w:b/>
          <w:i/>
          <w:sz w:val="20"/>
          <w:u w:val="single"/>
        </w:rPr>
      </w:pPr>
    </w:p>
    <w:p w:rsidR="00364E9B" w:rsidRDefault="00364E9B" w:rsidP="00364E9B">
      <w:pPr>
        <w:jc w:val="both"/>
        <w:rPr>
          <w:rFonts w:ascii="Bookman Old Style" w:hAnsi="Bookman Old Style"/>
          <w:b/>
          <w:i/>
          <w:sz w:val="20"/>
          <w:szCs w:val="20"/>
          <w:u w:val="single"/>
        </w:rPr>
      </w:pPr>
    </w:p>
    <w:p w:rsidR="00364E9B" w:rsidRDefault="00364E9B" w:rsidP="00364E9B">
      <w:pPr>
        <w:numPr>
          <w:ilvl w:val="0"/>
          <w:numId w:val="2"/>
        </w:numPr>
        <w:jc w:val="both"/>
        <w:rPr>
          <w:rFonts w:ascii="Bookman Old Style" w:hAnsi="Bookman Old Style"/>
          <w:b/>
          <w:sz w:val="20"/>
          <w:szCs w:val="20"/>
        </w:rPr>
      </w:pPr>
      <w:r>
        <w:rPr>
          <w:rFonts w:ascii="Bookman Old Style" w:hAnsi="Bookman Old Style"/>
          <w:b/>
          <w:sz w:val="20"/>
        </w:rPr>
        <w:t>Tassa di cambio</w:t>
      </w:r>
      <w:r>
        <w:rPr>
          <w:rFonts w:ascii="Bookman Old Style" w:hAnsi="Bookman Old Style"/>
          <w:sz w:val="20"/>
        </w:rPr>
        <w:t>: viene deciso e comunicato giornalmente dall'autorità doganale (Receita Federal).</w:t>
      </w:r>
    </w:p>
    <w:p w:rsidR="00364E9B" w:rsidRDefault="00364E9B" w:rsidP="00364E9B">
      <w:pPr>
        <w:jc w:val="both"/>
        <w:rPr>
          <w:rFonts w:ascii="Bookman Old Style" w:hAnsi="Bookman Old Style"/>
          <w:b/>
          <w:sz w:val="20"/>
          <w:szCs w:val="20"/>
        </w:rPr>
      </w:pPr>
    </w:p>
    <w:p w:rsidR="00364E9B" w:rsidRDefault="00364E9B" w:rsidP="00364E9B">
      <w:pPr>
        <w:numPr>
          <w:ilvl w:val="0"/>
          <w:numId w:val="3"/>
        </w:numPr>
        <w:jc w:val="both"/>
        <w:rPr>
          <w:rFonts w:ascii="Bookman Old Style" w:hAnsi="Bookman Old Style"/>
          <w:sz w:val="20"/>
          <w:szCs w:val="20"/>
        </w:rPr>
      </w:pPr>
      <w:r>
        <w:rPr>
          <w:rFonts w:ascii="Bookman Old Style" w:hAnsi="Bookman Old Style"/>
          <w:b/>
          <w:sz w:val="20"/>
        </w:rPr>
        <w:t>Dazio</w:t>
      </w:r>
      <w:r>
        <w:rPr>
          <w:rFonts w:ascii="Bookman Old Style" w:hAnsi="Bookman Old Style"/>
          <w:sz w:val="20"/>
        </w:rPr>
        <w:t xml:space="preserve"> </w:t>
      </w:r>
      <w:r>
        <w:rPr>
          <w:rFonts w:ascii="Bookman Old Style" w:hAnsi="Bookman Old Style"/>
          <w:b/>
          <w:sz w:val="20"/>
        </w:rPr>
        <w:t>doganale</w:t>
      </w:r>
      <w:r>
        <w:rPr>
          <w:rFonts w:ascii="Bookman Old Style" w:hAnsi="Bookman Old Style"/>
          <w:sz w:val="20"/>
        </w:rPr>
        <w:t>: può variare dipendendo dalla voce doganale. Per realizzare la relativa verifica è importante fornire le informazioni complete del prodotto che si intende importare con relative caratteristiche tecniche e voci doganali. È inoltre necessario sapere se saranno importati tutti gli elementi o solo una parte degli stessi.</w:t>
      </w:r>
    </w:p>
    <w:p w:rsidR="00364E9B" w:rsidRDefault="00364E9B" w:rsidP="00364E9B">
      <w:pPr>
        <w:ind w:left="360"/>
        <w:jc w:val="both"/>
        <w:rPr>
          <w:rFonts w:ascii="Bookman Old Style" w:hAnsi="Bookman Old Style"/>
          <w:sz w:val="20"/>
          <w:szCs w:val="20"/>
        </w:rPr>
      </w:pPr>
    </w:p>
    <w:p w:rsidR="00364E9B" w:rsidRDefault="00364E9B" w:rsidP="00364E9B">
      <w:pPr>
        <w:numPr>
          <w:ilvl w:val="0"/>
          <w:numId w:val="3"/>
        </w:numPr>
        <w:jc w:val="both"/>
        <w:rPr>
          <w:rFonts w:ascii="Bookman Old Style" w:hAnsi="Bookman Old Style"/>
          <w:sz w:val="20"/>
          <w:szCs w:val="20"/>
        </w:rPr>
      </w:pPr>
      <w:r>
        <w:rPr>
          <w:rFonts w:ascii="Bookman Old Style" w:hAnsi="Bookman Old Style"/>
          <w:sz w:val="20"/>
        </w:rPr>
        <w:t>La verifica delle voci doganali realizzata si riferisce agli ultimi 4 numeri: i primi numeri classificano la famiglia dei prodotti, mentre quelli successivi specificano i singoli prodotti (che possono variare).</w:t>
      </w:r>
    </w:p>
    <w:p w:rsidR="00364E9B" w:rsidRPr="00C34057" w:rsidRDefault="00364E9B" w:rsidP="00364E9B">
      <w:pPr>
        <w:ind w:left="360" w:firstLine="345"/>
        <w:jc w:val="center"/>
        <w:rPr>
          <w:rFonts w:ascii="Bookman Old Style" w:hAnsi="Bookman Old Style"/>
          <w:b/>
          <w:sz w:val="20"/>
          <w:u w:val="single"/>
        </w:rPr>
      </w:pPr>
      <w:r>
        <w:rPr>
          <w:rFonts w:ascii="Bookman Old Style" w:hAnsi="Bookman Old Style"/>
          <w:sz w:val="20"/>
        </w:rPr>
        <w:br w:type="page"/>
      </w:r>
      <w:r w:rsidRPr="00C34057">
        <w:rPr>
          <w:rFonts w:ascii="Bookman Old Style" w:hAnsi="Bookman Old Style"/>
          <w:b/>
          <w:sz w:val="20"/>
          <w:u w:val="single"/>
        </w:rPr>
        <w:lastRenderedPageBreak/>
        <w:t xml:space="preserve">VERIFICA DAZI </w:t>
      </w:r>
    </w:p>
    <w:p w:rsidR="00364E9B" w:rsidRDefault="00364E9B" w:rsidP="00364E9B">
      <w:pPr>
        <w:ind w:left="360" w:firstLine="345"/>
        <w:jc w:val="center"/>
        <w:rPr>
          <w:rFonts w:ascii="Bookman Old Style" w:hAnsi="Bookman Old Style"/>
          <w:b/>
          <w:color w:val="003366"/>
          <w:sz w:val="20"/>
          <w:szCs w:val="20"/>
          <w:u w:val="single"/>
        </w:rPr>
      </w:pPr>
    </w:p>
    <w:p w:rsidR="00364E9B" w:rsidRDefault="00364E9B" w:rsidP="00364E9B">
      <w:pPr>
        <w:ind w:left="360" w:firstLine="345"/>
        <w:jc w:val="center"/>
        <w:rPr>
          <w:rFonts w:ascii="Bookman Old Style" w:hAnsi="Bookman Old Style"/>
          <w:b/>
          <w:color w:val="003366"/>
          <w:sz w:val="20"/>
          <w:szCs w:val="20"/>
          <w:u w:val="single"/>
        </w:rPr>
      </w:pPr>
    </w:p>
    <w:p w:rsidR="00364E9B" w:rsidRDefault="003F4ACE" w:rsidP="003F4ACE">
      <w:pPr>
        <w:jc w:val="both"/>
        <w:rPr>
          <w:rFonts w:ascii="Bookman Old Style" w:hAnsi="Bookman Old Style" w:cs="Arial"/>
          <w:i/>
          <w:sz w:val="20"/>
        </w:rPr>
      </w:pPr>
      <w:r w:rsidRPr="00081DA9">
        <w:rPr>
          <w:rFonts w:ascii="Bookman Old Style" w:hAnsi="Bookman Old Style" w:cs="Arial"/>
          <w:b/>
          <w:i/>
          <w:sz w:val="20"/>
        </w:rPr>
        <w:t>8901.10.00</w:t>
      </w:r>
      <w:r w:rsidR="00364E9B">
        <w:rPr>
          <w:rFonts w:ascii="Bookman Old Style" w:hAnsi="Bookman Old Style" w:cs="Arial"/>
          <w:i/>
          <w:sz w:val="20"/>
        </w:rPr>
        <w:t xml:space="preserve"> – </w:t>
      </w:r>
      <w:r>
        <w:rPr>
          <w:rFonts w:ascii="Bookman Old Style" w:hAnsi="Bookman Old Style" w:cs="Arial"/>
          <w:i/>
          <w:sz w:val="20"/>
        </w:rPr>
        <w:t>Piroscafi, navi da crociera e navi simili appositamente costruite per il trasporto di persone; navi traghetto</w:t>
      </w:r>
    </w:p>
    <w:p w:rsidR="003F4ACE" w:rsidRDefault="003F4ACE" w:rsidP="003F4ACE">
      <w:pPr>
        <w:jc w:val="both"/>
        <w:rPr>
          <w:rFonts w:ascii="Bookman Old Style" w:hAnsi="Bookman Old Style" w:cs="Arial"/>
          <w:i/>
          <w:sz w:val="20"/>
        </w:rPr>
      </w:pPr>
      <w:r w:rsidRPr="00081DA9">
        <w:rPr>
          <w:rFonts w:ascii="Bookman Old Style" w:hAnsi="Bookman Old Style" w:cs="Arial"/>
          <w:b/>
          <w:i/>
          <w:sz w:val="20"/>
        </w:rPr>
        <w:t>8901.20.00</w:t>
      </w:r>
      <w:r>
        <w:rPr>
          <w:rFonts w:ascii="Bookman Old Style" w:hAnsi="Bookman Old Style" w:cs="Arial"/>
          <w:i/>
          <w:sz w:val="20"/>
        </w:rPr>
        <w:t xml:space="preserve"> – Navi cisterna</w:t>
      </w:r>
    </w:p>
    <w:p w:rsidR="003F4ACE" w:rsidRDefault="003F4ACE" w:rsidP="003F4ACE">
      <w:pPr>
        <w:jc w:val="both"/>
        <w:rPr>
          <w:rFonts w:ascii="Bookman Old Style" w:hAnsi="Bookman Old Style" w:cs="Arial"/>
          <w:i/>
          <w:sz w:val="20"/>
        </w:rPr>
      </w:pPr>
      <w:r w:rsidRPr="00081DA9">
        <w:rPr>
          <w:rFonts w:ascii="Bookman Old Style" w:hAnsi="Bookman Old Style" w:cs="Arial"/>
          <w:b/>
          <w:i/>
          <w:sz w:val="20"/>
        </w:rPr>
        <w:t>8901.30.00</w:t>
      </w:r>
      <w:r>
        <w:rPr>
          <w:rFonts w:ascii="Bookman Old Style" w:hAnsi="Bookman Old Style" w:cs="Arial"/>
          <w:i/>
          <w:sz w:val="20"/>
        </w:rPr>
        <w:t xml:space="preserve"> – Navi frigorifere diverse da quelle della sottovoce 8901.20</w:t>
      </w:r>
    </w:p>
    <w:p w:rsidR="003F4ACE" w:rsidRDefault="003F4ACE" w:rsidP="003F4ACE">
      <w:pPr>
        <w:jc w:val="both"/>
        <w:rPr>
          <w:rFonts w:ascii="Bookman Old Style" w:hAnsi="Bookman Old Style" w:cs="Arial"/>
          <w:i/>
          <w:sz w:val="20"/>
        </w:rPr>
      </w:pPr>
      <w:r w:rsidRPr="00081DA9">
        <w:rPr>
          <w:rFonts w:ascii="Bookman Old Style" w:hAnsi="Bookman Old Style" w:cs="Arial"/>
          <w:b/>
          <w:i/>
          <w:sz w:val="20"/>
        </w:rPr>
        <w:t>8901.90.00</w:t>
      </w:r>
      <w:r>
        <w:rPr>
          <w:rFonts w:ascii="Bookman Old Style" w:hAnsi="Bookman Old Style" w:cs="Arial"/>
          <w:i/>
          <w:sz w:val="20"/>
        </w:rPr>
        <w:t xml:space="preserve"> – Altre navi per il trasporto di merci e altre navi costruite contemporaneamente per il trasporto di persone e di merci. </w:t>
      </w:r>
    </w:p>
    <w:p w:rsidR="003F4ACE" w:rsidRDefault="003F4ACE" w:rsidP="003F4ACE">
      <w:pPr>
        <w:jc w:val="both"/>
        <w:rPr>
          <w:rFonts w:ascii="Bookman Old Style" w:hAnsi="Bookman Old Style" w:cs="Arial"/>
          <w:i/>
          <w:sz w:val="20"/>
        </w:rPr>
      </w:pPr>
    </w:p>
    <w:p w:rsidR="00364E9B" w:rsidRPr="00081DA9" w:rsidRDefault="00364E9B" w:rsidP="00364E9B">
      <w:pPr>
        <w:jc w:val="both"/>
        <w:rPr>
          <w:rFonts w:ascii="Bookman Old Style" w:hAnsi="Bookman Old Style" w:cs="Arial"/>
          <w:b/>
          <w:i/>
          <w:sz w:val="20"/>
          <w:szCs w:val="20"/>
        </w:rPr>
      </w:pPr>
      <w:r w:rsidRPr="00081DA9">
        <w:rPr>
          <w:rFonts w:ascii="Bookman Old Style" w:hAnsi="Bookman Old Style" w:cs="Arial"/>
          <w:b/>
          <w:i/>
          <w:sz w:val="20"/>
        </w:rPr>
        <w:t xml:space="preserve">Aliquote: </w:t>
      </w:r>
    </w:p>
    <w:p w:rsidR="00364E9B" w:rsidRDefault="00364E9B" w:rsidP="00364E9B">
      <w:pPr>
        <w:jc w:val="both"/>
        <w:rPr>
          <w:rFonts w:ascii="Bookman Old Style" w:hAnsi="Bookman Old Style" w:cs="Arial"/>
          <w:i/>
          <w:sz w:val="20"/>
          <w:szCs w:val="20"/>
        </w:rPr>
      </w:pPr>
    </w:p>
    <w:p w:rsidR="00364E9B" w:rsidRPr="00682A7A" w:rsidRDefault="00364E9B" w:rsidP="00364E9B">
      <w:pPr>
        <w:numPr>
          <w:ilvl w:val="0"/>
          <w:numId w:val="4"/>
        </w:numPr>
        <w:tabs>
          <w:tab w:val="num" w:pos="1776"/>
        </w:tabs>
        <w:jc w:val="both"/>
        <w:rPr>
          <w:rFonts w:ascii="Bookman Old Style" w:hAnsi="Bookman Old Style" w:cs="Arial"/>
          <w:sz w:val="20"/>
          <w:szCs w:val="20"/>
        </w:rPr>
      </w:pPr>
      <w:r>
        <w:rPr>
          <w:rFonts w:ascii="Bookman Old Style" w:hAnsi="Bookman Old Style" w:cs="Arial"/>
          <w:sz w:val="20"/>
        </w:rPr>
        <w:t>Imposta all’importazione (</w:t>
      </w:r>
      <w:r>
        <w:rPr>
          <w:rFonts w:ascii="Bookman Old Style" w:hAnsi="Bookman Old Style" w:cs="Arial"/>
          <w:b/>
          <w:sz w:val="20"/>
        </w:rPr>
        <w:t>II</w:t>
      </w:r>
      <w:r>
        <w:rPr>
          <w:rFonts w:ascii="Bookman Old Style" w:hAnsi="Bookman Old Style" w:cs="Arial"/>
          <w:sz w:val="20"/>
        </w:rPr>
        <w:t>) Normale = 14%</w:t>
      </w:r>
    </w:p>
    <w:p w:rsidR="00364E9B" w:rsidRPr="00A944AF" w:rsidRDefault="009C15B7" w:rsidP="00364E9B">
      <w:pPr>
        <w:numPr>
          <w:ilvl w:val="0"/>
          <w:numId w:val="4"/>
        </w:numPr>
        <w:tabs>
          <w:tab w:val="num" w:pos="1776"/>
        </w:tabs>
        <w:jc w:val="both"/>
        <w:rPr>
          <w:rFonts w:ascii="Bookman Old Style" w:hAnsi="Bookman Old Style" w:cs="Arial"/>
          <w:sz w:val="20"/>
          <w:szCs w:val="20"/>
        </w:rPr>
      </w:pPr>
      <w:r w:rsidRPr="009C15B7">
        <w:rPr>
          <w:rFonts w:ascii="Bookman Old Style" w:hAnsi="Bookman Old Style" w:cs="Arial"/>
          <w:b/>
          <w:sz w:val="20"/>
        </w:rPr>
        <w:t>IPI</w:t>
      </w:r>
      <w:r w:rsidR="00364E9B" w:rsidRPr="009C15B7">
        <w:rPr>
          <w:rFonts w:ascii="Bookman Old Style" w:hAnsi="Bookman Old Style" w:cs="Arial"/>
          <w:b/>
          <w:sz w:val="20"/>
        </w:rPr>
        <w:t xml:space="preserve"> </w:t>
      </w:r>
      <w:r w:rsidR="00364E9B">
        <w:rPr>
          <w:rFonts w:ascii="Bookman Old Style" w:hAnsi="Bookman Old Style" w:cs="Arial"/>
          <w:sz w:val="20"/>
        </w:rPr>
        <w:t>= 0%</w:t>
      </w:r>
    </w:p>
    <w:p w:rsidR="00364E9B" w:rsidRDefault="00364E9B" w:rsidP="00364E9B">
      <w:pPr>
        <w:numPr>
          <w:ilvl w:val="0"/>
          <w:numId w:val="4"/>
        </w:numPr>
        <w:jc w:val="both"/>
        <w:rPr>
          <w:rFonts w:ascii="Bookman Old Style" w:hAnsi="Bookman Old Style" w:cs="Arial"/>
          <w:sz w:val="20"/>
          <w:szCs w:val="20"/>
        </w:rPr>
      </w:pPr>
      <w:r>
        <w:rPr>
          <w:rFonts w:ascii="Bookman Old Style" w:hAnsi="Bookman Old Style" w:cs="Arial"/>
          <w:b/>
          <w:bCs/>
          <w:sz w:val="20"/>
        </w:rPr>
        <w:t>PIS</w:t>
      </w:r>
      <w:r>
        <w:rPr>
          <w:rFonts w:ascii="Bookman Old Style" w:hAnsi="Bookman Old Style" w:cs="Arial"/>
          <w:sz w:val="20"/>
        </w:rPr>
        <w:t xml:space="preserve"> = 1,65%</w:t>
      </w:r>
    </w:p>
    <w:p w:rsidR="00364E9B" w:rsidRPr="00A944AF" w:rsidRDefault="00364E9B" w:rsidP="00364E9B">
      <w:pPr>
        <w:numPr>
          <w:ilvl w:val="0"/>
          <w:numId w:val="4"/>
        </w:numPr>
        <w:jc w:val="both"/>
        <w:rPr>
          <w:rFonts w:ascii="Bookman Old Style" w:hAnsi="Bookman Old Style" w:cs="Arial"/>
          <w:sz w:val="20"/>
          <w:szCs w:val="20"/>
        </w:rPr>
      </w:pPr>
      <w:r>
        <w:rPr>
          <w:rFonts w:ascii="Bookman Old Style" w:hAnsi="Bookman Old Style" w:cs="Arial"/>
          <w:b/>
          <w:bCs/>
          <w:sz w:val="20"/>
        </w:rPr>
        <w:t>COFINS</w:t>
      </w:r>
      <w:r>
        <w:rPr>
          <w:rFonts w:ascii="Bookman Old Style" w:hAnsi="Bookman Old Style" w:cs="Arial"/>
          <w:sz w:val="20"/>
        </w:rPr>
        <w:t xml:space="preserve"> = 7,6%</w:t>
      </w:r>
    </w:p>
    <w:p w:rsidR="00364E9B" w:rsidRPr="00D10329" w:rsidRDefault="00364E9B" w:rsidP="00364E9B">
      <w:pPr>
        <w:numPr>
          <w:ilvl w:val="0"/>
          <w:numId w:val="4"/>
        </w:numPr>
        <w:jc w:val="both"/>
        <w:rPr>
          <w:rFonts w:ascii="Bookman Old Style" w:hAnsi="Bookman Old Style" w:cs="Arial"/>
          <w:sz w:val="20"/>
          <w:szCs w:val="20"/>
        </w:rPr>
      </w:pPr>
      <w:r>
        <w:rPr>
          <w:rFonts w:ascii="Bookman Old Style" w:hAnsi="Bookman Old Style" w:cs="Arial"/>
          <w:sz w:val="20"/>
        </w:rPr>
        <w:t>Imposta sulla Circolazione Merci e Servizi (</w:t>
      </w:r>
      <w:r>
        <w:rPr>
          <w:rFonts w:ascii="Bookman Old Style" w:hAnsi="Bookman Old Style" w:cs="Arial"/>
          <w:b/>
          <w:sz w:val="20"/>
        </w:rPr>
        <w:t>ICMS</w:t>
      </w:r>
      <w:r>
        <w:rPr>
          <w:rFonts w:ascii="Bookman Old Style" w:hAnsi="Bookman Old Style" w:cs="Arial"/>
          <w:sz w:val="20"/>
        </w:rPr>
        <w:t>) = 18% (SP)</w:t>
      </w:r>
    </w:p>
    <w:p w:rsidR="00081DA9" w:rsidRDefault="00081DA9" w:rsidP="00364E9B">
      <w:pPr>
        <w:jc w:val="both"/>
        <w:rPr>
          <w:rFonts w:ascii="Bookman Old Style" w:hAnsi="Bookman Old Style" w:cs="Arial"/>
          <w:sz w:val="20"/>
        </w:rPr>
      </w:pPr>
    </w:p>
    <w:p w:rsidR="00081DA9" w:rsidRPr="000534FA" w:rsidRDefault="00081DA9" w:rsidP="00364E9B">
      <w:pPr>
        <w:jc w:val="both"/>
        <w:rPr>
          <w:rFonts w:ascii="Bookman Old Style" w:hAnsi="Bookman Old Style" w:cs="Arial"/>
          <w:i/>
          <w:sz w:val="20"/>
        </w:rPr>
      </w:pPr>
    </w:p>
    <w:p w:rsidR="00930919" w:rsidRPr="000534FA" w:rsidRDefault="00930919" w:rsidP="00364E9B">
      <w:pPr>
        <w:jc w:val="both"/>
        <w:rPr>
          <w:rFonts w:ascii="Bookman Old Style" w:hAnsi="Bookman Old Style" w:cs="Arial"/>
          <w:i/>
          <w:sz w:val="20"/>
        </w:rPr>
      </w:pPr>
      <w:r w:rsidRPr="000534FA">
        <w:rPr>
          <w:rFonts w:ascii="Bookman Old Style" w:hAnsi="Bookman Old Style" w:cs="Arial"/>
          <w:b/>
          <w:i/>
          <w:sz w:val="20"/>
        </w:rPr>
        <w:t>8903</w:t>
      </w:r>
      <w:r w:rsidRPr="000534FA">
        <w:rPr>
          <w:rFonts w:ascii="Bookman Old Style" w:hAnsi="Bookman Old Style" w:cs="Arial"/>
          <w:i/>
          <w:sz w:val="20"/>
        </w:rPr>
        <w:t xml:space="preserve"> – Panfili e altre navi ed imbarcazioni da diporto o da sport; imbarcazioni a remi e canoe</w:t>
      </w:r>
    </w:p>
    <w:p w:rsidR="00930919" w:rsidRPr="000534FA" w:rsidRDefault="00930919" w:rsidP="00364E9B">
      <w:pPr>
        <w:jc w:val="both"/>
        <w:rPr>
          <w:rFonts w:ascii="Bookman Old Style" w:hAnsi="Bookman Old Style" w:cs="Arial"/>
          <w:i/>
          <w:sz w:val="20"/>
        </w:rPr>
      </w:pPr>
      <w:r w:rsidRPr="000534FA">
        <w:rPr>
          <w:rFonts w:ascii="Bookman Old Style" w:hAnsi="Bookman Old Style" w:cs="Arial"/>
          <w:b/>
          <w:i/>
          <w:sz w:val="20"/>
        </w:rPr>
        <w:t>8903.10.00</w:t>
      </w:r>
      <w:r w:rsidRPr="000534FA">
        <w:rPr>
          <w:rFonts w:ascii="Bookman Old Style" w:hAnsi="Bookman Old Style" w:cs="Arial"/>
          <w:i/>
          <w:sz w:val="20"/>
        </w:rPr>
        <w:t xml:space="preserve"> – Imbarcazioni pneumatiche</w:t>
      </w:r>
    </w:p>
    <w:p w:rsidR="00930919" w:rsidRPr="000534FA" w:rsidRDefault="00930919" w:rsidP="00364E9B">
      <w:pPr>
        <w:jc w:val="both"/>
        <w:rPr>
          <w:rFonts w:ascii="Bookman Old Style" w:hAnsi="Bookman Old Style" w:cs="Arial"/>
          <w:i/>
          <w:sz w:val="20"/>
        </w:rPr>
      </w:pPr>
      <w:r w:rsidRPr="000534FA">
        <w:rPr>
          <w:rFonts w:ascii="Bookman Old Style" w:hAnsi="Bookman Old Style" w:cs="Arial"/>
          <w:b/>
          <w:i/>
          <w:sz w:val="20"/>
        </w:rPr>
        <w:t>8903.91.00</w:t>
      </w:r>
      <w:r w:rsidRPr="000534FA">
        <w:rPr>
          <w:rFonts w:ascii="Bookman Old Style" w:hAnsi="Bookman Old Style" w:cs="Arial"/>
          <w:i/>
          <w:sz w:val="20"/>
        </w:rPr>
        <w:t xml:space="preserve"> – Imbarcazioni a vela, anche con motore ausiliario</w:t>
      </w:r>
    </w:p>
    <w:p w:rsidR="00930919" w:rsidRPr="000534FA" w:rsidRDefault="00930919" w:rsidP="00364E9B">
      <w:pPr>
        <w:jc w:val="both"/>
        <w:rPr>
          <w:rFonts w:ascii="Bookman Old Style" w:hAnsi="Bookman Old Style" w:cs="Arial"/>
          <w:i/>
          <w:sz w:val="20"/>
        </w:rPr>
      </w:pPr>
      <w:r w:rsidRPr="000534FA">
        <w:rPr>
          <w:rFonts w:ascii="Bookman Old Style" w:hAnsi="Bookman Old Style" w:cs="Arial"/>
          <w:b/>
          <w:i/>
          <w:sz w:val="20"/>
        </w:rPr>
        <w:t>8903.92.00</w:t>
      </w:r>
      <w:r w:rsidRPr="000534FA">
        <w:rPr>
          <w:rFonts w:ascii="Bookman Old Style" w:hAnsi="Bookman Old Style" w:cs="Arial"/>
          <w:i/>
          <w:sz w:val="20"/>
        </w:rPr>
        <w:t xml:space="preserve"> – Imbarcazioni a motore, diverse dai fuoribordo</w:t>
      </w:r>
    </w:p>
    <w:p w:rsidR="00930919" w:rsidRPr="000534FA" w:rsidRDefault="00930919" w:rsidP="00364E9B">
      <w:pPr>
        <w:jc w:val="both"/>
        <w:rPr>
          <w:rFonts w:ascii="Bookman Old Style" w:hAnsi="Bookman Old Style" w:cs="Arial"/>
          <w:i/>
          <w:sz w:val="20"/>
        </w:rPr>
      </w:pPr>
      <w:r w:rsidRPr="000534FA">
        <w:rPr>
          <w:rFonts w:ascii="Bookman Old Style" w:hAnsi="Bookman Old Style" w:cs="Arial"/>
          <w:b/>
          <w:i/>
          <w:sz w:val="20"/>
        </w:rPr>
        <w:t>8903.99.00</w:t>
      </w:r>
      <w:r w:rsidRPr="000534FA">
        <w:rPr>
          <w:rFonts w:ascii="Bookman Old Style" w:hAnsi="Bookman Old Style" w:cs="Arial"/>
          <w:i/>
          <w:sz w:val="20"/>
        </w:rPr>
        <w:t xml:space="preserve"> - Altri</w:t>
      </w:r>
    </w:p>
    <w:p w:rsidR="00930919" w:rsidRDefault="00930919" w:rsidP="00364E9B">
      <w:pPr>
        <w:jc w:val="both"/>
        <w:rPr>
          <w:rFonts w:ascii="Bookman Old Style" w:hAnsi="Bookman Old Style" w:cs="Arial"/>
          <w:sz w:val="20"/>
        </w:rPr>
      </w:pPr>
    </w:p>
    <w:p w:rsidR="00930919" w:rsidRPr="00081DA9" w:rsidRDefault="00930919" w:rsidP="00930919">
      <w:pPr>
        <w:jc w:val="both"/>
        <w:rPr>
          <w:rFonts w:ascii="Bookman Old Style" w:hAnsi="Bookman Old Style" w:cs="Arial"/>
          <w:b/>
          <w:i/>
          <w:sz w:val="20"/>
          <w:szCs w:val="20"/>
        </w:rPr>
      </w:pPr>
      <w:r w:rsidRPr="00081DA9">
        <w:rPr>
          <w:rFonts w:ascii="Bookman Old Style" w:hAnsi="Bookman Old Style" w:cs="Arial"/>
          <w:b/>
          <w:i/>
          <w:sz w:val="20"/>
        </w:rPr>
        <w:t xml:space="preserve">Aliquote: </w:t>
      </w:r>
    </w:p>
    <w:p w:rsidR="00930919" w:rsidRDefault="00930919" w:rsidP="00930919">
      <w:pPr>
        <w:jc w:val="both"/>
        <w:rPr>
          <w:rFonts w:ascii="Bookman Old Style" w:hAnsi="Bookman Old Style" w:cs="Arial"/>
          <w:i/>
          <w:sz w:val="20"/>
          <w:szCs w:val="20"/>
        </w:rPr>
      </w:pPr>
    </w:p>
    <w:p w:rsidR="00930919" w:rsidRPr="00682A7A" w:rsidRDefault="00930919" w:rsidP="00930919">
      <w:pPr>
        <w:numPr>
          <w:ilvl w:val="0"/>
          <w:numId w:val="4"/>
        </w:numPr>
        <w:tabs>
          <w:tab w:val="num" w:pos="1776"/>
        </w:tabs>
        <w:jc w:val="both"/>
        <w:rPr>
          <w:rFonts w:ascii="Bookman Old Style" w:hAnsi="Bookman Old Style" w:cs="Arial"/>
          <w:sz w:val="20"/>
          <w:szCs w:val="20"/>
        </w:rPr>
      </w:pPr>
      <w:r>
        <w:rPr>
          <w:rFonts w:ascii="Bookman Old Style" w:hAnsi="Bookman Old Style" w:cs="Arial"/>
          <w:sz w:val="20"/>
        </w:rPr>
        <w:t>Imposta all’importazione (</w:t>
      </w:r>
      <w:r>
        <w:rPr>
          <w:rFonts w:ascii="Bookman Old Style" w:hAnsi="Bookman Old Style" w:cs="Arial"/>
          <w:b/>
          <w:sz w:val="20"/>
        </w:rPr>
        <w:t>II</w:t>
      </w:r>
      <w:r>
        <w:rPr>
          <w:rFonts w:ascii="Bookman Old Style" w:hAnsi="Bookman Old Style" w:cs="Arial"/>
          <w:sz w:val="20"/>
        </w:rPr>
        <w:t>) Normale = 20%</w:t>
      </w:r>
    </w:p>
    <w:p w:rsidR="00930919" w:rsidRPr="00A944AF" w:rsidRDefault="00930919" w:rsidP="00930919">
      <w:pPr>
        <w:numPr>
          <w:ilvl w:val="0"/>
          <w:numId w:val="4"/>
        </w:numPr>
        <w:tabs>
          <w:tab w:val="num" w:pos="1776"/>
        </w:tabs>
        <w:jc w:val="both"/>
        <w:rPr>
          <w:rFonts w:ascii="Bookman Old Style" w:hAnsi="Bookman Old Style" w:cs="Arial"/>
          <w:sz w:val="20"/>
          <w:szCs w:val="20"/>
        </w:rPr>
      </w:pPr>
      <w:r w:rsidRPr="009C15B7">
        <w:rPr>
          <w:rFonts w:ascii="Bookman Old Style" w:hAnsi="Bookman Old Style" w:cs="Arial"/>
          <w:b/>
          <w:sz w:val="20"/>
        </w:rPr>
        <w:t xml:space="preserve">IPI </w:t>
      </w:r>
      <w:r>
        <w:rPr>
          <w:rFonts w:ascii="Bookman Old Style" w:hAnsi="Bookman Old Style" w:cs="Arial"/>
          <w:sz w:val="20"/>
        </w:rPr>
        <w:t>= 10%</w:t>
      </w:r>
    </w:p>
    <w:p w:rsidR="00930919" w:rsidRDefault="00930919" w:rsidP="00930919">
      <w:pPr>
        <w:numPr>
          <w:ilvl w:val="0"/>
          <w:numId w:val="4"/>
        </w:numPr>
        <w:jc w:val="both"/>
        <w:rPr>
          <w:rFonts w:ascii="Bookman Old Style" w:hAnsi="Bookman Old Style" w:cs="Arial"/>
          <w:sz w:val="20"/>
          <w:szCs w:val="20"/>
        </w:rPr>
      </w:pPr>
      <w:r>
        <w:rPr>
          <w:rFonts w:ascii="Bookman Old Style" w:hAnsi="Bookman Old Style" w:cs="Arial"/>
          <w:b/>
          <w:bCs/>
          <w:sz w:val="20"/>
        </w:rPr>
        <w:t>PIS</w:t>
      </w:r>
      <w:r>
        <w:rPr>
          <w:rFonts w:ascii="Bookman Old Style" w:hAnsi="Bookman Old Style" w:cs="Arial"/>
          <w:sz w:val="20"/>
        </w:rPr>
        <w:t xml:space="preserve"> = 1,65%</w:t>
      </w:r>
    </w:p>
    <w:p w:rsidR="00930919" w:rsidRPr="00A944AF" w:rsidRDefault="00930919" w:rsidP="00930919">
      <w:pPr>
        <w:numPr>
          <w:ilvl w:val="0"/>
          <w:numId w:val="4"/>
        </w:numPr>
        <w:jc w:val="both"/>
        <w:rPr>
          <w:rFonts w:ascii="Bookman Old Style" w:hAnsi="Bookman Old Style" w:cs="Arial"/>
          <w:sz w:val="20"/>
          <w:szCs w:val="20"/>
        </w:rPr>
      </w:pPr>
      <w:r>
        <w:rPr>
          <w:rFonts w:ascii="Bookman Old Style" w:hAnsi="Bookman Old Style" w:cs="Arial"/>
          <w:b/>
          <w:bCs/>
          <w:sz w:val="20"/>
        </w:rPr>
        <w:t>COFINS</w:t>
      </w:r>
      <w:r>
        <w:rPr>
          <w:rFonts w:ascii="Bookman Old Style" w:hAnsi="Bookman Old Style" w:cs="Arial"/>
          <w:sz w:val="20"/>
        </w:rPr>
        <w:t xml:space="preserve"> = 7,6%</w:t>
      </w:r>
    </w:p>
    <w:p w:rsidR="00930919" w:rsidRPr="00D10329" w:rsidRDefault="00930919" w:rsidP="00930919">
      <w:pPr>
        <w:numPr>
          <w:ilvl w:val="0"/>
          <w:numId w:val="4"/>
        </w:numPr>
        <w:jc w:val="both"/>
        <w:rPr>
          <w:rFonts w:ascii="Bookman Old Style" w:hAnsi="Bookman Old Style" w:cs="Arial"/>
          <w:sz w:val="20"/>
          <w:szCs w:val="20"/>
        </w:rPr>
      </w:pPr>
      <w:r>
        <w:rPr>
          <w:rFonts w:ascii="Bookman Old Style" w:hAnsi="Bookman Old Style" w:cs="Arial"/>
          <w:sz w:val="20"/>
        </w:rPr>
        <w:t>Imposta sulla Circolazione Merci e Servizi (</w:t>
      </w:r>
      <w:r>
        <w:rPr>
          <w:rFonts w:ascii="Bookman Old Style" w:hAnsi="Bookman Old Style" w:cs="Arial"/>
          <w:b/>
          <w:sz w:val="20"/>
        </w:rPr>
        <w:t>ICMS</w:t>
      </w:r>
      <w:r>
        <w:rPr>
          <w:rFonts w:ascii="Bookman Old Style" w:hAnsi="Bookman Old Style" w:cs="Arial"/>
          <w:sz w:val="20"/>
        </w:rPr>
        <w:t>) = 18% (SP)</w:t>
      </w:r>
    </w:p>
    <w:p w:rsidR="00930919" w:rsidRDefault="00930919" w:rsidP="00364E9B">
      <w:pPr>
        <w:jc w:val="both"/>
        <w:rPr>
          <w:rFonts w:ascii="Bookman Old Style" w:hAnsi="Bookman Old Style" w:cs="Arial"/>
          <w:sz w:val="20"/>
        </w:rPr>
      </w:pPr>
    </w:p>
    <w:p w:rsidR="00930919" w:rsidRDefault="00930919" w:rsidP="00364E9B">
      <w:pPr>
        <w:jc w:val="both"/>
        <w:rPr>
          <w:rFonts w:ascii="Bookman Old Style" w:hAnsi="Bookman Old Style" w:cs="Arial"/>
          <w:sz w:val="20"/>
        </w:rPr>
      </w:pPr>
    </w:p>
    <w:p w:rsidR="00930919" w:rsidRPr="000534FA" w:rsidRDefault="000534FA" w:rsidP="00364E9B">
      <w:pPr>
        <w:jc w:val="both"/>
        <w:rPr>
          <w:rFonts w:ascii="Bookman Old Style" w:hAnsi="Bookman Old Style" w:cs="Arial"/>
          <w:i/>
          <w:sz w:val="20"/>
        </w:rPr>
      </w:pPr>
      <w:r w:rsidRPr="000534FA">
        <w:rPr>
          <w:rFonts w:ascii="Bookman Old Style" w:hAnsi="Bookman Old Style" w:cs="Arial"/>
          <w:b/>
          <w:i/>
          <w:sz w:val="20"/>
        </w:rPr>
        <w:t xml:space="preserve">8906 </w:t>
      </w:r>
      <w:r w:rsidRPr="000534FA">
        <w:rPr>
          <w:rFonts w:ascii="Bookman Old Style" w:hAnsi="Bookman Old Style" w:cs="Arial"/>
          <w:i/>
          <w:sz w:val="20"/>
        </w:rPr>
        <w:t>– Altre navi, comprese le navi da guerra e le imbarcazioni di salvataggio diverse quelle a remi</w:t>
      </w:r>
    </w:p>
    <w:p w:rsidR="000534FA" w:rsidRPr="000534FA" w:rsidRDefault="000534FA" w:rsidP="00364E9B">
      <w:pPr>
        <w:jc w:val="both"/>
        <w:rPr>
          <w:rFonts w:ascii="Bookman Old Style" w:hAnsi="Bookman Old Style" w:cs="Arial"/>
          <w:i/>
          <w:sz w:val="20"/>
        </w:rPr>
      </w:pPr>
      <w:r w:rsidRPr="000534FA">
        <w:rPr>
          <w:rFonts w:ascii="Bookman Old Style" w:hAnsi="Bookman Old Style" w:cs="Arial"/>
          <w:b/>
          <w:i/>
          <w:sz w:val="20"/>
        </w:rPr>
        <w:t>8906.90.10</w:t>
      </w:r>
      <w:r w:rsidRPr="000534FA">
        <w:rPr>
          <w:rFonts w:ascii="Bookman Old Style" w:hAnsi="Bookman Old Style" w:cs="Arial"/>
          <w:i/>
          <w:sz w:val="20"/>
        </w:rPr>
        <w:t xml:space="preserve"> - Altri</w:t>
      </w:r>
    </w:p>
    <w:p w:rsidR="00930919" w:rsidRDefault="00930919" w:rsidP="00364E9B">
      <w:pPr>
        <w:jc w:val="both"/>
        <w:rPr>
          <w:rFonts w:ascii="Bookman Old Style" w:hAnsi="Bookman Old Style" w:cs="Arial"/>
          <w:sz w:val="20"/>
        </w:rPr>
      </w:pPr>
    </w:p>
    <w:p w:rsidR="000534FA" w:rsidRPr="00081DA9" w:rsidRDefault="000534FA" w:rsidP="000534FA">
      <w:pPr>
        <w:jc w:val="both"/>
        <w:rPr>
          <w:rFonts w:ascii="Bookman Old Style" w:hAnsi="Bookman Old Style" w:cs="Arial"/>
          <w:b/>
          <w:i/>
          <w:sz w:val="20"/>
          <w:szCs w:val="20"/>
        </w:rPr>
      </w:pPr>
      <w:r w:rsidRPr="00081DA9">
        <w:rPr>
          <w:rFonts w:ascii="Bookman Old Style" w:hAnsi="Bookman Old Style" w:cs="Arial"/>
          <w:b/>
          <w:i/>
          <w:sz w:val="20"/>
        </w:rPr>
        <w:t xml:space="preserve">Aliquote: </w:t>
      </w:r>
    </w:p>
    <w:p w:rsidR="000534FA" w:rsidRDefault="000534FA" w:rsidP="000534FA">
      <w:pPr>
        <w:jc w:val="both"/>
        <w:rPr>
          <w:rFonts w:ascii="Bookman Old Style" w:hAnsi="Bookman Old Style" w:cs="Arial"/>
          <w:i/>
          <w:sz w:val="20"/>
          <w:szCs w:val="20"/>
        </w:rPr>
      </w:pPr>
    </w:p>
    <w:p w:rsidR="000534FA" w:rsidRPr="00682A7A" w:rsidRDefault="000534FA" w:rsidP="000534FA">
      <w:pPr>
        <w:numPr>
          <w:ilvl w:val="0"/>
          <w:numId w:val="4"/>
        </w:numPr>
        <w:tabs>
          <w:tab w:val="num" w:pos="1776"/>
        </w:tabs>
        <w:jc w:val="both"/>
        <w:rPr>
          <w:rFonts w:ascii="Bookman Old Style" w:hAnsi="Bookman Old Style" w:cs="Arial"/>
          <w:sz w:val="20"/>
          <w:szCs w:val="20"/>
        </w:rPr>
      </w:pPr>
      <w:r>
        <w:rPr>
          <w:rFonts w:ascii="Bookman Old Style" w:hAnsi="Bookman Old Style" w:cs="Arial"/>
          <w:sz w:val="20"/>
        </w:rPr>
        <w:t>Imposta all’importazione (</w:t>
      </w:r>
      <w:r>
        <w:rPr>
          <w:rFonts w:ascii="Bookman Old Style" w:hAnsi="Bookman Old Style" w:cs="Arial"/>
          <w:b/>
          <w:sz w:val="20"/>
        </w:rPr>
        <w:t>II</w:t>
      </w:r>
      <w:r>
        <w:rPr>
          <w:rFonts w:ascii="Bookman Old Style" w:hAnsi="Bookman Old Style" w:cs="Arial"/>
          <w:sz w:val="20"/>
        </w:rPr>
        <w:t>) Normale = 14%</w:t>
      </w:r>
    </w:p>
    <w:p w:rsidR="000534FA" w:rsidRPr="00A944AF" w:rsidRDefault="000534FA" w:rsidP="000534FA">
      <w:pPr>
        <w:numPr>
          <w:ilvl w:val="0"/>
          <w:numId w:val="4"/>
        </w:numPr>
        <w:tabs>
          <w:tab w:val="num" w:pos="1776"/>
        </w:tabs>
        <w:jc w:val="both"/>
        <w:rPr>
          <w:rFonts w:ascii="Bookman Old Style" w:hAnsi="Bookman Old Style" w:cs="Arial"/>
          <w:sz w:val="20"/>
          <w:szCs w:val="20"/>
        </w:rPr>
      </w:pPr>
      <w:r w:rsidRPr="009C15B7">
        <w:rPr>
          <w:rFonts w:ascii="Bookman Old Style" w:hAnsi="Bookman Old Style" w:cs="Arial"/>
          <w:b/>
          <w:sz w:val="20"/>
        </w:rPr>
        <w:t xml:space="preserve">IPI </w:t>
      </w:r>
      <w:r>
        <w:rPr>
          <w:rFonts w:ascii="Bookman Old Style" w:hAnsi="Bookman Old Style" w:cs="Arial"/>
          <w:sz w:val="20"/>
        </w:rPr>
        <w:t>= 0%</w:t>
      </w:r>
    </w:p>
    <w:p w:rsidR="000534FA" w:rsidRDefault="000534FA" w:rsidP="000534FA">
      <w:pPr>
        <w:numPr>
          <w:ilvl w:val="0"/>
          <w:numId w:val="4"/>
        </w:numPr>
        <w:jc w:val="both"/>
        <w:rPr>
          <w:rFonts w:ascii="Bookman Old Style" w:hAnsi="Bookman Old Style" w:cs="Arial"/>
          <w:sz w:val="20"/>
          <w:szCs w:val="20"/>
        </w:rPr>
      </w:pPr>
      <w:r>
        <w:rPr>
          <w:rFonts w:ascii="Bookman Old Style" w:hAnsi="Bookman Old Style" w:cs="Arial"/>
          <w:b/>
          <w:bCs/>
          <w:sz w:val="20"/>
        </w:rPr>
        <w:t>PIS</w:t>
      </w:r>
      <w:r>
        <w:rPr>
          <w:rFonts w:ascii="Bookman Old Style" w:hAnsi="Bookman Old Style" w:cs="Arial"/>
          <w:sz w:val="20"/>
        </w:rPr>
        <w:t xml:space="preserve"> = 1,65%</w:t>
      </w:r>
    </w:p>
    <w:p w:rsidR="000534FA" w:rsidRPr="00A944AF" w:rsidRDefault="000534FA" w:rsidP="000534FA">
      <w:pPr>
        <w:numPr>
          <w:ilvl w:val="0"/>
          <w:numId w:val="4"/>
        </w:numPr>
        <w:jc w:val="both"/>
        <w:rPr>
          <w:rFonts w:ascii="Bookman Old Style" w:hAnsi="Bookman Old Style" w:cs="Arial"/>
          <w:sz w:val="20"/>
          <w:szCs w:val="20"/>
        </w:rPr>
      </w:pPr>
      <w:r>
        <w:rPr>
          <w:rFonts w:ascii="Bookman Old Style" w:hAnsi="Bookman Old Style" w:cs="Arial"/>
          <w:b/>
          <w:bCs/>
          <w:sz w:val="20"/>
        </w:rPr>
        <w:t>COFINS</w:t>
      </w:r>
      <w:r>
        <w:rPr>
          <w:rFonts w:ascii="Bookman Old Style" w:hAnsi="Bookman Old Style" w:cs="Arial"/>
          <w:sz w:val="20"/>
        </w:rPr>
        <w:t xml:space="preserve"> = 7,6%</w:t>
      </w:r>
    </w:p>
    <w:p w:rsidR="000534FA" w:rsidRPr="00D10329" w:rsidRDefault="000534FA" w:rsidP="000534FA">
      <w:pPr>
        <w:numPr>
          <w:ilvl w:val="0"/>
          <w:numId w:val="4"/>
        </w:numPr>
        <w:jc w:val="both"/>
        <w:rPr>
          <w:rFonts w:ascii="Bookman Old Style" w:hAnsi="Bookman Old Style" w:cs="Arial"/>
          <w:sz w:val="20"/>
          <w:szCs w:val="20"/>
        </w:rPr>
      </w:pPr>
      <w:r>
        <w:rPr>
          <w:rFonts w:ascii="Bookman Old Style" w:hAnsi="Bookman Old Style" w:cs="Arial"/>
          <w:sz w:val="20"/>
        </w:rPr>
        <w:t>Imposta sulla Circolazione Merci e Servizi (</w:t>
      </w:r>
      <w:r>
        <w:rPr>
          <w:rFonts w:ascii="Bookman Old Style" w:hAnsi="Bookman Old Style" w:cs="Arial"/>
          <w:b/>
          <w:sz w:val="20"/>
        </w:rPr>
        <w:t>ICMS</w:t>
      </w:r>
      <w:r>
        <w:rPr>
          <w:rFonts w:ascii="Bookman Old Style" w:hAnsi="Bookman Old Style" w:cs="Arial"/>
          <w:sz w:val="20"/>
        </w:rPr>
        <w:t>) = 18% (SP)</w:t>
      </w:r>
    </w:p>
    <w:p w:rsidR="000534FA" w:rsidRDefault="000534FA" w:rsidP="000534FA">
      <w:pPr>
        <w:jc w:val="both"/>
        <w:rPr>
          <w:rFonts w:ascii="Bookman Old Style" w:hAnsi="Bookman Old Style" w:cs="Arial"/>
          <w:sz w:val="20"/>
        </w:rPr>
      </w:pPr>
    </w:p>
    <w:p w:rsidR="00930919" w:rsidRDefault="00930919" w:rsidP="00364E9B">
      <w:pPr>
        <w:jc w:val="both"/>
        <w:rPr>
          <w:rFonts w:ascii="Bookman Old Style" w:hAnsi="Bookman Old Style" w:cs="Arial"/>
          <w:sz w:val="20"/>
        </w:rPr>
      </w:pPr>
    </w:p>
    <w:p w:rsidR="00930919" w:rsidRDefault="00930919" w:rsidP="00364E9B">
      <w:pPr>
        <w:jc w:val="both"/>
        <w:rPr>
          <w:rFonts w:ascii="Bookman Old Style" w:hAnsi="Bookman Old Style" w:cs="Arial"/>
          <w:sz w:val="20"/>
        </w:rPr>
      </w:pPr>
    </w:p>
    <w:p w:rsidR="00364E9B" w:rsidRPr="008311AD" w:rsidRDefault="00364E9B" w:rsidP="00364E9B">
      <w:pPr>
        <w:jc w:val="both"/>
        <w:rPr>
          <w:rFonts w:ascii="Bookman Old Style" w:hAnsi="Bookman Old Style" w:cs="Arial"/>
          <w:sz w:val="20"/>
          <w:u w:val="single"/>
        </w:rPr>
      </w:pPr>
      <w:r w:rsidRPr="008311AD">
        <w:rPr>
          <w:rFonts w:ascii="Bookman Old Style" w:hAnsi="Bookman Old Style" w:cs="Arial"/>
          <w:sz w:val="20"/>
          <w:u w:val="single"/>
        </w:rPr>
        <w:t>Nota di II</w:t>
      </w:r>
    </w:p>
    <w:p w:rsidR="00364E9B" w:rsidRDefault="00364E9B" w:rsidP="00364E9B">
      <w:pPr>
        <w:jc w:val="both"/>
        <w:rPr>
          <w:rFonts w:ascii="Bookman Old Style" w:hAnsi="Bookman Old Style" w:cs="Arial"/>
          <w:sz w:val="20"/>
        </w:rPr>
      </w:pPr>
    </w:p>
    <w:p w:rsidR="00364E9B" w:rsidRDefault="00364E9B" w:rsidP="00364E9B">
      <w:pPr>
        <w:jc w:val="both"/>
        <w:rPr>
          <w:rFonts w:ascii="Bookman Old Style" w:hAnsi="Bookman Old Style" w:cs="Arial"/>
          <w:sz w:val="20"/>
        </w:rPr>
      </w:pPr>
      <w:r>
        <w:rPr>
          <w:rFonts w:ascii="Bookman Old Style" w:hAnsi="Bookman Old Style" w:cs="Arial"/>
          <w:sz w:val="20"/>
        </w:rPr>
        <w:t xml:space="preserve">(II) – Prodotto del settore di beni immobili </w:t>
      </w:r>
    </w:p>
    <w:p w:rsidR="00364E9B" w:rsidRDefault="00364E9B" w:rsidP="00364E9B">
      <w:pPr>
        <w:jc w:val="both"/>
        <w:rPr>
          <w:rFonts w:ascii="Bookman Old Style" w:hAnsi="Bookman Old Style" w:cs="Arial"/>
          <w:sz w:val="20"/>
        </w:rPr>
      </w:pPr>
    </w:p>
    <w:p w:rsidR="00364E9B" w:rsidRDefault="00364E9B" w:rsidP="00364E9B">
      <w:pPr>
        <w:jc w:val="both"/>
        <w:rPr>
          <w:rFonts w:ascii="Bookman Old Style" w:hAnsi="Bookman Old Style" w:cs="Arial"/>
          <w:sz w:val="20"/>
          <w:u w:val="single"/>
        </w:rPr>
      </w:pPr>
      <w:r w:rsidRPr="008311AD">
        <w:rPr>
          <w:rFonts w:ascii="Bookman Old Style" w:hAnsi="Bookman Old Style" w:cs="Arial"/>
          <w:sz w:val="20"/>
          <w:u w:val="single"/>
        </w:rPr>
        <w:t xml:space="preserve">Nota di IPI: </w:t>
      </w:r>
    </w:p>
    <w:p w:rsidR="00364E9B" w:rsidRDefault="00364E9B" w:rsidP="00364E9B">
      <w:pPr>
        <w:jc w:val="both"/>
        <w:rPr>
          <w:rFonts w:ascii="Bookman Old Style" w:hAnsi="Bookman Old Style" w:cs="Arial"/>
          <w:sz w:val="20"/>
          <w:u w:val="single"/>
        </w:rPr>
      </w:pPr>
    </w:p>
    <w:p w:rsidR="00364E9B" w:rsidRDefault="00364E9B" w:rsidP="00364E9B">
      <w:pPr>
        <w:jc w:val="both"/>
        <w:rPr>
          <w:rFonts w:ascii="Bookman Old Style" w:hAnsi="Bookman Old Style" w:cs="Arial"/>
          <w:sz w:val="20"/>
        </w:rPr>
      </w:pPr>
      <w:r>
        <w:rPr>
          <w:rFonts w:ascii="Bookman Old Style" w:hAnsi="Bookman Old Style" w:cs="Arial"/>
          <w:sz w:val="20"/>
        </w:rPr>
        <w:t>(IPI): Aliquota del IPI ridotta a 0% conforme Decreto 5.468, DOU 16/06/05. (Codice costante del Decreto 4.955/04, altd. Verso il Dec. 5.173/04)</w:t>
      </w:r>
    </w:p>
    <w:p w:rsidR="00364E9B" w:rsidRDefault="00364E9B" w:rsidP="00364E9B">
      <w:pPr>
        <w:jc w:val="both"/>
        <w:rPr>
          <w:rFonts w:ascii="Bookman Old Style" w:hAnsi="Bookman Old Style" w:cs="Arial"/>
          <w:sz w:val="20"/>
        </w:rPr>
      </w:pPr>
    </w:p>
    <w:p w:rsidR="00364E9B" w:rsidRDefault="00364E9B" w:rsidP="00364E9B">
      <w:pPr>
        <w:jc w:val="both"/>
        <w:rPr>
          <w:rFonts w:ascii="Bookman Old Style" w:hAnsi="Bookman Old Style" w:cs="Arial"/>
          <w:sz w:val="20"/>
        </w:rPr>
      </w:pPr>
      <w:r>
        <w:rPr>
          <w:rFonts w:ascii="Bookman Old Style" w:hAnsi="Bookman Old Style" w:cs="Arial"/>
          <w:sz w:val="20"/>
        </w:rPr>
        <w:t>(IPI 1) – Nota Complementare (NC) della TIPI</w:t>
      </w:r>
    </w:p>
    <w:p w:rsidR="00364E9B" w:rsidRDefault="00364E9B" w:rsidP="00364E9B">
      <w:pPr>
        <w:jc w:val="both"/>
        <w:rPr>
          <w:rFonts w:ascii="Bookman Old Style" w:hAnsi="Bookman Old Style" w:cs="Arial"/>
          <w:sz w:val="20"/>
        </w:rPr>
      </w:pPr>
    </w:p>
    <w:p w:rsidR="00364E9B" w:rsidRDefault="00364E9B" w:rsidP="00364E9B">
      <w:pPr>
        <w:jc w:val="both"/>
        <w:rPr>
          <w:rFonts w:ascii="Bookman Old Style" w:hAnsi="Bookman Old Style" w:cs="Arial"/>
          <w:sz w:val="20"/>
        </w:rPr>
      </w:pPr>
      <w:r>
        <w:rPr>
          <w:rFonts w:ascii="Bookman Old Style" w:hAnsi="Bookman Old Style" w:cs="Arial"/>
          <w:sz w:val="20"/>
        </w:rPr>
        <w:t xml:space="preserve">NC (84-1) sono stati ridotte a zero le aliquote d’imposta incidente sui prodotti del Capitolo, fabbricate in conformità con le specificazioni tecniche e norme di omologazione aeronautiche, quando acquistato per aziende industriale incarico nella fabbricazione dei prodotti nella posizione  8802, o per lo stabilimento omologato per il </w:t>
      </w:r>
      <w:r w:rsidRPr="00BD2164">
        <w:rPr>
          <w:rFonts w:ascii="Bookman Old Style" w:hAnsi="Bookman Old Style" w:cs="Arial"/>
          <w:i/>
          <w:sz w:val="20"/>
        </w:rPr>
        <w:t>Comando d</w:t>
      </w:r>
      <w:r>
        <w:rPr>
          <w:rFonts w:ascii="Bookman Old Style" w:hAnsi="Bookman Old Style" w:cs="Arial"/>
          <w:i/>
          <w:sz w:val="20"/>
        </w:rPr>
        <w:t>ell’</w:t>
      </w:r>
      <w:r w:rsidRPr="00BD2164">
        <w:rPr>
          <w:rFonts w:ascii="Bookman Old Style" w:hAnsi="Bookman Old Style" w:cs="Arial"/>
          <w:i/>
          <w:sz w:val="20"/>
        </w:rPr>
        <w:t xml:space="preserve"> Aeronautica d</w:t>
      </w:r>
      <w:r>
        <w:rPr>
          <w:rFonts w:ascii="Bookman Old Style" w:hAnsi="Bookman Old Style" w:cs="Arial"/>
          <w:i/>
          <w:sz w:val="20"/>
        </w:rPr>
        <w:t>el</w:t>
      </w:r>
      <w:r w:rsidRPr="00BD2164">
        <w:rPr>
          <w:rFonts w:ascii="Bookman Old Style" w:hAnsi="Bookman Old Style" w:cs="Arial"/>
          <w:i/>
          <w:sz w:val="20"/>
        </w:rPr>
        <w:t xml:space="preserve"> Minist</w:t>
      </w:r>
      <w:r>
        <w:rPr>
          <w:rFonts w:ascii="Bookman Old Style" w:hAnsi="Bookman Old Style" w:cs="Arial"/>
          <w:i/>
          <w:sz w:val="20"/>
        </w:rPr>
        <w:t>e</w:t>
      </w:r>
      <w:r w:rsidRPr="00BD2164">
        <w:rPr>
          <w:rFonts w:ascii="Bookman Old Style" w:hAnsi="Bookman Old Style" w:cs="Arial"/>
          <w:i/>
          <w:sz w:val="20"/>
        </w:rPr>
        <w:t>ro d</w:t>
      </w:r>
      <w:r>
        <w:rPr>
          <w:rFonts w:ascii="Bookman Old Style" w:hAnsi="Bookman Old Style" w:cs="Arial"/>
          <w:i/>
          <w:sz w:val="20"/>
        </w:rPr>
        <w:t>ell</w:t>
      </w:r>
      <w:r w:rsidRPr="00BD2164">
        <w:rPr>
          <w:rFonts w:ascii="Bookman Old Style" w:hAnsi="Bookman Old Style" w:cs="Arial"/>
          <w:i/>
          <w:sz w:val="20"/>
        </w:rPr>
        <w:t>a D</w:t>
      </w:r>
      <w:r>
        <w:rPr>
          <w:rFonts w:ascii="Bookman Old Style" w:hAnsi="Bookman Old Style" w:cs="Arial"/>
          <w:i/>
          <w:sz w:val="20"/>
        </w:rPr>
        <w:t>i</w:t>
      </w:r>
      <w:r w:rsidRPr="00BD2164">
        <w:rPr>
          <w:rFonts w:ascii="Bookman Old Style" w:hAnsi="Bookman Old Style" w:cs="Arial"/>
          <w:i/>
          <w:sz w:val="20"/>
        </w:rPr>
        <w:t>fesa</w:t>
      </w:r>
      <w:r>
        <w:rPr>
          <w:rFonts w:ascii="Bookman Old Style" w:hAnsi="Bookman Old Style" w:cs="Arial"/>
          <w:sz w:val="20"/>
        </w:rPr>
        <w:t xml:space="preserve"> brasiliana, specificato in manutenzione, revisione e riparo dei prodotti aeronautiche, in funzione nella riferita posizione.-</w:t>
      </w:r>
    </w:p>
    <w:p w:rsidR="00364E9B" w:rsidRDefault="00364E9B" w:rsidP="00364E9B">
      <w:pPr>
        <w:jc w:val="both"/>
        <w:rPr>
          <w:rFonts w:ascii="Bookman Old Style" w:hAnsi="Bookman Old Style" w:cs="Arial"/>
          <w:sz w:val="20"/>
        </w:rPr>
      </w:pPr>
    </w:p>
    <w:p w:rsidR="00364E9B" w:rsidRDefault="00364E9B" w:rsidP="00364E9B">
      <w:pPr>
        <w:jc w:val="both"/>
        <w:rPr>
          <w:rFonts w:ascii="Bookman Old Style" w:hAnsi="Bookman Old Style" w:cs="Arial"/>
          <w:i/>
          <w:sz w:val="20"/>
        </w:rPr>
      </w:pPr>
      <w:r>
        <w:rPr>
          <w:rFonts w:ascii="Bookman Old Style" w:hAnsi="Bookman Old Style" w:cs="Arial"/>
          <w:sz w:val="20"/>
        </w:rPr>
        <w:t xml:space="preserve">NC ( 84-2) sono stati ridotte a zero le aliquote d’imposta incidenti sulle macchine e attrezzature, cosi come i ripetuti accessori, pezzi di riposizioni e strumenti che compongono lo stesso, destinate alla istallazione, ampliazione o modernizzazione delle unità industriale che fabbricano, l’ unica e esclusivamente, carta riciclata, con progetto approvato dalla </w:t>
      </w:r>
      <w:r w:rsidRPr="00275C61">
        <w:rPr>
          <w:rFonts w:ascii="Bookman Old Style" w:hAnsi="Bookman Old Style" w:cs="Arial"/>
          <w:i/>
          <w:sz w:val="20"/>
        </w:rPr>
        <w:t>Se</w:t>
      </w:r>
      <w:r>
        <w:rPr>
          <w:rFonts w:ascii="Bookman Old Style" w:hAnsi="Bookman Old Style" w:cs="Arial"/>
          <w:i/>
          <w:sz w:val="20"/>
        </w:rPr>
        <w:t>g</w:t>
      </w:r>
      <w:r w:rsidRPr="00275C61">
        <w:rPr>
          <w:rFonts w:ascii="Bookman Old Style" w:hAnsi="Bookman Old Style" w:cs="Arial"/>
          <w:i/>
          <w:sz w:val="20"/>
        </w:rPr>
        <w:t>ret</w:t>
      </w:r>
      <w:r>
        <w:rPr>
          <w:rFonts w:ascii="Bookman Old Style" w:hAnsi="Bookman Old Style" w:cs="Arial"/>
          <w:i/>
          <w:sz w:val="20"/>
        </w:rPr>
        <w:t>e</w:t>
      </w:r>
      <w:r w:rsidRPr="00275C61">
        <w:rPr>
          <w:rFonts w:ascii="Bookman Old Style" w:hAnsi="Bookman Old Style" w:cs="Arial"/>
          <w:i/>
          <w:sz w:val="20"/>
        </w:rPr>
        <w:t>ria de</w:t>
      </w:r>
      <w:r>
        <w:rPr>
          <w:rFonts w:ascii="Bookman Old Style" w:hAnsi="Bookman Old Style" w:cs="Arial"/>
          <w:i/>
          <w:sz w:val="20"/>
        </w:rPr>
        <w:t>llo</w:t>
      </w:r>
      <w:r w:rsidRPr="00275C61">
        <w:rPr>
          <w:rFonts w:ascii="Bookman Old Style" w:hAnsi="Bookman Old Style" w:cs="Arial"/>
          <w:i/>
          <w:sz w:val="20"/>
        </w:rPr>
        <w:t xml:space="preserve"> </w:t>
      </w:r>
      <w:r>
        <w:rPr>
          <w:rFonts w:ascii="Bookman Old Style" w:hAnsi="Bookman Old Style" w:cs="Arial"/>
          <w:i/>
          <w:sz w:val="20"/>
        </w:rPr>
        <w:t xml:space="preserve">Svolgimento </w:t>
      </w:r>
      <w:r w:rsidRPr="00275C61">
        <w:rPr>
          <w:rFonts w:ascii="Bookman Old Style" w:hAnsi="Bookman Old Style" w:cs="Arial"/>
          <w:i/>
          <w:sz w:val="20"/>
        </w:rPr>
        <w:t>d</w:t>
      </w:r>
      <w:r>
        <w:rPr>
          <w:rFonts w:ascii="Bookman Old Style" w:hAnsi="Bookman Old Style" w:cs="Arial"/>
          <w:i/>
          <w:sz w:val="20"/>
        </w:rPr>
        <w:t>ell</w:t>
      </w:r>
      <w:r w:rsidRPr="00275C61">
        <w:rPr>
          <w:rFonts w:ascii="Bookman Old Style" w:hAnsi="Bookman Old Style" w:cs="Arial"/>
          <w:i/>
          <w:sz w:val="20"/>
        </w:rPr>
        <w:t>a Produ</w:t>
      </w:r>
      <w:r>
        <w:rPr>
          <w:rFonts w:ascii="Bookman Old Style" w:hAnsi="Bookman Old Style" w:cs="Arial"/>
          <w:i/>
          <w:sz w:val="20"/>
        </w:rPr>
        <w:t>zione</w:t>
      </w:r>
      <w:r w:rsidRPr="00275C61">
        <w:rPr>
          <w:rFonts w:ascii="Bookman Old Style" w:hAnsi="Bookman Old Style" w:cs="Arial"/>
          <w:i/>
          <w:sz w:val="20"/>
        </w:rPr>
        <w:t xml:space="preserve"> d</w:t>
      </w:r>
      <w:r>
        <w:rPr>
          <w:rFonts w:ascii="Bookman Old Style" w:hAnsi="Bookman Old Style" w:cs="Arial"/>
          <w:i/>
          <w:sz w:val="20"/>
        </w:rPr>
        <w:t>el</w:t>
      </w:r>
      <w:r w:rsidRPr="00275C61">
        <w:rPr>
          <w:rFonts w:ascii="Bookman Old Style" w:hAnsi="Bookman Old Style" w:cs="Arial"/>
          <w:i/>
          <w:sz w:val="20"/>
        </w:rPr>
        <w:t xml:space="preserve"> Minist</w:t>
      </w:r>
      <w:r>
        <w:rPr>
          <w:rFonts w:ascii="Bookman Old Style" w:hAnsi="Bookman Old Style" w:cs="Arial"/>
          <w:i/>
          <w:sz w:val="20"/>
        </w:rPr>
        <w:t>e</w:t>
      </w:r>
      <w:r w:rsidRPr="00275C61">
        <w:rPr>
          <w:rFonts w:ascii="Bookman Old Style" w:hAnsi="Bookman Old Style" w:cs="Arial"/>
          <w:i/>
          <w:sz w:val="20"/>
        </w:rPr>
        <w:t>ro d</w:t>
      </w:r>
      <w:r>
        <w:rPr>
          <w:rFonts w:ascii="Bookman Old Style" w:hAnsi="Bookman Old Style" w:cs="Arial"/>
          <w:i/>
          <w:sz w:val="20"/>
        </w:rPr>
        <w:t>ell</w:t>
      </w:r>
      <w:r w:rsidRPr="00275C61">
        <w:rPr>
          <w:rFonts w:ascii="Bookman Old Style" w:hAnsi="Bookman Old Style" w:cs="Arial"/>
          <w:i/>
          <w:sz w:val="20"/>
        </w:rPr>
        <w:t xml:space="preserve">o </w:t>
      </w:r>
      <w:r>
        <w:rPr>
          <w:rFonts w:ascii="Bookman Old Style" w:hAnsi="Bookman Old Style" w:cs="Arial"/>
          <w:i/>
          <w:sz w:val="20"/>
        </w:rPr>
        <w:t>Svolgimento, Industria e Commercio.</w:t>
      </w:r>
    </w:p>
    <w:p w:rsidR="00364E9B" w:rsidRDefault="00364E9B" w:rsidP="00364E9B">
      <w:pPr>
        <w:jc w:val="both"/>
        <w:rPr>
          <w:rFonts w:ascii="Bookman Old Style" w:hAnsi="Bookman Old Style" w:cs="Arial"/>
          <w:i/>
          <w:sz w:val="20"/>
        </w:rPr>
      </w:pPr>
    </w:p>
    <w:p w:rsidR="00364E9B" w:rsidRDefault="00364E9B" w:rsidP="00364E9B">
      <w:pPr>
        <w:jc w:val="both"/>
        <w:rPr>
          <w:rFonts w:ascii="Bookman Old Style" w:hAnsi="Bookman Old Style" w:cs="Arial"/>
          <w:sz w:val="20"/>
          <w:u w:val="single"/>
        </w:rPr>
      </w:pPr>
      <w:r>
        <w:rPr>
          <w:rFonts w:ascii="Bookman Old Style" w:hAnsi="Bookman Old Style" w:cs="Arial"/>
          <w:sz w:val="20"/>
          <w:u w:val="single"/>
        </w:rPr>
        <w:t>Nota di ICMS</w:t>
      </w:r>
    </w:p>
    <w:p w:rsidR="00364E9B" w:rsidRDefault="00364E9B" w:rsidP="00364E9B">
      <w:pPr>
        <w:jc w:val="both"/>
        <w:rPr>
          <w:rFonts w:ascii="Bookman Old Style" w:hAnsi="Bookman Old Style" w:cs="Arial"/>
          <w:sz w:val="20"/>
          <w:u w:val="single"/>
        </w:rPr>
      </w:pPr>
    </w:p>
    <w:p w:rsidR="00364E9B" w:rsidRDefault="00364E9B" w:rsidP="00364E9B">
      <w:pPr>
        <w:jc w:val="both"/>
        <w:rPr>
          <w:rFonts w:ascii="Bookman Old Style" w:hAnsi="Bookman Old Style" w:cs="Arial"/>
          <w:sz w:val="20"/>
        </w:rPr>
      </w:pPr>
      <w:r w:rsidRPr="00827180">
        <w:rPr>
          <w:rFonts w:ascii="Bookman Old Style" w:hAnsi="Bookman Old Style" w:cs="Arial"/>
          <w:sz w:val="20"/>
        </w:rPr>
        <w:t>(R)</w:t>
      </w:r>
      <w:r>
        <w:rPr>
          <w:rFonts w:ascii="Bookman Old Style" w:hAnsi="Bookman Old Style" w:cs="Arial"/>
          <w:sz w:val="20"/>
        </w:rPr>
        <w:t xml:space="preserve"> – Riduzione della base di calcolo – V. Convenio ICMS 52/91</w:t>
      </w:r>
    </w:p>
    <w:p w:rsidR="00364E9B" w:rsidRDefault="00364E9B" w:rsidP="00364E9B">
      <w:pPr>
        <w:jc w:val="both"/>
        <w:rPr>
          <w:rFonts w:ascii="Bookman Old Style" w:hAnsi="Bookman Old Style" w:cs="Arial"/>
          <w:sz w:val="20"/>
        </w:rPr>
      </w:pPr>
    </w:p>
    <w:p w:rsidR="00364E9B" w:rsidRDefault="00364E9B" w:rsidP="00364E9B">
      <w:pPr>
        <w:jc w:val="both"/>
        <w:rPr>
          <w:rFonts w:ascii="Bookman Old Style" w:hAnsi="Bookman Old Style" w:cs="Arial"/>
          <w:sz w:val="20"/>
          <w:u w:val="single"/>
        </w:rPr>
      </w:pPr>
      <w:r w:rsidRPr="00827180">
        <w:rPr>
          <w:rFonts w:ascii="Bookman Old Style" w:hAnsi="Bookman Old Style" w:cs="Arial"/>
          <w:sz w:val="20"/>
          <w:u w:val="single"/>
        </w:rPr>
        <w:t xml:space="preserve">Nota di Trattamento </w:t>
      </w:r>
      <w:r>
        <w:rPr>
          <w:rFonts w:ascii="Bookman Old Style" w:hAnsi="Bookman Old Style" w:cs="Arial"/>
          <w:sz w:val="20"/>
          <w:u w:val="single"/>
        </w:rPr>
        <w:t>A</w:t>
      </w:r>
      <w:r w:rsidRPr="00827180">
        <w:rPr>
          <w:rFonts w:ascii="Bookman Old Style" w:hAnsi="Bookman Old Style" w:cs="Arial"/>
          <w:sz w:val="20"/>
          <w:u w:val="single"/>
        </w:rPr>
        <w:t>mministrativo</w:t>
      </w:r>
      <w:r>
        <w:rPr>
          <w:rFonts w:ascii="Bookman Old Style" w:hAnsi="Bookman Old Style" w:cs="Arial"/>
          <w:sz w:val="20"/>
          <w:u w:val="single"/>
        </w:rPr>
        <w:t>:</w:t>
      </w:r>
    </w:p>
    <w:p w:rsidR="00364E9B" w:rsidRDefault="00364E9B" w:rsidP="00364E9B">
      <w:pPr>
        <w:jc w:val="both"/>
        <w:rPr>
          <w:rFonts w:ascii="Bookman Old Style" w:hAnsi="Bookman Old Style" w:cs="Arial"/>
          <w:sz w:val="20"/>
          <w:u w:val="single"/>
        </w:rPr>
      </w:pPr>
    </w:p>
    <w:p w:rsidR="00364E9B" w:rsidRDefault="00364E9B" w:rsidP="00364E9B">
      <w:pPr>
        <w:jc w:val="both"/>
        <w:rPr>
          <w:rFonts w:ascii="Bookman Old Style" w:hAnsi="Bookman Old Style" w:cs="Arial"/>
          <w:sz w:val="20"/>
        </w:rPr>
      </w:pPr>
      <w:r w:rsidRPr="00764A33">
        <w:rPr>
          <w:rFonts w:ascii="Bookman Old Style" w:hAnsi="Bookman Old Style" w:cs="Arial"/>
          <w:sz w:val="20"/>
        </w:rPr>
        <w:t>(E)</w:t>
      </w:r>
      <w:r>
        <w:rPr>
          <w:rFonts w:ascii="Bookman Old Style" w:hAnsi="Bookman Old Style" w:cs="Arial"/>
          <w:sz w:val="20"/>
        </w:rPr>
        <w:t xml:space="preserve"> – (E-1) D’accordo con le disposizioni della Portaria Secex 14, DOU 23/11/2004, per verificare i prodotti sottoposto alla Licenza Automatica e non Automatica, e altre esigenze vigenti nella realizzazione d’Importazione, dovrà essere consultata nella tabella </w:t>
      </w:r>
      <w:r>
        <w:rPr>
          <w:rFonts w:ascii="Bookman Old Style" w:hAnsi="Bookman Old Style" w:cs="Arial"/>
          <w:i/>
          <w:sz w:val="20"/>
        </w:rPr>
        <w:t>T</w:t>
      </w:r>
      <w:r w:rsidRPr="006F0C37">
        <w:rPr>
          <w:rFonts w:ascii="Bookman Old Style" w:hAnsi="Bookman Old Style" w:cs="Arial"/>
          <w:i/>
          <w:sz w:val="20"/>
        </w:rPr>
        <w:t>rattamento A</w:t>
      </w:r>
      <w:r>
        <w:rPr>
          <w:rFonts w:ascii="Bookman Old Style" w:hAnsi="Bookman Old Style" w:cs="Arial"/>
          <w:i/>
          <w:sz w:val="20"/>
        </w:rPr>
        <w:t>m</w:t>
      </w:r>
      <w:r w:rsidRPr="006F0C37">
        <w:rPr>
          <w:rFonts w:ascii="Bookman Old Style" w:hAnsi="Bookman Old Style" w:cs="Arial"/>
          <w:i/>
          <w:sz w:val="20"/>
        </w:rPr>
        <w:t>mi</w:t>
      </w:r>
      <w:r>
        <w:rPr>
          <w:rFonts w:ascii="Bookman Old Style" w:hAnsi="Bookman Old Style" w:cs="Arial"/>
          <w:i/>
          <w:sz w:val="20"/>
        </w:rPr>
        <w:t>ni</w:t>
      </w:r>
      <w:r w:rsidRPr="006F0C37">
        <w:rPr>
          <w:rFonts w:ascii="Bookman Old Style" w:hAnsi="Bookman Old Style" w:cs="Arial"/>
          <w:i/>
          <w:sz w:val="20"/>
        </w:rPr>
        <w:t>strativo</w:t>
      </w:r>
      <w:r>
        <w:rPr>
          <w:rFonts w:ascii="Bookman Old Style" w:hAnsi="Bookman Old Style" w:cs="Arial"/>
          <w:sz w:val="20"/>
        </w:rPr>
        <w:t xml:space="preserve"> dello Siscomex. L’ informazione anche sarà disponibile nell’indirizzo elettronico del MDIC. ( Ministero dello Sviluppo, Industria e Commercio l’Estero Brasiliano)</w:t>
      </w:r>
    </w:p>
    <w:p w:rsidR="00364E9B" w:rsidRDefault="00364E9B" w:rsidP="00364E9B">
      <w:pPr>
        <w:jc w:val="both"/>
        <w:rPr>
          <w:rFonts w:ascii="Bookman Old Style" w:hAnsi="Bookman Old Style" w:cs="Arial"/>
          <w:sz w:val="20"/>
        </w:rPr>
      </w:pPr>
    </w:p>
    <w:p w:rsidR="00364E9B" w:rsidRDefault="00364E9B" w:rsidP="00364E9B">
      <w:pPr>
        <w:jc w:val="both"/>
        <w:rPr>
          <w:rFonts w:ascii="Bookman Old Style" w:hAnsi="Bookman Old Style" w:cs="Arial"/>
          <w:sz w:val="20"/>
        </w:rPr>
      </w:pPr>
      <w:r w:rsidRPr="00DA04E0">
        <w:rPr>
          <w:rFonts w:ascii="Bookman Old Style" w:hAnsi="Bookman Old Style" w:cs="Arial"/>
          <w:sz w:val="20"/>
        </w:rPr>
        <w:t>(LI)</w:t>
      </w:r>
      <w:r>
        <w:rPr>
          <w:rFonts w:ascii="Bookman Old Style" w:hAnsi="Bookman Old Style" w:cs="Arial"/>
          <w:sz w:val="20"/>
        </w:rPr>
        <w:t xml:space="preserve"> -</w:t>
      </w:r>
      <w:r w:rsidRPr="00DA04E0">
        <w:rPr>
          <w:rFonts w:ascii="Bookman Old Style" w:hAnsi="Bookman Old Style" w:cs="Arial"/>
          <w:sz w:val="20"/>
        </w:rPr>
        <w:t xml:space="preserve"> </w:t>
      </w:r>
      <w:r>
        <w:rPr>
          <w:rFonts w:ascii="Bookman Old Style" w:hAnsi="Bookman Old Style" w:cs="Arial"/>
          <w:sz w:val="20"/>
        </w:rPr>
        <w:t>Distacco della NCM 101- Nel caso del prodotto che utilizza sostanzialmente è presente nel Protocollo di Montreal (CFC), l’importazione è soggetta alla Licenza, ad essere analizzata dal IBAMA.</w:t>
      </w:r>
    </w:p>
    <w:p w:rsidR="00364E9B" w:rsidRDefault="00364E9B" w:rsidP="00364E9B">
      <w:pPr>
        <w:jc w:val="both"/>
        <w:rPr>
          <w:rFonts w:ascii="Bookman Old Style" w:hAnsi="Bookman Old Style" w:cs="Arial"/>
          <w:sz w:val="20"/>
        </w:rPr>
      </w:pPr>
    </w:p>
    <w:p w:rsidR="00364E9B" w:rsidRDefault="00364E9B" w:rsidP="00364E9B">
      <w:pPr>
        <w:jc w:val="both"/>
        <w:rPr>
          <w:rFonts w:ascii="Bookman Old Style" w:hAnsi="Bookman Old Style" w:cs="Arial"/>
          <w:sz w:val="20"/>
        </w:rPr>
      </w:pPr>
      <w:r>
        <w:rPr>
          <w:rFonts w:ascii="Bookman Old Style" w:hAnsi="Bookman Old Style" w:cs="Arial"/>
          <w:sz w:val="20"/>
        </w:rPr>
        <w:t xml:space="preserve">(LI 1) – Conforme Notizia dello Siscomex n ° 30 – 31/08/04, con la finalità di applicazione dello statuto della similarità nazionale, nella quale rimette l’obbligatorietà del registro della D.I previamente all’imbarco della merce all’estero, fu creato il </w:t>
      </w:r>
      <w:r w:rsidRPr="0083198E">
        <w:rPr>
          <w:rFonts w:ascii="Bookman Old Style" w:hAnsi="Bookman Old Style" w:cs="Arial"/>
          <w:i/>
          <w:sz w:val="20"/>
        </w:rPr>
        <w:t>D</w:t>
      </w:r>
      <w:r>
        <w:rPr>
          <w:rFonts w:ascii="Bookman Old Style" w:hAnsi="Bookman Old Style" w:cs="Arial"/>
          <w:i/>
          <w:sz w:val="20"/>
        </w:rPr>
        <w:t>istacco</w:t>
      </w:r>
      <w:r w:rsidRPr="0083198E">
        <w:rPr>
          <w:rFonts w:ascii="Bookman Old Style" w:hAnsi="Bookman Old Style" w:cs="Arial"/>
          <w:i/>
          <w:sz w:val="20"/>
        </w:rPr>
        <w:t xml:space="preserve"> de</w:t>
      </w:r>
      <w:r>
        <w:rPr>
          <w:rFonts w:ascii="Bookman Old Style" w:hAnsi="Bookman Old Style" w:cs="Arial"/>
          <w:i/>
          <w:sz w:val="20"/>
        </w:rPr>
        <w:t>lla</w:t>
      </w:r>
      <w:r>
        <w:rPr>
          <w:rFonts w:ascii="Bookman Old Style" w:hAnsi="Bookman Old Style" w:cs="Arial"/>
          <w:sz w:val="20"/>
        </w:rPr>
        <w:t xml:space="preserve"> NCM 555 che dovrà essere utilizzata nella compilazione della LI sostenendo i beni inquadrati nello inciso V dell’Art. 4 ° dello Decreto 5.171/04:</w:t>
      </w:r>
    </w:p>
    <w:p w:rsidR="00364E9B" w:rsidRDefault="00364E9B" w:rsidP="00364E9B">
      <w:pPr>
        <w:jc w:val="both"/>
        <w:rPr>
          <w:rFonts w:ascii="Bookman Old Style" w:hAnsi="Bookman Old Style" w:cs="Arial"/>
          <w:sz w:val="20"/>
        </w:rPr>
      </w:pPr>
      <w:r>
        <w:rPr>
          <w:rFonts w:ascii="Bookman Old Style" w:hAnsi="Bookman Old Style" w:cs="Arial"/>
          <w:sz w:val="20"/>
        </w:rPr>
        <w:t xml:space="preserve">“V – Macchine, apparecchiature, strumenti, e parti o pezzi di riposizioni, e pellicole cinematografiche vergine, destinate all’Industrie cinematografiche e audio visuale, ed radiodifuzione.”  </w:t>
      </w:r>
    </w:p>
    <w:p w:rsidR="00364E9B" w:rsidRDefault="00364E9B" w:rsidP="00364E9B">
      <w:pPr>
        <w:jc w:val="both"/>
        <w:rPr>
          <w:rFonts w:ascii="Bookman Old Style" w:hAnsi="Bookman Old Style" w:cs="Arial"/>
          <w:sz w:val="20"/>
        </w:rPr>
      </w:pPr>
    </w:p>
    <w:p w:rsidR="00364E9B" w:rsidRDefault="00364E9B" w:rsidP="00364E9B">
      <w:pPr>
        <w:jc w:val="both"/>
        <w:rPr>
          <w:rFonts w:ascii="Bookman Old Style" w:hAnsi="Bookman Old Style" w:cs="Arial"/>
          <w:sz w:val="20"/>
        </w:rPr>
      </w:pPr>
      <w:r>
        <w:rPr>
          <w:rFonts w:ascii="Bookman Old Style" w:hAnsi="Bookman Old Style" w:cs="Arial"/>
          <w:sz w:val="20"/>
        </w:rPr>
        <w:t>Nota Edit.: integra del decreto nel modulo ATOS.</w:t>
      </w:r>
    </w:p>
    <w:p w:rsidR="00364E9B" w:rsidRDefault="00364E9B" w:rsidP="00364E9B">
      <w:pPr>
        <w:jc w:val="both"/>
        <w:rPr>
          <w:rFonts w:ascii="Bookman Old Style" w:hAnsi="Bookman Old Style" w:cs="Arial"/>
          <w:sz w:val="20"/>
        </w:rPr>
      </w:pPr>
    </w:p>
    <w:p w:rsidR="00364E9B" w:rsidRDefault="00364E9B" w:rsidP="00364E9B">
      <w:pPr>
        <w:jc w:val="both"/>
        <w:rPr>
          <w:rFonts w:ascii="Bookman Old Style" w:hAnsi="Bookman Old Style" w:cs="Arial"/>
          <w:sz w:val="20"/>
        </w:rPr>
      </w:pPr>
      <w:r>
        <w:rPr>
          <w:rFonts w:ascii="Bookman Old Style" w:hAnsi="Bookman Old Style" w:cs="Arial"/>
          <w:sz w:val="20"/>
        </w:rPr>
        <w:t>(LI 2) – “ Distacco della NCM 790 – operazione nella moneta nazionale”. Importazione soggetta alla Licenza, ad essere analizzata dal Decex.</w:t>
      </w:r>
    </w:p>
    <w:p w:rsidR="00F45807" w:rsidRDefault="00F45807" w:rsidP="00364E9B">
      <w:pPr>
        <w:pStyle w:val="Titolo1"/>
        <w:rPr>
          <w:rStyle w:val="Enfasigrassetto"/>
          <w:rFonts w:ascii="Verdana" w:hAnsi="Verdana"/>
          <w:b/>
          <w:color w:val="auto"/>
          <w:sz w:val="18"/>
          <w:szCs w:val="18"/>
        </w:rPr>
      </w:pPr>
    </w:p>
    <w:p w:rsidR="00364E9B" w:rsidRPr="00364E9B" w:rsidRDefault="00364E9B" w:rsidP="00364E9B">
      <w:pPr>
        <w:pStyle w:val="Titolo1"/>
        <w:rPr>
          <w:rStyle w:val="Enfasigrassetto"/>
          <w:rFonts w:ascii="Verdana" w:hAnsi="Verdana"/>
          <w:b/>
          <w:color w:val="auto"/>
          <w:sz w:val="18"/>
          <w:szCs w:val="18"/>
        </w:rPr>
      </w:pPr>
      <w:r w:rsidRPr="00364E9B">
        <w:rPr>
          <w:rStyle w:val="Enfasigrassetto"/>
          <w:rFonts w:ascii="Verdana" w:hAnsi="Verdana"/>
          <w:b/>
          <w:color w:val="auto"/>
          <w:sz w:val="18"/>
          <w:szCs w:val="18"/>
        </w:rPr>
        <w:t>Amanda Piccoli</w:t>
      </w:r>
    </w:p>
    <w:p w:rsidR="00364E9B" w:rsidRPr="00364E9B" w:rsidRDefault="00364E9B" w:rsidP="00364E9B">
      <w:pPr>
        <w:rPr>
          <w:rFonts w:ascii="Verdana" w:hAnsi="Verdana"/>
          <w:sz w:val="18"/>
          <w:szCs w:val="18"/>
        </w:rPr>
      </w:pPr>
      <w:r w:rsidRPr="00364E9B">
        <w:rPr>
          <w:rFonts w:ascii="Verdana" w:hAnsi="Verdana"/>
          <w:b/>
          <w:sz w:val="18"/>
          <w:szCs w:val="18"/>
        </w:rPr>
        <w:t>Metropoli - Desk Brasile</w:t>
      </w:r>
    </w:p>
    <w:p w:rsidR="00364E9B" w:rsidRDefault="00364E9B" w:rsidP="00364E9B">
      <w:pPr>
        <w:jc w:val="both"/>
        <w:rPr>
          <w:rFonts w:ascii="Bookman Old Style" w:hAnsi="Bookman Old Style" w:cs="Arial"/>
          <w:sz w:val="20"/>
        </w:rPr>
      </w:pPr>
    </w:p>
    <w:p w:rsidR="003F4ACE" w:rsidRDefault="003F4ACE" w:rsidP="00364E9B"/>
    <w:sectPr w:rsidR="003F4ACE" w:rsidSect="002D046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7D3" w:rsidRDefault="000937D3" w:rsidP="00364E9B">
      <w:r>
        <w:separator/>
      </w:r>
    </w:p>
  </w:endnote>
  <w:endnote w:type="continuationSeparator" w:id="0">
    <w:p w:rsidR="000937D3" w:rsidRDefault="000937D3" w:rsidP="00364E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919" w:rsidRDefault="006018C2" w:rsidP="00364E9B">
    <w:pPr>
      <w:ind w:right="360"/>
      <w:jc w:val="center"/>
      <w:rPr>
        <w:rFonts w:ascii="Arial Narrow" w:hAnsi="Arial Narrow"/>
        <w:b/>
        <w:sz w:val="18"/>
        <w:szCs w:val="18"/>
        <w:lang w:val="pt-BR"/>
      </w:rPr>
    </w:pPr>
    <w:r w:rsidRPr="006018C2">
      <w:pict>
        <v:shapetype id="_x0000_t202" coordsize="21600,21600" o:spt="202" path="m,l,21600r21600,l21600,xe">
          <v:stroke joinstyle="miter"/>
          <v:path gradientshapeok="t" o:connecttype="rect"/>
        </v:shapetype>
        <v:shape id="_x0000_s1025" type="#_x0000_t202" style="position:absolute;left:0;text-align:left;margin-left:525.85pt;margin-top:.05pt;width:4.9pt;height:12.45pt;z-index:251660288;mso-wrap-distance-left:0;mso-wrap-distance-right:0;mso-position-horizontal-relative:page" stroked="f">
          <v:fill opacity="0" color2="black"/>
          <v:textbox style="mso-next-textbox:#_x0000_s1025" inset="0,0,0,0">
            <w:txbxContent>
              <w:p w:rsidR="00930919" w:rsidRDefault="00930919" w:rsidP="00364E9B">
                <w:pPr>
                  <w:pStyle w:val="Pidipagina"/>
                </w:pPr>
                <w:r>
                  <w:rPr>
                    <w:rStyle w:val="Numeropagina"/>
                    <w:sz w:val="22"/>
                    <w:szCs w:val="22"/>
                  </w:rPr>
                  <w:t xml:space="preserve"> PAGE </w:t>
                </w:r>
                <w:r w:rsidR="00F45807">
                  <w:rPr>
                    <w:rStyle w:val="Numeropagina"/>
                    <w:noProof/>
                    <w:sz w:val="22"/>
                    <w:szCs w:val="22"/>
                  </w:rPr>
                  <w:t>4</w:t>
                </w:r>
              </w:p>
            </w:txbxContent>
          </v:textbox>
          <w10:wrap type="square" side="largest" anchorx="page"/>
        </v:shape>
      </w:pict>
    </w:r>
    <w:r w:rsidR="00930919">
      <w:rPr>
        <w:rFonts w:ascii="Arial Narrow" w:hAnsi="Arial Narrow"/>
        <w:b/>
        <w:sz w:val="18"/>
        <w:szCs w:val="18"/>
        <w:lang w:val="pt-BR"/>
      </w:rPr>
      <w:t>METROPOLI</w:t>
    </w:r>
  </w:p>
  <w:p w:rsidR="00930919" w:rsidRDefault="00930919" w:rsidP="00364E9B">
    <w:pPr>
      <w:jc w:val="center"/>
      <w:rPr>
        <w:rFonts w:ascii="Arial Narrow" w:hAnsi="Arial Narrow"/>
        <w:sz w:val="18"/>
        <w:szCs w:val="18"/>
        <w:lang w:val="pt-BR"/>
      </w:rPr>
    </w:pPr>
    <w:r>
      <w:rPr>
        <w:rFonts w:ascii="Arial Narrow" w:hAnsi="Arial Narrow"/>
        <w:sz w:val="18"/>
        <w:szCs w:val="18"/>
        <w:lang w:val="pt-BR"/>
      </w:rPr>
      <w:t>Avenida São Luiz, 50 – 16º andar – Edifício Itália – 01046-926 – São Paulo – SP</w:t>
    </w:r>
  </w:p>
  <w:p w:rsidR="00930919" w:rsidRDefault="00930919" w:rsidP="00364E9B">
    <w:pPr>
      <w:jc w:val="center"/>
      <w:rPr>
        <w:rFonts w:ascii="Arial Narrow" w:hAnsi="Arial Narrow"/>
        <w:sz w:val="18"/>
        <w:szCs w:val="18"/>
        <w:lang w:val="pt-BR"/>
      </w:rPr>
    </w:pPr>
    <w:r>
      <w:rPr>
        <w:rFonts w:ascii="Arial Narrow" w:hAnsi="Arial Narrow"/>
        <w:sz w:val="18"/>
        <w:szCs w:val="18"/>
        <w:lang w:val="pt-BR"/>
      </w:rPr>
      <w:t>Telefono: + 55 11 3123-2767 –  - Fax: + 55 11 3123-2764</w:t>
    </w:r>
  </w:p>
  <w:p w:rsidR="00930919" w:rsidRDefault="0093091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7D3" w:rsidRDefault="000937D3" w:rsidP="00364E9B">
      <w:r>
        <w:separator/>
      </w:r>
    </w:p>
  </w:footnote>
  <w:footnote w:type="continuationSeparator" w:id="0">
    <w:p w:rsidR="000937D3" w:rsidRDefault="000937D3" w:rsidP="00364E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919" w:rsidRPr="00364E9B" w:rsidRDefault="00930919" w:rsidP="00364E9B">
    <w:pPr>
      <w:pStyle w:val="Intestazione"/>
    </w:pPr>
    <w:r>
      <w:rPr>
        <w:noProof/>
        <w:color w:val="333333"/>
      </w:rPr>
      <w:drawing>
        <wp:inline distT="0" distB="0" distL="0" distR="0">
          <wp:extent cx="1685925" cy="68580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85925" cy="685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C2BCC"/>
    <w:multiLevelType w:val="hybridMultilevel"/>
    <w:tmpl w:val="5BE6E7C2"/>
    <w:lvl w:ilvl="0" w:tplc="ED961566">
      <w:start w:val="1"/>
      <w:numFmt w:val="bullet"/>
      <w:lvlText w:val="-"/>
      <w:lvlJc w:val="left"/>
      <w:pPr>
        <w:tabs>
          <w:tab w:val="num" w:pos="720"/>
        </w:tabs>
        <w:ind w:left="720" w:hanging="360"/>
      </w:pPr>
      <w:rPr>
        <w:rFonts w:ascii="Times New Roman" w:eastAsia="Times New Roman" w:hAnsi="Times New Roman" w:cs="Times New Roman" w:hint="default"/>
        <w:b/>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08F84332"/>
    <w:multiLevelType w:val="hybridMultilevel"/>
    <w:tmpl w:val="6B04D362"/>
    <w:lvl w:ilvl="0" w:tplc="7FC6496E">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51AD17B3"/>
    <w:multiLevelType w:val="hybridMultilevel"/>
    <w:tmpl w:val="8068AEE4"/>
    <w:lvl w:ilvl="0" w:tplc="474A6F7E">
      <w:start w:val="1"/>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6AB607F7"/>
    <w:multiLevelType w:val="singleLevel"/>
    <w:tmpl w:val="AC3E3BDE"/>
    <w:lvl w:ilvl="0">
      <w:numFmt w:val="bullet"/>
      <w:lvlText w:val="-"/>
      <w:lvlJc w:val="left"/>
      <w:pPr>
        <w:tabs>
          <w:tab w:val="num" w:pos="720"/>
        </w:tabs>
        <w:ind w:left="720" w:hanging="3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364E9B"/>
    <w:rsid w:val="000534FA"/>
    <w:rsid w:val="00081DA9"/>
    <w:rsid w:val="000937D3"/>
    <w:rsid w:val="00162576"/>
    <w:rsid w:val="002D0460"/>
    <w:rsid w:val="00357F47"/>
    <w:rsid w:val="00364E9B"/>
    <w:rsid w:val="003F4ACE"/>
    <w:rsid w:val="006018C2"/>
    <w:rsid w:val="0083285A"/>
    <w:rsid w:val="00854DA8"/>
    <w:rsid w:val="008F2F6C"/>
    <w:rsid w:val="00930919"/>
    <w:rsid w:val="009C15B7"/>
    <w:rsid w:val="009D3576"/>
    <w:rsid w:val="00C156E8"/>
    <w:rsid w:val="00C34057"/>
    <w:rsid w:val="00DA054D"/>
    <w:rsid w:val="00F15013"/>
    <w:rsid w:val="00F4580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4E9B"/>
    <w:pPr>
      <w:spacing w:after="0" w:line="240" w:lineRule="auto"/>
    </w:pPr>
    <w:rPr>
      <w:rFonts w:ascii="Times New Roman" w:eastAsia="Times New Roman" w:hAnsi="Times New Roman" w:cs="Times New Roman"/>
      <w:sz w:val="24"/>
      <w:szCs w:val="24"/>
      <w:lang w:val="it-IT" w:eastAsia="it-IT"/>
    </w:rPr>
  </w:style>
  <w:style w:type="paragraph" w:styleId="Titolo1">
    <w:name w:val="heading 1"/>
    <w:basedOn w:val="Normale"/>
    <w:next w:val="Normale"/>
    <w:link w:val="Titolo1Carattere"/>
    <w:uiPriority w:val="9"/>
    <w:qFormat/>
    <w:rsid w:val="00364E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5">
    <w:name w:val="heading 5"/>
    <w:basedOn w:val="Normale"/>
    <w:next w:val="Normale"/>
    <w:link w:val="Titolo5Carattere"/>
    <w:qFormat/>
    <w:rsid w:val="00364E9B"/>
    <w:pPr>
      <w:keepNext/>
      <w:outlineLvl w:val="4"/>
    </w:pPr>
    <w:rPr>
      <w:rFonts w:ascii="Tahoma" w:hAnsi="Tahoma"/>
      <w:b/>
      <w:szCs w:val="20"/>
      <w:lang w:val="pt-BR" w:eastAsia="pt-B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364E9B"/>
    <w:pPr>
      <w:ind w:left="708" w:firstLine="372"/>
      <w:jc w:val="both"/>
    </w:pPr>
    <w:rPr>
      <w:rFonts w:ascii="Georgia" w:hAnsi="Georgia"/>
      <w:szCs w:val="32"/>
    </w:rPr>
  </w:style>
  <w:style w:type="character" w:customStyle="1" w:styleId="RientrocorpodeltestoCarattere">
    <w:name w:val="Rientro corpo del testo Carattere"/>
    <w:basedOn w:val="Carpredefinitoparagrafo"/>
    <w:link w:val="Rientrocorpodeltesto"/>
    <w:rsid w:val="00364E9B"/>
    <w:rPr>
      <w:rFonts w:ascii="Georgia" w:eastAsia="Times New Roman" w:hAnsi="Georgia" w:cs="Times New Roman"/>
      <w:sz w:val="24"/>
      <w:szCs w:val="32"/>
      <w:lang w:val="it-IT" w:eastAsia="it-IT"/>
    </w:rPr>
  </w:style>
  <w:style w:type="paragraph" w:styleId="Intestazione">
    <w:name w:val="header"/>
    <w:basedOn w:val="Normale"/>
    <w:link w:val="IntestazioneCarattere"/>
    <w:uiPriority w:val="99"/>
    <w:semiHidden/>
    <w:unhideWhenUsed/>
    <w:rsid w:val="00364E9B"/>
    <w:pPr>
      <w:tabs>
        <w:tab w:val="center" w:pos="4252"/>
        <w:tab w:val="right" w:pos="8504"/>
      </w:tabs>
    </w:pPr>
  </w:style>
  <w:style w:type="character" w:customStyle="1" w:styleId="IntestazioneCarattere">
    <w:name w:val="Intestazione Carattere"/>
    <w:basedOn w:val="Carpredefinitoparagrafo"/>
    <w:link w:val="Intestazione"/>
    <w:uiPriority w:val="99"/>
    <w:semiHidden/>
    <w:rsid w:val="00364E9B"/>
    <w:rPr>
      <w:rFonts w:ascii="Times New Roman" w:eastAsia="Times New Roman" w:hAnsi="Times New Roman" w:cs="Times New Roman"/>
      <w:sz w:val="24"/>
      <w:szCs w:val="24"/>
      <w:lang w:val="it-IT" w:eastAsia="it-IT"/>
    </w:rPr>
  </w:style>
  <w:style w:type="paragraph" w:styleId="Pidipagina">
    <w:name w:val="footer"/>
    <w:basedOn w:val="Normale"/>
    <w:link w:val="PidipaginaCarattere"/>
    <w:uiPriority w:val="99"/>
    <w:unhideWhenUsed/>
    <w:rsid w:val="00364E9B"/>
    <w:pPr>
      <w:tabs>
        <w:tab w:val="center" w:pos="4252"/>
        <w:tab w:val="right" w:pos="8504"/>
      </w:tabs>
    </w:pPr>
  </w:style>
  <w:style w:type="character" w:customStyle="1" w:styleId="PidipaginaCarattere">
    <w:name w:val="Piè di pagina Carattere"/>
    <w:basedOn w:val="Carpredefinitoparagrafo"/>
    <w:link w:val="Pidipagina"/>
    <w:uiPriority w:val="99"/>
    <w:rsid w:val="00364E9B"/>
    <w:rPr>
      <w:rFonts w:ascii="Times New Roman" w:eastAsia="Times New Roman" w:hAnsi="Times New Roman" w:cs="Times New Roman"/>
      <w:sz w:val="24"/>
      <w:szCs w:val="24"/>
      <w:lang w:val="it-IT" w:eastAsia="it-IT"/>
    </w:rPr>
  </w:style>
  <w:style w:type="paragraph" w:styleId="Testofumetto">
    <w:name w:val="Balloon Text"/>
    <w:basedOn w:val="Normale"/>
    <w:link w:val="TestofumettoCarattere"/>
    <w:uiPriority w:val="99"/>
    <w:semiHidden/>
    <w:unhideWhenUsed/>
    <w:rsid w:val="00364E9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64E9B"/>
    <w:rPr>
      <w:rFonts w:ascii="Tahoma" w:eastAsia="Times New Roman" w:hAnsi="Tahoma" w:cs="Tahoma"/>
      <w:sz w:val="16"/>
      <w:szCs w:val="16"/>
      <w:lang w:val="it-IT" w:eastAsia="it-IT"/>
    </w:rPr>
  </w:style>
  <w:style w:type="character" w:styleId="Numeropagina">
    <w:name w:val="page number"/>
    <w:basedOn w:val="Carpredefinitoparagrafo"/>
    <w:rsid w:val="00364E9B"/>
  </w:style>
  <w:style w:type="character" w:customStyle="1" w:styleId="Titolo5Carattere">
    <w:name w:val="Titolo 5 Carattere"/>
    <w:basedOn w:val="Carpredefinitoparagrafo"/>
    <w:link w:val="Titolo5"/>
    <w:rsid w:val="00364E9B"/>
    <w:rPr>
      <w:rFonts w:ascii="Tahoma" w:eastAsia="Times New Roman" w:hAnsi="Tahoma" w:cs="Times New Roman"/>
      <w:b/>
      <w:sz w:val="24"/>
      <w:szCs w:val="20"/>
      <w:lang w:eastAsia="pt-BR"/>
    </w:rPr>
  </w:style>
  <w:style w:type="character" w:customStyle="1" w:styleId="Titolo1Carattere">
    <w:name w:val="Titolo 1 Carattere"/>
    <w:basedOn w:val="Carpredefinitoparagrafo"/>
    <w:link w:val="Titolo1"/>
    <w:uiPriority w:val="9"/>
    <w:rsid w:val="00364E9B"/>
    <w:rPr>
      <w:rFonts w:asciiTheme="majorHAnsi" w:eastAsiaTheme="majorEastAsia" w:hAnsiTheme="majorHAnsi" w:cstheme="majorBidi"/>
      <w:b/>
      <w:bCs/>
      <w:color w:val="365F91" w:themeColor="accent1" w:themeShade="BF"/>
      <w:sz w:val="28"/>
      <w:szCs w:val="28"/>
      <w:lang w:val="it-IT" w:eastAsia="it-IT"/>
    </w:rPr>
  </w:style>
  <w:style w:type="character" w:styleId="Enfasigrassetto">
    <w:name w:val="Strong"/>
    <w:basedOn w:val="Carpredefinitoparagrafo"/>
    <w:qFormat/>
    <w:rsid w:val="00364E9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7690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bkp_04</dc:creator>
  <cp:lastModifiedBy>Administrator</cp:lastModifiedBy>
  <cp:revision>2</cp:revision>
  <dcterms:created xsi:type="dcterms:W3CDTF">2011-09-05T07:37:00Z</dcterms:created>
  <dcterms:modified xsi:type="dcterms:W3CDTF">2011-09-05T07:37:00Z</dcterms:modified>
</cp:coreProperties>
</file>