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B1" w:rsidRDefault="00BD7C77" w:rsidP="00072096">
      <w:pPr>
        <w:pStyle w:val="Titolo1"/>
      </w:pPr>
      <w:r>
        <w:t>X</w:t>
      </w:r>
      <w:r w:rsidR="00FF4238">
        <w:t>.</w:t>
      </w:r>
      <w:r w:rsidR="00072096">
        <w:tab/>
        <w:t>Scenario economico</w:t>
      </w:r>
    </w:p>
    <w:p w:rsidR="00BA6EC0" w:rsidRDefault="00CF2079" w:rsidP="00BA6EC0">
      <w:pPr>
        <w:pStyle w:val="Titolo2"/>
      </w:pPr>
      <w:r>
        <w:t>X</w:t>
      </w:r>
      <w:r w:rsidR="00BA6EC0">
        <w:t>.</w:t>
      </w:r>
      <w:r w:rsidR="00FF4238">
        <w:t>1.</w:t>
      </w:r>
      <w:r w:rsidR="00BA6EC0">
        <w:tab/>
      </w:r>
      <w:r w:rsidR="00BA6EC0" w:rsidRPr="00AB2CA8">
        <w:t>Il quadro internazionale.</w:t>
      </w:r>
    </w:p>
    <w:p w:rsidR="00C6140B" w:rsidRDefault="00C6140B" w:rsidP="00C663BE"/>
    <w:tbl>
      <w:tblPr>
        <w:tblStyle w:val="Grigliatabella"/>
        <w:tblpPr w:topFromText="425" w:bottomFromText="425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6140B" w:rsidRPr="002B550F" w:rsidTr="00127093">
        <w:tc>
          <w:tcPr>
            <w:tcW w:w="9356" w:type="dxa"/>
          </w:tcPr>
          <w:p w:rsidR="00C6140B" w:rsidRPr="002B550F" w:rsidRDefault="00C6140B" w:rsidP="00127093">
            <w:pPr>
              <w:pStyle w:val="FigTitolo"/>
            </w:pPr>
            <w:r w:rsidRPr="002B550F">
              <w:t>La previsione del</w:t>
            </w:r>
            <w:r>
              <w:t>la Commissione Europea</w:t>
            </w:r>
            <w:r w:rsidRPr="002B550F">
              <w:t xml:space="preserve">, 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C6140B" w:rsidRPr="002B550F" w:rsidTr="00127093">
        <w:tc>
          <w:tcPr>
            <w:tcW w:w="9356" w:type="dxa"/>
          </w:tcPr>
          <w:p w:rsidR="00C6140B" w:rsidRPr="00674C12" w:rsidRDefault="00C6140B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FB71A39" wp14:editId="4E75D07A">
                  <wp:extent cx="5905525" cy="2160000"/>
                  <wp:effectExtent l="0" t="0" r="0" b="0"/>
                  <wp:docPr id="10" name="Immagin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2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140B" w:rsidRPr="007862B1" w:rsidTr="00127093">
        <w:tc>
          <w:tcPr>
            <w:tcW w:w="9356" w:type="dxa"/>
          </w:tcPr>
          <w:p w:rsidR="00C6140B" w:rsidRPr="00F43471" w:rsidRDefault="00C6140B" w:rsidP="00127093">
            <w:pPr>
              <w:pStyle w:val="TabNoteSuperiori"/>
            </w:pPr>
            <w:proofErr w:type="spellStart"/>
            <w:r>
              <w:t>Adv</w:t>
            </w:r>
            <w:proofErr w:type="spellEnd"/>
            <w:r>
              <w:t xml:space="preserve"> Eco : Economie avanzate. </w:t>
            </w:r>
            <w:proofErr w:type="spellStart"/>
            <w:r w:rsidRPr="00F43471">
              <w:t>Em.Dev</w:t>
            </w:r>
            <w:proofErr w:type="spellEnd"/>
            <w:r w:rsidRPr="00F43471">
              <w:t xml:space="preserve">. : economie </w:t>
            </w:r>
            <w:proofErr w:type="spellStart"/>
            <w:r w:rsidRPr="00F43471">
              <w:t>emergent</w:t>
            </w:r>
            <w:proofErr w:type="spellEnd"/>
            <w:r w:rsidRPr="00F43471">
              <w:t xml:space="preserve"> e in sviluppo.</w:t>
            </w:r>
          </w:p>
          <w:p w:rsidR="00C6140B" w:rsidRPr="005B0A6B" w:rsidRDefault="00C6140B" w:rsidP="00127093">
            <w:pPr>
              <w:pStyle w:val="TabNoteInferiori"/>
              <w:rPr>
                <w:lang w:val="en-US"/>
              </w:rPr>
            </w:pPr>
            <w:proofErr w:type="spellStart"/>
            <w:r>
              <w:rPr>
                <w:lang w:val="en-GB"/>
              </w:rPr>
              <w:t>Commissione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europea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forecast</w:t>
            </w:r>
            <w:proofErr w:type="spellEnd"/>
            <w:r>
              <w:t>,</w:t>
            </w:r>
            <w:r>
              <w:rPr>
                <w:lang w:val="en-GB"/>
              </w:rPr>
              <w:t xml:space="preserve"> 5 </w:t>
            </w:r>
            <w:proofErr w:type="spellStart"/>
            <w:r w:rsidRPr="00AA22DE">
              <w:rPr>
                <w:lang w:val="en-GB"/>
              </w:rPr>
              <w:t>febbraio</w:t>
            </w:r>
            <w:proofErr w:type="spellEnd"/>
            <w:r w:rsidRPr="00AA22DE">
              <w:rPr>
                <w:lang w:val="en-GB"/>
              </w:rPr>
              <w:t xml:space="preserve"> 2015</w:t>
            </w:r>
          </w:p>
        </w:tc>
      </w:tr>
    </w:tbl>
    <w:p w:rsidR="00C663BE" w:rsidRDefault="00C663BE" w:rsidP="00C663BE">
      <w:r>
        <w:t>ancora</w:t>
      </w:r>
    </w:p>
    <w:p w:rsidR="00C663BE" w:rsidRDefault="00C663BE" w:rsidP="00C663BE"/>
    <w:p w:rsidR="00C663BE" w:rsidRDefault="00C663BE" w:rsidP="00C663BE">
      <w:pPr>
        <w:spacing w:line="240" w:lineRule="auto"/>
        <w:ind w:firstLine="0"/>
        <w:jc w:val="left"/>
        <w:rPr>
          <w:vanish/>
          <w:color w:val="FF00FF"/>
        </w:rPr>
      </w:pPr>
      <w:r>
        <w:br w:type="page"/>
      </w:r>
    </w:p>
    <w:p w:rsidR="00C663BE" w:rsidRPr="007026B0" w:rsidRDefault="00C663BE" w:rsidP="00C663BE"/>
    <w:tbl>
      <w:tblPr>
        <w:tblpPr w:topFromText="425" w:bottomFromText="425" w:horzAnchor="margin" w:tblpXSpec="center" w:tblpYSpec="top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10"/>
        <w:gridCol w:w="510"/>
        <w:gridCol w:w="510"/>
        <w:gridCol w:w="510"/>
        <w:gridCol w:w="170"/>
        <w:gridCol w:w="2552"/>
        <w:gridCol w:w="510"/>
        <w:gridCol w:w="510"/>
        <w:gridCol w:w="510"/>
        <w:gridCol w:w="514"/>
      </w:tblGrid>
      <w:tr w:rsidR="00C663BE" w:rsidRPr="00BC2A0C" w:rsidTr="00127093">
        <w:trPr>
          <w:cantSplit/>
        </w:trPr>
        <w:tc>
          <w:tcPr>
            <w:tcW w:w="9358" w:type="dxa"/>
            <w:gridSpan w:val="11"/>
            <w:tcBorders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Titolo"/>
            </w:pPr>
            <w:r w:rsidRPr="00BC2A0C">
              <w:t xml:space="preserve">La previsione del Fondo Monetario Internazionale </w:t>
            </w:r>
            <w:r>
              <w:t xml:space="preserve">prodotto e commercio mondiale, tassi e prezzi </w:t>
            </w:r>
            <w:r w:rsidRPr="00BC2A0C">
              <w:t>(a)(b)</w:t>
            </w:r>
          </w:p>
        </w:tc>
      </w:tr>
      <w:tr w:rsidR="00C663BE" w:rsidRPr="00BC2A0C" w:rsidTr="00127093">
        <w:trPr>
          <w:cantSplit/>
        </w:trPr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2013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4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5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6</w:t>
            </w:r>
          </w:p>
        </w:tc>
        <w:tc>
          <w:tcPr>
            <w:tcW w:w="17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2013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4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5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6</w:t>
            </w:r>
          </w:p>
        </w:tc>
      </w:tr>
      <w:tr w:rsidR="00C663BE" w:rsidRPr="00BC2A0C" w:rsidTr="00127093">
        <w:trPr>
          <w:cantSplit/>
          <w:trHeight w:hRule="exact" w:val="113"/>
        </w:trPr>
        <w:tc>
          <w:tcPr>
            <w:tcW w:w="2552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7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2552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4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</w:tr>
      <w:tr w:rsidR="00C663BE" w:rsidRPr="00BC2A0C" w:rsidTr="00127093">
        <w:trPr>
          <w:cantSplit/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C663BE" w:rsidRPr="007C2916" w:rsidRDefault="00C663BE" w:rsidP="00127093">
            <w:pPr>
              <w:pStyle w:val="TabEtichette"/>
            </w:pPr>
            <w:r w:rsidRPr="007C2916">
              <w:t>Prodotto mondiale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  <w:r w:rsidRPr="006D6DFA">
              <w:t>3,3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  <w:r w:rsidRPr="006D6DFA">
              <w:t>3,3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  <w:r w:rsidRPr="006D6DFA">
              <w:t>3,5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  <w:r w:rsidRPr="006D6DFA">
              <w:t>3,7</w:t>
            </w:r>
          </w:p>
        </w:tc>
        <w:tc>
          <w:tcPr>
            <w:tcW w:w="170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</w:p>
        </w:tc>
      </w:tr>
      <w:tr w:rsidR="00C663BE" w:rsidRPr="00BC2A0C" w:rsidTr="00127093">
        <w:trPr>
          <w:cantSplit/>
          <w:trHeight w:val="255"/>
        </w:trPr>
        <w:tc>
          <w:tcPr>
            <w:tcW w:w="2552" w:type="dxa"/>
          </w:tcPr>
          <w:p w:rsidR="00C663BE" w:rsidRPr="007C2916" w:rsidRDefault="00C663BE" w:rsidP="00127093">
            <w:pPr>
              <w:pStyle w:val="TabEtichette"/>
            </w:pPr>
            <w:r w:rsidRPr="007C2916">
              <w:t>Commercio mondiale(c)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3,4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3,1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3,8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5,3</w:t>
            </w:r>
          </w:p>
        </w:tc>
        <w:tc>
          <w:tcPr>
            <w:tcW w:w="170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2552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  <w:r w:rsidRPr="00997C5D">
              <w:t>-0,9</w:t>
            </w: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  <w:r w:rsidRPr="00997C5D">
              <w:t>-7,5</w:t>
            </w: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  <w:r w:rsidRPr="00997C5D">
              <w:t>-41,1</w:t>
            </w:r>
          </w:p>
        </w:tc>
        <w:tc>
          <w:tcPr>
            <w:tcW w:w="514" w:type="dxa"/>
          </w:tcPr>
          <w:p w:rsidR="00C663BE" w:rsidRPr="00997C5D" w:rsidRDefault="00C663BE" w:rsidP="00127093">
            <w:pPr>
              <w:pStyle w:val="TabNumeri"/>
            </w:pPr>
            <w:r w:rsidRPr="00997C5D">
              <w:t>12,6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C663BE" w:rsidRPr="007C2916" w:rsidRDefault="00C663BE" w:rsidP="00127093">
            <w:pPr>
              <w:pStyle w:val="TabEtichette"/>
            </w:pPr>
            <w:proofErr w:type="spellStart"/>
            <w:r w:rsidRPr="007C2916">
              <w:t>Libor</w:t>
            </w:r>
            <w:proofErr w:type="spellEnd"/>
            <w:r w:rsidRPr="007C2916">
              <w:t xml:space="preserve"> su depositi in (f)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</w:p>
        </w:tc>
        <w:tc>
          <w:tcPr>
            <w:tcW w:w="170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  <w:r w:rsidRPr="00997C5D">
              <w:t>-1,2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  <w:r w:rsidRPr="00997C5D">
              <w:t>-4,0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  <w:r w:rsidRPr="00997C5D">
              <w:t>-9,3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  <w:r w:rsidRPr="00997C5D">
              <w:t>-0,7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552" w:type="dxa"/>
          </w:tcPr>
          <w:p w:rsidR="00C663BE" w:rsidRPr="007C2916" w:rsidRDefault="00C663BE" w:rsidP="00127093">
            <w:pPr>
              <w:pStyle w:val="TabEtichette"/>
            </w:pPr>
            <w:r w:rsidRPr="007C2916">
              <w:t xml:space="preserve">  Dollari Usa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0,4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0,3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0,7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1,9</w:t>
            </w:r>
          </w:p>
        </w:tc>
        <w:tc>
          <w:tcPr>
            <w:tcW w:w="170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2552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</w:p>
        </w:tc>
        <w:tc>
          <w:tcPr>
            <w:tcW w:w="514" w:type="dxa"/>
          </w:tcPr>
          <w:p w:rsidR="00C663BE" w:rsidRPr="00997C5D" w:rsidRDefault="00C663BE" w:rsidP="00127093">
            <w:pPr>
              <w:pStyle w:val="TabNumeri"/>
            </w:pPr>
          </w:p>
        </w:tc>
      </w:tr>
      <w:tr w:rsidR="00C663BE" w:rsidRPr="00BC2A0C" w:rsidTr="00127093">
        <w:trPr>
          <w:cantSplit/>
          <w:trHeight w:val="255"/>
        </w:trPr>
        <w:tc>
          <w:tcPr>
            <w:tcW w:w="2552" w:type="dxa"/>
            <w:shd w:val="clear" w:color="auto" w:fill="F2F2F2" w:themeFill="background1" w:themeFillShade="F2"/>
          </w:tcPr>
          <w:p w:rsidR="00C663BE" w:rsidRPr="007C2916" w:rsidRDefault="00C663BE" w:rsidP="00127093">
            <w:pPr>
              <w:pStyle w:val="TabEtichette"/>
            </w:pPr>
            <w:r w:rsidRPr="007C2916">
              <w:t xml:space="preserve">  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  <w:r w:rsidRPr="006D6DFA">
              <w:t>0,2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  <w:r w:rsidRPr="006D6DFA">
              <w:t>0,2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  <w:r w:rsidRPr="006D6DFA">
              <w:t>0,0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6D6DFA" w:rsidRDefault="00C663BE" w:rsidP="00127093">
            <w:pPr>
              <w:pStyle w:val="TabNumeri"/>
            </w:pPr>
            <w:r w:rsidRPr="006D6DFA">
              <w:t>0,1</w:t>
            </w:r>
          </w:p>
        </w:tc>
        <w:tc>
          <w:tcPr>
            <w:tcW w:w="170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  <w:r w:rsidRPr="00997C5D">
              <w:t>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  <w:r w:rsidRPr="00997C5D">
              <w:t>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  <w:r w:rsidRPr="00997C5D">
              <w:t>1,0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Pr="00997C5D" w:rsidRDefault="00C663BE" w:rsidP="00127093">
            <w:pPr>
              <w:pStyle w:val="TabNumeri"/>
            </w:pPr>
            <w:r w:rsidRPr="00997C5D">
              <w:t>1,5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552" w:type="dxa"/>
          </w:tcPr>
          <w:p w:rsidR="00C663BE" w:rsidRPr="007C2916" w:rsidRDefault="00C663BE" w:rsidP="00127093">
            <w:pPr>
              <w:pStyle w:val="TabEtichette"/>
            </w:pPr>
            <w:r w:rsidRPr="007C2916">
              <w:t xml:space="preserve">  Yen giapponese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0,2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0,2</w:t>
            </w:r>
          </w:p>
        </w:tc>
        <w:tc>
          <w:tcPr>
            <w:tcW w:w="510" w:type="dxa"/>
          </w:tcPr>
          <w:p w:rsidR="00C663BE" w:rsidRPr="006D6DFA" w:rsidRDefault="00C663BE" w:rsidP="00127093">
            <w:pPr>
              <w:pStyle w:val="TabNumeri"/>
            </w:pPr>
            <w:r w:rsidRPr="006D6DFA">
              <w:t>0,1</w:t>
            </w:r>
          </w:p>
        </w:tc>
        <w:tc>
          <w:tcPr>
            <w:tcW w:w="510" w:type="dxa"/>
          </w:tcPr>
          <w:p w:rsidR="00C663BE" w:rsidRDefault="00C663BE" w:rsidP="00127093">
            <w:pPr>
              <w:pStyle w:val="TabNumeri"/>
            </w:pPr>
            <w:r w:rsidRPr="006D6DFA">
              <w:t>0,1</w:t>
            </w:r>
          </w:p>
        </w:tc>
        <w:tc>
          <w:tcPr>
            <w:tcW w:w="170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2552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  <w:r w:rsidRPr="00997C5D">
              <w:t>5,9</w:t>
            </w: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  <w:r w:rsidRPr="00997C5D">
              <w:t>5,4</w:t>
            </w:r>
          </w:p>
        </w:tc>
        <w:tc>
          <w:tcPr>
            <w:tcW w:w="510" w:type="dxa"/>
          </w:tcPr>
          <w:p w:rsidR="00C663BE" w:rsidRPr="00997C5D" w:rsidRDefault="00C663BE" w:rsidP="00127093">
            <w:pPr>
              <w:pStyle w:val="TabNumeri"/>
            </w:pPr>
            <w:r w:rsidRPr="00997C5D">
              <w:t>5,7</w:t>
            </w:r>
          </w:p>
        </w:tc>
        <w:tc>
          <w:tcPr>
            <w:tcW w:w="514" w:type="dxa"/>
          </w:tcPr>
          <w:p w:rsidR="00C663BE" w:rsidRDefault="00C663BE" w:rsidP="00127093">
            <w:pPr>
              <w:pStyle w:val="TabNumeri"/>
            </w:pPr>
            <w:r w:rsidRPr="00997C5D">
              <w:t>5,4</w:t>
            </w:r>
          </w:p>
        </w:tc>
      </w:tr>
      <w:tr w:rsidR="00C663BE" w:rsidRPr="00127093" w:rsidTr="00127093">
        <w:trPr>
          <w:cantSplit/>
        </w:trPr>
        <w:tc>
          <w:tcPr>
            <w:tcW w:w="9358" w:type="dxa"/>
            <w:gridSpan w:val="11"/>
            <w:tcBorders>
              <w:top w:val="single" w:sz="4" w:space="0" w:color="800000"/>
            </w:tcBorders>
          </w:tcPr>
          <w:p w:rsidR="00C663BE" w:rsidRPr="002A4A23" w:rsidRDefault="00C663BE" w:rsidP="00127093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In merito alle </w:t>
            </w:r>
            <w:r w:rsidRPr="00BC2A0C">
              <w:t>assunzioni alla base della previsione economica</w:t>
            </w:r>
            <w:r>
              <w:t xml:space="preserve"> si veda 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precedente. (c) Beni e servizi in volume. (d) Media dei prezzi spot del petrolio greggio U.K. Brent, Dubai e West </w:t>
            </w:r>
            <w:proofErr w:type="spellStart"/>
            <w:r w:rsidRPr="00BC2A0C">
              <w:t>texas</w:t>
            </w:r>
            <w:proofErr w:type="spellEnd"/>
            <w:r w:rsidRPr="00BC2A0C">
              <w:t xml:space="preserve"> Intermediate. (e) Media dei prezzi mondiali delle materie prime non </w:t>
            </w:r>
            <w:proofErr w:type="spellStart"/>
            <w:r w:rsidRPr="00BC2A0C">
              <w:t>fuel</w:t>
            </w:r>
            <w:proofErr w:type="spellEnd"/>
            <w:r w:rsidRPr="00BC2A0C">
              <w:t xml:space="preserve"> (energia) pesata per la loro quota media delle esportazioni di materie prime. (f) LIBOR (</w:t>
            </w:r>
            <w:proofErr w:type="spellStart"/>
            <w:r w:rsidRPr="00BC2A0C">
              <w:t>London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interbank</w:t>
            </w:r>
            <w:proofErr w:type="spellEnd"/>
            <w:r w:rsidRPr="00BC2A0C">
              <w:t xml:space="preserve"> </w:t>
            </w:r>
            <w:proofErr w:type="spellStart"/>
            <w:r w:rsidRPr="00BC2A0C">
              <w:t>offered</w:t>
            </w:r>
            <w:proofErr w:type="spellEnd"/>
            <w:r w:rsidRPr="00BC2A0C">
              <w:t xml:space="preserve"> rate), tasso di interesse percentuale: a) sui depositi a 6 mesi in U.S.$; sui depositi a 6 mesi in yen; sui depositi a 3 mesi in euro. </w:t>
            </w:r>
          </w:p>
          <w:p w:rsidR="00C663BE" w:rsidRPr="00BC2A0C" w:rsidRDefault="00C663BE" w:rsidP="00127093">
            <w:pPr>
              <w:pStyle w:val="TabNoteSuperiori"/>
              <w:rPr>
                <w:lang w:val="en-US"/>
              </w:rPr>
            </w:pPr>
            <w:r w:rsidRPr="00C6140B">
              <w:rPr>
                <w:lang w:val="en-GB"/>
              </w:rPr>
              <w:t xml:space="preserve">IMF, World Economic Outlook Update, 20 </w:t>
            </w:r>
            <w:proofErr w:type="spellStart"/>
            <w:r w:rsidRPr="00C6140B">
              <w:rPr>
                <w:lang w:val="en-GB"/>
              </w:rPr>
              <w:t>gennaio</w:t>
            </w:r>
            <w:proofErr w:type="spellEnd"/>
            <w:r w:rsidRPr="00C6140B">
              <w:rPr>
                <w:lang w:val="en-GB"/>
              </w:rPr>
              <w:t xml:space="preserve"> 2015</w:t>
            </w:r>
          </w:p>
        </w:tc>
      </w:tr>
    </w:tbl>
    <w:p w:rsidR="00C663BE" w:rsidRPr="002D010D" w:rsidRDefault="00C663BE" w:rsidP="00C663BE">
      <w:r w:rsidRPr="002D010D">
        <w:t>ancora</w:t>
      </w:r>
    </w:p>
    <w:p w:rsidR="00C663BE" w:rsidRPr="002D010D" w:rsidRDefault="00C663BE" w:rsidP="00C663BE"/>
    <w:p w:rsidR="00C663BE" w:rsidRPr="00127093" w:rsidRDefault="00C663BE" w:rsidP="00C663BE">
      <w:pPr>
        <w:spacing w:line="240" w:lineRule="auto"/>
        <w:ind w:firstLine="0"/>
        <w:jc w:val="left"/>
      </w:pPr>
      <w:r w:rsidRPr="00127093">
        <w:br w:type="page"/>
      </w:r>
    </w:p>
    <w:p w:rsidR="00C663BE" w:rsidRPr="00B27657" w:rsidRDefault="00C663BE" w:rsidP="00C663BE"/>
    <w:p w:rsidR="00C663BE" w:rsidRDefault="00127093" w:rsidP="00C663BE">
      <w:pPr>
        <w:pStyle w:val="nascosto"/>
      </w:pPr>
      <w:hyperlink r:id="rId9" w:history="1">
        <w:r w:rsidR="00C663BE" w:rsidRPr="008A5A94">
          <w:rPr>
            <w:rStyle w:val="Collegamentoipertestuale"/>
          </w:rPr>
          <w:t>C:\w\quadro_internazionale\qi_prev_imf_weo.xlsx</w:t>
        </w:r>
      </w:hyperlink>
    </w:p>
    <w:p w:rsidR="00C663BE" w:rsidRPr="006B6046" w:rsidRDefault="00C663BE" w:rsidP="00C663BE">
      <w:r w:rsidRPr="006B6046">
        <w:t xml:space="preserve">Foglio </w:t>
      </w:r>
      <w:proofErr w:type="spellStart"/>
      <w:r w:rsidRPr="006B6046">
        <w:rPr>
          <w:color w:val="0070C0"/>
        </w:rPr>
        <w:t>tab</w:t>
      </w:r>
      <w:proofErr w:type="spellEnd"/>
      <w:r w:rsidRPr="006B6046">
        <w:t xml:space="preserve"> celle </w:t>
      </w:r>
      <w:r w:rsidRPr="006B6046">
        <w:rPr>
          <w:color w:val="0070C0"/>
        </w:rPr>
        <w:t>D</w:t>
      </w:r>
      <w:r>
        <w:rPr>
          <w:color w:val="0070C0"/>
        </w:rPr>
        <w:t>1</w:t>
      </w:r>
      <w:r w:rsidRPr="006B6046">
        <w:rPr>
          <w:color w:val="0070C0"/>
        </w:rPr>
        <w:t>7:G</w:t>
      </w:r>
      <w:r>
        <w:rPr>
          <w:color w:val="0070C0"/>
        </w:rPr>
        <w:t>28</w:t>
      </w:r>
      <w:r w:rsidRPr="006B6046">
        <w:t xml:space="preserve"> e </w:t>
      </w:r>
      <w:r w:rsidRPr="006B6046">
        <w:rPr>
          <w:color w:val="0070C0"/>
        </w:rPr>
        <w:t>J</w:t>
      </w:r>
      <w:r>
        <w:rPr>
          <w:color w:val="0070C0"/>
        </w:rPr>
        <w:t>17:M28</w:t>
      </w:r>
      <w:r w:rsidRPr="006B6046">
        <w:t xml:space="preserve"> </w:t>
      </w:r>
    </w:p>
    <w:p w:rsidR="00C663BE" w:rsidRPr="00C663BE" w:rsidRDefault="00C663BE" w:rsidP="00C663BE"/>
    <w:tbl>
      <w:tblPr>
        <w:tblpPr w:topFromText="425" w:bottomFromText="425" w:horzAnchor="margin" w:tblpXSpec="center" w:tblpYSpec="bottom"/>
        <w:tblOverlap w:val="never"/>
        <w:tblW w:w="935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2"/>
        <w:gridCol w:w="510"/>
        <w:gridCol w:w="510"/>
        <w:gridCol w:w="510"/>
        <w:gridCol w:w="510"/>
        <w:gridCol w:w="567"/>
        <w:gridCol w:w="1985"/>
        <w:gridCol w:w="510"/>
        <w:gridCol w:w="510"/>
        <w:gridCol w:w="510"/>
        <w:gridCol w:w="514"/>
      </w:tblGrid>
      <w:tr w:rsidR="00C663BE" w:rsidRPr="00BC2A0C" w:rsidTr="00127093">
        <w:trPr>
          <w:cantSplit/>
        </w:trPr>
        <w:tc>
          <w:tcPr>
            <w:tcW w:w="9358" w:type="dxa"/>
            <w:gridSpan w:val="11"/>
            <w:tcBorders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Titolo"/>
            </w:pPr>
            <w:r w:rsidRPr="00BC2A0C">
              <w:t>La previsione del</w:t>
            </w:r>
            <w:r>
              <w:t xml:space="preserve"> Fondo Monetario Internazionale. Il prodotto interno lordo, principali aree e paesi </w:t>
            </w:r>
            <w:r w:rsidRPr="00BC2A0C">
              <w:t>(</w:t>
            </w:r>
            <w:r>
              <w:t>a</w:t>
            </w:r>
            <w:r w:rsidRPr="00BC2A0C">
              <w:t>)</w:t>
            </w:r>
            <w:r>
              <w:t>(b)</w:t>
            </w:r>
          </w:p>
        </w:tc>
      </w:tr>
      <w:tr w:rsidR="00C663BE" w:rsidRPr="00BC2A0C" w:rsidTr="00127093">
        <w:trPr>
          <w:cantSplit/>
        </w:trPr>
        <w:tc>
          <w:tcPr>
            <w:tcW w:w="2722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2013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4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5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6</w:t>
            </w:r>
          </w:p>
        </w:tc>
        <w:tc>
          <w:tcPr>
            <w:tcW w:w="567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</w:p>
        </w:tc>
        <w:tc>
          <w:tcPr>
            <w:tcW w:w="1985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2013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4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5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:rsidR="00C663BE" w:rsidRPr="00BC2A0C" w:rsidRDefault="00C663BE" w:rsidP="00127093">
            <w:pPr>
              <w:pStyle w:val="TabIntestazioni"/>
            </w:pPr>
            <w:r w:rsidRPr="00BC2A0C">
              <w:t>201</w:t>
            </w:r>
            <w:r>
              <w:t>6</w:t>
            </w:r>
          </w:p>
        </w:tc>
      </w:tr>
      <w:tr w:rsidR="00C663BE" w:rsidRPr="00BC2A0C" w:rsidTr="00127093">
        <w:trPr>
          <w:cantSplit/>
          <w:trHeight w:hRule="exact" w:val="113"/>
        </w:trPr>
        <w:tc>
          <w:tcPr>
            <w:tcW w:w="2722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67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4" w:type="dxa"/>
            <w:tcBorders>
              <w:top w:val="single" w:sz="4" w:space="0" w:color="800000"/>
            </w:tcBorders>
          </w:tcPr>
          <w:p w:rsidR="00C663BE" w:rsidRPr="00BC2A0C" w:rsidRDefault="00C663BE" w:rsidP="00127093">
            <w:pPr>
              <w:pStyle w:val="TabEtichette"/>
            </w:pP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>Economie avanzate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1,3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1,8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2,4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2,4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>Germania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0,2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1,5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1,3</w:t>
            </w:r>
          </w:p>
        </w:tc>
        <w:tc>
          <w:tcPr>
            <w:tcW w:w="514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1,5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Stati Uniti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2,2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2,4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3,6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3,3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>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0,3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0,4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0,9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1,3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Giappone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1,6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0,1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0,6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0,8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>Italia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-1,9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-0,4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0,4</w:t>
            </w:r>
          </w:p>
        </w:tc>
        <w:tc>
          <w:tcPr>
            <w:tcW w:w="514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0,8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-0,5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0,8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1,2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1,4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>Spagna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-1,2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2,0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1,8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>Regno Unito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1,7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2,6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2,7</w:t>
            </w:r>
          </w:p>
        </w:tc>
        <w:tc>
          <w:tcPr>
            <w:tcW w:w="514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2,4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4,7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4,4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4,3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4,7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>Russia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1,3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0,6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-3,0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-1,0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Europa </w:t>
            </w:r>
            <w:r>
              <w:t>Emergente e in sviluppo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2,8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2,7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2,9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3,1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>Cina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7,8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7,4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6,8</w:t>
            </w:r>
          </w:p>
        </w:tc>
        <w:tc>
          <w:tcPr>
            <w:tcW w:w="514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6,3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Comunità di Stati Indipendenti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2,2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0,9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-1,4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0,8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5,0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5,8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6,3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6,5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Paesi Asiatici in Sviluppo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6,6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6,5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6,4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6,2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</w:tcPr>
          <w:p w:rsidR="00C663BE" w:rsidRPr="00BC2A0C" w:rsidRDefault="00C663BE" w:rsidP="00127093">
            <w:pPr>
              <w:pStyle w:val="TabEtichette"/>
            </w:pPr>
            <w:r>
              <w:t>Asean-5 (c</w:t>
            </w:r>
            <w:r w:rsidRPr="00BC2A0C">
              <w:t>)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5,2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4,5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5,2</w:t>
            </w:r>
          </w:p>
        </w:tc>
        <w:tc>
          <w:tcPr>
            <w:tcW w:w="514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5,3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M</w:t>
            </w:r>
            <w:r>
              <w:t xml:space="preserve">. </w:t>
            </w:r>
            <w:r w:rsidRPr="00BC2A0C">
              <w:t>Oriente Nord Africa</w:t>
            </w:r>
            <w:r>
              <w:t xml:space="preserve"> </w:t>
            </w:r>
            <w:proofErr w:type="spellStart"/>
            <w:r>
              <w:t>Afg</w:t>
            </w:r>
            <w:proofErr w:type="spellEnd"/>
            <w:r>
              <w:t>. Pak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2,2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2,8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3,3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3,9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>Sud Africa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2,2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2,1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2,5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Africa Sub-Sahariana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5,2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4,8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4,9</w:t>
            </w:r>
          </w:p>
        </w:tc>
        <w:tc>
          <w:tcPr>
            <w:tcW w:w="510" w:type="dxa"/>
          </w:tcPr>
          <w:p w:rsidR="00C663BE" w:rsidRPr="0090301F" w:rsidRDefault="00C663BE" w:rsidP="00127093">
            <w:pPr>
              <w:pStyle w:val="TabNumeri"/>
            </w:pPr>
            <w:r w:rsidRPr="0090301F">
              <w:t>5,2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</w:tcPr>
          <w:p w:rsidR="00C663BE" w:rsidRPr="00BC2A0C" w:rsidRDefault="00C663BE" w:rsidP="00127093">
            <w:pPr>
              <w:pStyle w:val="TabEtichette"/>
            </w:pPr>
            <w:r w:rsidRPr="00BC2A0C">
              <w:t>Brasile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2,5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0,1</w:t>
            </w:r>
          </w:p>
        </w:tc>
        <w:tc>
          <w:tcPr>
            <w:tcW w:w="510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0,3</w:t>
            </w:r>
          </w:p>
        </w:tc>
        <w:tc>
          <w:tcPr>
            <w:tcW w:w="514" w:type="dxa"/>
          </w:tcPr>
          <w:p w:rsidR="00C663BE" w:rsidRPr="00852A11" w:rsidRDefault="00C663BE" w:rsidP="00127093">
            <w:pPr>
              <w:pStyle w:val="TabNumeri"/>
            </w:pPr>
            <w:r w:rsidRPr="00852A11">
              <w:t>1,5</w:t>
            </w:r>
          </w:p>
        </w:tc>
      </w:tr>
      <w:tr w:rsidR="00C663BE" w:rsidRPr="00BC2A0C" w:rsidTr="00127093">
        <w:trPr>
          <w:cantSplit/>
          <w:trHeight w:val="255"/>
        </w:trPr>
        <w:tc>
          <w:tcPr>
            <w:tcW w:w="2722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2,8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1,2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90301F" w:rsidRDefault="00C663BE" w:rsidP="00127093">
            <w:pPr>
              <w:pStyle w:val="TabNumeri"/>
            </w:pPr>
            <w:r w:rsidRPr="0090301F">
              <w:t>1,3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Default="00C663BE" w:rsidP="00127093">
            <w:pPr>
              <w:pStyle w:val="TabNumeri"/>
            </w:pPr>
            <w:r w:rsidRPr="0090301F">
              <w:t>2,3</w:t>
            </w:r>
          </w:p>
        </w:tc>
        <w:tc>
          <w:tcPr>
            <w:tcW w:w="567" w:type="dxa"/>
          </w:tcPr>
          <w:p w:rsidR="00C663BE" w:rsidRPr="00BC2A0C" w:rsidRDefault="00C663BE" w:rsidP="00127093">
            <w:pPr>
              <w:pStyle w:val="TabEtichette"/>
            </w:pPr>
          </w:p>
        </w:tc>
        <w:tc>
          <w:tcPr>
            <w:tcW w:w="1985" w:type="dxa"/>
            <w:shd w:val="clear" w:color="auto" w:fill="F2F2F2" w:themeFill="background1" w:themeFillShade="F2"/>
          </w:tcPr>
          <w:p w:rsidR="00C663BE" w:rsidRPr="00BC2A0C" w:rsidRDefault="00C663BE" w:rsidP="00127093">
            <w:pPr>
              <w:pStyle w:val="TabEtichette"/>
            </w:pPr>
            <w:r w:rsidRPr="00BC2A0C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1,4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2,1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:rsidR="00C663BE" w:rsidRPr="00852A11" w:rsidRDefault="00C663BE" w:rsidP="00127093">
            <w:pPr>
              <w:pStyle w:val="TabNumeri"/>
            </w:pPr>
            <w:r w:rsidRPr="00852A11">
              <w:t>3,2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:rsidR="00C663BE" w:rsidRDefault="00C663BE" w:rsidP="00127093">
            <w:pPr>
              <w:pStyle w:val="TabNumeri"/>
            </w:pPr>
            <w:r w:rsidRPr="00852A11">
              <w:t>3,5</w:t>
            </w:r>
          </w:p>
        </w:tc>
      </w:tr>
      <w:tr w:rsidR="00C663BE" w:rsidRPr="00127093" w:rsidTr="00127093">
        <w:trPr>
          <w:cantSplit/>
        </w:trPr>
        <w:tc>
          <w:tcPr>
            <w:tcW w:w="9358" w:type="dxa"/>
            <w:gridSpan w:val="11"/>
            <w:tcBorders>
              <w:top w:val="single" w:sz="4" w:space="0" w:color="800000"/>
            </w:tcBorders>
          </w:tcPr>
          <w:p w:rsidR="00C663BE" w:rsidRPr="001E488B" w:rsidRDefault="00C663BE" w:rsidP="00127093">
            <w:pPr>
              <w:pStyle w:val="TabNoteSuperiori"/>
            </w:pPr>
            <w:r>
              <w:t>(</w:t>
            </w:r>
            <w:r w:rsidRPr="00BC2A0C">
              <w:t xml:space="preserve">a) </w:t>
            </w:r>
            <w:r>
              <w:t xml:space="preserve">In merito alle </w:t>
            </w:r>
            <w:r w:rsidRPr="00BC2A0C">
              <w:t>assunzioni alla base della previsione economica</w:t>
            </w:r>
            <w:r>
              <w:t xml:space="preserve"> si veda la sezione </w:t>
            </w:r>
            <w:proofErr w:type="spellStart"/>
            <w:r>
              <w:t>Assumption</w:t>
            </w:r>
            <w:proofErr w:type="spellEnd"/>
            <w:r>
              <w:t xml:space="preserve"> and </w:t>
            </w:r>
            <w:proofErr w:type="spellStart"/>
            <w:r>
              <w:t>Conventions</w:t>
            </w:r>
            <w:proofErr w:type="spellEnd"/>
            <w:r>
              <w:t>.</w:t>
            </w:r>
            <w:r w:rsidRPr="00BC2A0C">
              <w:t xml:space="preserve"> (b) Tasso di variazione percentuale sul periodo precedente</w:t>
            </w:r>
            <w:r>
              <w:t>.</w:t>
            </w:r>
            <w:r w:rsidRPr="00BC2A0C">
              <w:t xml:space="preserve"> </w:t>
            </w:r>
            <w:r w:rsidRPr="001E488B">
              <w:t>(</w:t>
            </w:r>
            <w:r>
              <w:t>c</w:t>
            </w:r>
            <w:r w:rsidRPr="001E488B">
              <w:t xml:space="preserve">) Indonesia, </w:t>
            </w:r>
            <w:proofErr w:type="spellStart"/>
            <w:r w:rsidRPr="001E488B">
              <w:t>Malaysia</w:t>
            </w:r>
            <w:proofErr w:type="spellEnd"/>
            <w:r w:rsidRPr="001E488B">
              <w:t>, Philippines, Thailand, and Vietnam.</w:t>
            </w:r>
          </w:p>
          <w:p w:rsidR="00C663BE" w:rsidRPr="002A4A23" w:rsidRDefault="00C663BE" w:rsidP="00127093">
            <w:pPr>
              <w:pStyle w:val="TabNoteSuperiori"/>
              <w:rPr>
                <w:lang w:val="en-US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 xml:space="preserve">ook Update, 20 </w:t>
            </w:r>
            <w:proofErr w:type="spellStart"/>
            <w:r w:rsidRPr="001C0D1B">
              <w:rPr>
                <w:lang w:val="en-GB"/>
              </w:rPr>
              <w:t>gennaio</w:t>
            </w:r>
            <w:proofErr w:type="spellEnd"/>
            <w:r w:rsidRPr="001C0D1B">
              <w:rPr>
                <w:lang w:val="en-GB"/>
              </w:rPr>
              <w:t xml:space="preserve"> 2015</w:t>
            </w:r>
          </w:p>
        </w:tc>
      </w:tr>
    </w:tbl>
    <w:p w:rsidR="00C663BE" w:rsidRPr="004D79D0" w:rsidRDefault="00C663BE" w:rsidP="00C663BE">
      <w:r w:rsidRPr="004D79D0">
        <w:t>ancora</w:t>
      </w:r>
    </w:p>
    <w:p w:rsidR="00C663BE" w:rsidRPr="004D79D0" w:rsidRDefault="00C663BE" w:rsidP="00C663BE"/>
    <w:p w:rsidR="00C663BE" w:rsidRPr="004D79D0" w:rsidRDefault="00C663BE" w:rsidP="00C663BE">
      <w:pPr>
        <w:spacing w:line="240" w:lineRule="auto"/>
        <w:ind w:firstLine="0"/>
        <w:jc w:val="left"/>
      </w:pPr>
      <w:r w:rsidRPr="004D79D0">
        <w:br w:type="page"/>
      </w:r>
    </w:p>
    <w:p w:rsidR="00C663BE" w:rsidRPr="008017D3" w:rsidRDefault="00C663BE" w:rsidP="00C663BE">
      <w:pPr>
        <w:rPr>
          <w:lang w:val="en-US"/>
        </w:rPr>
      </w:pPr>
    </w:p>
    <w:tbl>
      <w:tblPr>
        <w:tblpPr w:topFromText="425" w:bottomFromText="425" w:horzAnchor="margin" w:tblpXSpec="center" w:tblpYSpec="bottom"/>
        <w:tblOverlap w:val="never"/>
        <w:tblW w:w="93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  <w:gridCol w:w="4536"/>
        <w:gridCol w:w="57"/>
        <w:gridCol w:w="57"/>
        <w:gridCol w:w="57"/>
        <w:gridCol w:w="4536"/>
        <w:gridCol w:w="57"/>
      </w:tblGrid>
      <w:tr w:rsidR="00C663BE" w:rsidRPr="0002744C" w:rsidTr="00127093">
        <w:tc>
          <w:tcPr>
            <w:tcW w:w="9357" w:type="dxa"/>
            <w:gridSpan w:val="7"/>
          </w:tcPr>
          <w:p w:rsidR="00C663BE" w:rsidRPr="0002744C" w:rsidRDefault="00C663BE" w:rsidP="00C663BE">
            <w:pPr>
              <w:pStyle w:val="FigTitolo"/>
            </w:pPr>
            <w:r w:rsidRPr="0002744C">
              <w:t>Fig. 1.1.3.</w:t>
            </w:r>
            <w:r w:rsidRPr="0002744C">
              <w:tab/>
              <w:t xml:space="preserve">Cambi e quotazione dell’oro. </w:t>
            </w:r>
            <w:r>
              <w:t xml:space="preserve">Febbraio </w:t>
            </w:r>
            <w:r w:rsidRPr="0002744C">
              <w:t>20</w:t>
            </w:r>
            <w:r>
              <w:t>1</w:t>
            </w:r>
            <w:r w:rsidRPr="0002744C">
              <w:t xml:space="preserve">0 – 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315D2F">
              <w:rPr>
                <w:noProof/>
              </w:rPr>
              <w:t>2015</w:t>
            </w:r>
            <w:r>
              <w:rPr>
                <w:noProof/>
              </w:rPr>
              <w:fldChar w:fldCharType="end"/>
            </w:r>
          </w:p>
        </w:tc>
      </w:tr>
      <w:tr w:rsidR="00C663BE" w:rsidTr="00127093">
        <w:trPr>
          <w:trHeight w:hRule="exact" w:val="57"/>
        </w:trPr>
        <w:tc>
          <w:tcPr>
            <w:tcW w:w="9357" w:type="dxa"/>
            <w:gridSpan w:val="7"/>
          </w:tcPr>
          <w:p w:rsidR="00C663BE" w:rsidRDefault="00C663BE" w:rsidP="00127093">
            <w:pPr>
              <w:pStyle w:val="FigTitolo"/>
            </w:pPr>
          </w:p>
        </w:tc>
      </w:tr>
      <w:tr w:rsidR="00C663BE" w:rsidTr="00127093"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  <w:r>
              <w:t>Euro / Dollaro statunitense ($ per €)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  <w:r>
              <w:t>Dollaro statunitense / Yen (</w:t>
            </w:r>
            <w:r w:rsidRPr="00FB4AF1">
              <w:rPr>
                <w:rFonts w:cs="Arial"/>
              </w:rPr>
              <w:t>¥</w:t>
            </w:r>
            <w:r>
              <w:t xml:space="preserve"> per $)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</w:tr>
      <w:tr w:rsidR="00C663BE" w:rsidTr="00127093"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3D1CE3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68529701" wp14:editId="4377FE1F">
                  <wp:extent cx="2844000" cy="1063933"/>
                  <wp:effectExtent l="0" t="0" r="0" b="0"/>
                  <wp:docPr id="13" name="Immagine 13" descr="http://markets.ft.com/RESEARCH/uploadhandler/z0385110aza4805d2c34d54975a53c45c7047424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markets.ft.com/RESEARCH/uploadhandler/z0385110aza4805d2c34d54975a53c45c7047424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3D1CE3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6D5CC64C" wp14:editId="1B30460D">
                  <wp:extent cx="2844000" cy="1063933"/>
                  <wp:effectExtent l="0" t="0" r="0" b="0"/>
                  <wp:docPr id="16" name="Immagine 16" descr="http://markets.ft.com/RESEARCH/uploadhandler/z0485100az74365e95570c4d8a88f9d2d8fbeaf38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markets.ft.com/RESEARCH/uploadhandler/z0485100az74365e95570c4d8a88f9d2d8fbeaf38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</w:tr>
      <w:tr w:rsidR="00C663BE" w:rsidTr="00127093">
        <w:trPr>
          <w:trHeight w:hRule="exact" w:val="57"/>
        </w:trPr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</w:tr>
      <w:tr w:rsidR="00C663BE" w:rsidRPr="00BF5102" w:rsidTr="00127093"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TabIntestaSup"/>
              <w:rPr>
                <w:lang w:val="en-US"/>
              </w:rPr>
            </w:pPr>
            <w:r w:rsidRPr="003F4AB1">
              <w:rPr>
                <w:lang w:val="en-US"/>
              </w:rPr>
              <w:t>Oro. COMEX gold 1 future</w:t>
            </w:r>
            <w:r w:rsidRPr="00BF5102">
              <w:rPr>
                <w:lang w:val="en-US"/>
              </w:rPr>
              <w:t>s chain front month.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15679A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auto"/>
          </w:tcPr>
          <w:p w:rsidR="00C663BE" w:rsidRPr="0015679A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15679A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TabIntestaSup"/>
            </w:pPr>
            <w:r w:rsidRPr="00BF5102">
              <w:t xml:space="preserve">Dollaro statunitense / </w:t>
            </w:r>
            <w:proofErr w:type="spellStart"/>
            <w:r w:rsidRPr="00BF5102">
              <w:t>Chinese</w:t>
            </w:r>
            <w:proofErr w:type="spellEnd"/>
            <w:r w:rsidRPr="00BF5102">
              <w:t xml:space="preserve"> Renminbi (Yuan per $)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TabIntestaSup"/>
            </w:pPr>
          </w:p>
        </w:tc>
      </w:tr>
      <w:tr w:rsidR="00C663BE" w:rsidRPr="00BF5102" w:rsidTr="00127093"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BF5102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25FC1EB1" wp14:editId="54322818">
                  <wp:extent cx="2844000" cy="1063933"/>
                  <wp:effectExtent l="0" t="0" r="0" b="0"/>
                  <wp:docPr id="32" name="Immagine 32" descr="http://markets.ft.com/RESEARCH/uploadhandler/z0385110aze9faa1ec466340468711405635079e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markets.ft.com/RESEARCH/uploadhandler/z0385110aze9faa1ec466340468711405635079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BF5102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2338F89D" wp14:editId="5BA654FB">
                  <wp:extent cx="2844000" cy="1063933"/>
                  <wp:effectExtent l="0" t="0" r="0" b="0"/>
                  <wp:docPr id="30" name="Immagine 30" descr="http://markets.ft.com/RESEARCH/uploadhandler/z0385110azcd64d4a3a6b04516b0b604888be8d56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markets.ft.com/RESEARCH/uploadhandler/z0385110azcd64d4a3a6b04516b0b604888be8d56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Figure"/>
            </w:pPr>
          </w:p>
        </w:tc>
      </w:tr>
      <w:tr w:rsidR="00C663BE" w:rsidRPr="00BF5102" w:rsidTr="00127093">
        <w:trPr>
          <w:trHeight w:hRule="exact" w:val="57"/>
        </w:trPr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</w:tr>
      <w:tr w:rsidR="00C663BE" w:rsidRPr="00BF5102" w:rsidTr="00127093"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  <w:r>
              <w:t>Dollaro statunitense / Real brasiliano (</w:t>
            </w:r>
            <w:r w:rsidRPr="00FB4AF1">
              <w:rPr>
                <w:rFonts w:cs="Arial"/>
              </w:rPr>
              <w:t>R$</w:t>
            </w:r>
            <w:r>
              <w:t xml:space="preserve"> per $)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TabIntestaSup"/>
            </w:pPr>
            <w:r>
              <w:t>Dollaro statunitense / Rublo russo (</w:t>
            </w:r>
            <w:proofErr w:type="spellStart"/>
            <w:r w:rsidRPr="00FB4AF1">
              <w:rPr>
                <w:rFonts w:cs="Arial"/>
              </w:rPr>
              <w:t>R</w:t>
            </w:r>
            <w:r>
              <w:rPr>
                <w:rFonts w:cs="Arial"/>
              </w:rPr>
              <w:t>ub</w:t>
            </w:r>
            <w:proofErr w:type="spellEnd"/>
            <w:r>
              <w:rPr>
                <w:rFonts w:cs="Arial"/>
              </w:rPr>
              <w:t xml:space="preserve"> </w:t>
            </w:r>
            <w:r>
              <w:t>per $)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TabIntestaSup"/>
            </w:pPr>
          </w:p>
        </w:tc>
      </w:tr>
      <w:tr w:rsidR="00C663BE" w:rsidRPr="00BF5102" w:rsidTr="00127093"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3D1CE3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71718FF" wp14:editId="6C26B31E">
                  <wp:extent cx="2844000" cy="1063933"/>
                  <wp:effectExtent l="0" t="0" r="0" b="0"/>
                  <wp:docPr id="36" name="Immagine 36" descr="http://markets.ft.com/RESEARCH/uploadhandler/z04850f0az27dfa2a6d109454b9a19a6b330b0c5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markets.ft.com/RESEARCH/uploadhandler/z04850f0az27dfa2a6d109454b9a19a6b330b0c5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BF5102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23B286DA" wp14:editId="12EC23E7">
                  <wp:extent cx="2844000" cy="1063933"/>
                  <wp:effectExtent l="0" t="0" r="0" b="0"/>
                  <wp:docPr id="35" name="Immagine 35" descr="http://markets.ft.com/RESEARCH/uploadhandler/z0185110az651373892e8f487f86fceee38fbee8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markets.ft.com/RESEARCH/uploadhandler/z0185110az651373892e8f487f86fceee38fbee83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Figure"/>
            </w:pPr>
          </w:p>
        </w:tc>
      </w:tr>
      <w:tr w:rsidR="00C663BE" w:rsidRPr="00BF5102" w:rsidTr="00127093">
        <w:trPr>
          <w:trHeight w:hRule="exact" w:val="57"/>
        </w:trPr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</w:tr>
      <w:tr w:rsidR="00C663BE" w:rsidTr="00127093">
        <w:tc>
          <w:tcPr>
            <w:tcW w:w="9357" w:type="dxa"/>
            <w:gridSpan w:val="7"/>
          </w:tcPr>
          <w:p w:rsidR="00C663BE" w:rsidRDefault="00C663BE" w:rsidP="00127093">
            <w:pPr>
              <w:pStyle w:val="TabNoteSuperiori"/>
            </w:pPr>
            <w:r w:rsidRPr="00F17EBA">
              <w:t>Fonte</w:t>
            </w:r>
            <w:r>
              <w:t xml:space="preserve"> : Financial Times</w:t>
            </w:r>
          </w:p>
        </w:tc>
      </w:tr>
    </w:tbl>
    <w:p w:rsidR="00C663BE" w:rsidRDefault="00C663BE" w:rsidP="00C663BE">
      <w:r>
        <w:t>ancora</w:t>
      </w:r>
    </w:p>
    <w:p w:rsidR="00C663BE" w:rsidRDefault="00C663BE" w:rsidP="00C663BE"/>
    <w:p w:rsidR="00C663BE" w:rsidRDefault="00C663BE" w:rsidP="00C663BE"/>
    <w:p w:rsidR="00C663BE" w:rsidRDefault="00C663BE" w:rsidP="00C663BE">
      <w:pPr>
        <w:spacing w:line="240" w:lineRule="auto"/>
        <w:ind w:firstLine="0"/>
        <w:jc w:val="left"/>
      </w:pPr>
      <w:r>
        <w:br w:type="page"/>
      </w:r>
    </w:p>
    <w:p w:rsidR="00C663BE" w:rsidRPr="0086337A" w:rsidRDefault="00C663BE" w:rsidP="00C663BE">
      <w:pPr>
        <w:rPr>
          <w:lang w:val="en-US"/>
        </w:rPr>
      </w:pPr>
    </w:p>
    <w:tbl>
      <w:tblPr>
        <w:tblpPr w:topFromText="425" w:bottomFromText="425" w:horzAnchor="margin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"/>
        <w:gridCol w:w="4536"/>
        <w:gridCol w:w="57"/>
        <w:gridCol w:w="57"/>
        <w:gridCol w:w="57"/>
        <w:gridCol w:w="4536"/>
        <w:gridCol w:w="57"/>
      </w:tblGrid>
      <w:tr w:rsidR="00C663BE" w:rsidTr="00127093">
        <w:tc>
          <w:tcPr>
            <w:tcW w:w="9358" w:type="dxa"/>
            <w:gridSpan w:val="7"/>
          </w:tcPr>
          <w:p w:rsidR="00C663BE" w:rsidRPr="001C0D1B" w:rsidRDefault="00C663BE" w:rsidP="001C0D1B">
            <w:pPr>
              <w:pStyle w:val="FigTitolo"/>
            </w:pPr>
            <w:r w:rsidRPr="001C0D1B">
              <w:t xml:space="preserve">Prezzi delle materie prime, febbraio 2010 - </w:t>
            </w:r>
            <w:r w:rsidRPr="001C0D1B">
              <w:fldChar w:fldCharType="begin"/>
            </w:r>
            <w:r w:rsidRPr="001C0D1B">
              <w:instrText xml:space="preserve"> DATE  \@ "yyyy"  \* MERGEFORMAT </w:instrText>
            </w:r>
            <w:r w:rsidRPr="001C0D1B">
              <w:fldChar w:fldCharType="separate"/>
            </w:r>
            <w:r w:rsidR="00315D2F">
              <w:rPr>
                <w:noProof/>
              </w:rPr>
              <w:t>2015</w:t>
            </w:r>
            <w:r w:rsidRPr="001C0D1B">
              <w:fldChar w:fldCharType="end"/>
            </w:r>
          </w:p>
        </w:tc>
      </w:tr>
      <w:tr w:rsidR="00C663BE" w:rsidTr="00127093">
        <w:trPr>
          <w:trHeight w:hRule="exact" w:val="57"/>
        </w:trPr>
        <w:tc>
          <w:tcPr>
            <w:tcW w:w="9358" w:type="dxa"/>
            <w:gridSpan w:val="7"/>
          </w:tcPr>
          <w:p w:rsidR="00C663BE" w:rsidRDefault="00C663BE" w:rsidP="00127093">
            <w:pPr>
              <w:pStyle w:val="FigTitolo"/>
            </w:pPr>
          </w:p>
        </w:tc>
      </w:tr>
      <w:tr w:rsidR="00C663BE" w:rsidRPr="00127093" w:rsidTr="00127093">
        <w:tc>
          <w:tcPr>
            <w:tcW w:w="58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  <w:r w:rsidRPr="004463EE">
              <w:rPr>
                <w:lang w:val="en-GB"/>
              </w:rPr>
              <w:t>S&amp;P GSCI Index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8017D3" w:rsidRDefault="00C663BE" w:rsidP="00127093">
            <w:pPr>
              <w:pStyle w:val="TabIntestaSup"/>
              <w:rPr>
                <w:lang w:val="en-US"/>
              </w:rPr>
            </w:pPr>
            <w:r>
              <w:rPr>
                <w:lang w:val="en-US"/>
              </w:rPr>
              <w:t>Dow Jones UBS Commodity Index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45470F" w:rsidRDefault="00C663BE" w:rsidP="00127093">
            <w:pPr>
              <w:pStyle w:val="TabIntestaSup"/>
              <w:rPr>
                <w:lang w:val="en-US"/>
              </w:rPr>
            </w:pPr>
          </w:p>
        </w:tc>
      </w:tr>
      <w:tr w:rsidR="00C663BE" w:rsidRPr="003D1CE3" w:rsidTr="00127093">
        <w:tc>
          <w:tcPr>
            <w:tcW w:w="58" w:type="dxa"/>
            <w:shd w:val="clear" w:color="auto" w:fill="F2F2F2" w:themeFill="background1" w:themeFillShade="F2"/>
          </w:tcPr>
          <w:p w:rsidR="00C663BE" w:rsidRPr="008017D3" w:rsidRDefault="00C663BE" w:rsidP="00127093">
            <w:pPr>
              <w:pStyle w:val="Figure"/>
              <w:rPr>
                <w:lang w:val="en-US"/>
              </w:rPr>
            </w:pPr>
          </w:p>
        </w:tc>
        <w:tc>
          <w:tcPr>
            <w:tcW w:w="4536" w:type="dxa"/>
          </w:tcPr>
          <w:p w:rsidR="00C663BE" w:rsidRPr="003D1CE3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D120CC9" wp14:editId="38818856">
                  <wp:extent cx="2844000" cy="1063933"/>
                  <wp:effectExtent l="0" t="0" r="0" b="0"/>
                  <wp:docPr id="65" name="Immagine 65" descr="http://markets.ft.com/RESEARCH/uploadhandler/z0385100az8ac888a1432c45f09cdb278f0623fe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markets.ft.com/RESEARCH/uploadhandler/z0385100az8ac888a1432c45f09cdb278f0623fe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3D1CE3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5C5814E5" wp14:editId="3A26843C">
                  <wp:extent cx="2844000" cy="1063933"/>
                  <wp:effectExtent l="0" t="0" r="0" b="0"/>
                  <wp:docPr id="66" name="Immagine 66" descr="http://markets.ft.com/RESEARCH/uploadhandler/z0385100az0aab8d3804ca4fa78f9ace8f4080694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markets.ft.com/RESEARCH/uploadhandler/z0385100az0aab8d3804ca4fa78f9ace8f4080694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</w:tr>
      <w:tr w:rsidR="00C663BE" w:rsidRPr="003D1CE3" w:rsidTr="00127093">
        <w:trPr>
          <w:trHeight w:hRule="exact" w:val="57"/>
        </w:trPr>
        <w:tc>
          <w:tcPr>
            <w:tcW w:w="58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</w:tcPr>
          <w:p w:rsidR="00C663BE" w:rsidRPr="003D1CE3" w:rsidRDefault="00C663BE" w:rsidP="00127093">
            <w:pPr>
              <w:pStyle w:val="Figure"/>
            </w:pPr>
          </w:p>
        </w:tc>
      </w:tr>
      <w:tr w:rsidR="00C663BE" w:rsidRPr="00127093" w:rsidTr="00127093">
        <w:tc>
          <w:tcPr>
            <w:tcW w:w="58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15679A" w:rsidRDefault="00C663BE" w:rsidP="00127093">
            <w:pPr>
              <w:pStyle w:val="TabIntestaSup"/>
              <w:rPr>
                <w:lang w:val="en-GB"/>
              </w:rPr>
            </w:pPr>
            <w:proofErr w:type="spellStart"/>
            <w:r w:rsidRPr="00FB4AF1">
              <w:rPr>
                <w:lang w:val="en-GB"/>
              </w:rPr>
              <w:t>Petrolio</w:t>
            </w:r>
            <w:proofErr w:type="spellEnd"/>
            <w:r w:rsidRPr="00FB4AF1">
              <w:rPr>
                <w:lang w:val="en-GB"/>
              </w:rPr>
              <w:t xml:space="preserve">: </w:t>
            </w:r>
            <w:r>
              <w:rPr>
                <w:lang w:val="en-GB"/>
              </w:rPr>
              <w:t>NYMEX WTI Crude Oil Front Month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15679A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auto"/>
          </w:tcPr>
          <w:p w:rsidR="00C663BE" w:rsidRPr="0015679A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15679A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  <w:proofErr w:type="spellStart"/>
            <w:r>
              <w:rPr>
                <w:lang w:val="en-GB"/>
              </w:rPr>
              <w:t>Petrolio</w:t>
            </w:r>
            <w:proofErr w:type="spellEnd"/>
            <w:r>
              <w:rPr>
                <w:lang w:val="en-GB"/>
              </w:rPr>
              <w:t xml:space="preserve">: ICE Brent Crude Oil </w:t>
            </w:r>
            <w:r w:rsidRPr="00FB4AF1">
              <w:rPr>
                <w:lang w:val="en-GB"/>
              </w:rPr>
              <w:t>Front Month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15679A" w:rsidRDefault="00C663BE" w:rsidP="00127093">
            <w:pPr>
              <w:pStyle w:val="TabIntestaSup"/>
              <w:rPr>
                <w:lang w:val="en-US"/>
              </w:rPr>
            </w:pPr>
          </w:p>
        </w:tc>
      </w:tr>
      <w:tr w:rsidR="00C663BE" w:rsidRPr="00BF5102" w:rsidTr="00127093">
        <w:tc>
          <w:tcPr>
            <w:tcW w:w="58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Figure"/>
              <w:rPr>
                <w:lang w:val="en-US"/>
              </w:rPr>
            </w:pPr>
          </w:p>
        </w:tc>
        <w:tc>
          <w:tcPr>
            <w:tcW w:w="4536" w:type="dxa"/>
          </w:tcPr>
          <w:p w:rsidR="00C663BE" w:rsidRPr="00BF5102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2ABD2FA" wp14:editId="44C9B136">
                  <wp:extent cx="2844000" cy="1063933"/>
                  <wp:effectExtent l="0" t="0" r="0" b="0"/>
                  <wp:docPr id="67" name="Immagine 67" descr="http://markets.ft.com/RESEARCH/uploadhandler/z0285110azabf4aa3801dd47c7be3511ad5be5c67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markets.ft.com/RESEARCH/uploadhandler/z0285110azabf4aa3801dd47c7be3511ad5be5c67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BF5102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08A05025" wp14:editId="092F41A9">
                  <wp:extent cx="2844000" cy="1063933"/>
                  <wp:effectExtent l="0" t="0" r="0" b="0"/>
                  <wp:docPr id="68" name="Immagine 68" descr="http://markets.ft.com/RESEARCH/uploadhandler/z0285110az735321cd153645628404f22de04d35b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markets.ft.com/RESEARCH/uploadhandler/z0285110az735321cd153645628404f22de04d35b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BF5102" w:rsidRDefault="00C663BE" w:rsidP="00127093">
            <w:pPr>
              <w:pStyle w:val="Figure"/>
            </w:pPr>
          </w:p>
        </w:tc>
      </w:tr>
      <w:tr w:rsidR="00C663BE" w:rsidRPr="00BF5102" w:rsidTr="00127093">
        <w:trPr>
          <w:trHeight w:hRule="exact" w:val="57"/>
        </w:trPr>
        <w:tc>
          <w:tcPr>
            <w:tcW w:w="58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</w:tcPr>
          <w:p w:rsidR="00C663BE" w:rsidRPr="00BF5102" w:rsidRDefault="00C663BE" w:rsidP="00127093">
            <w:pPr>
              <w:pStyle w:val="Figure"/>
            </w:pPr>
          </w:p>
        </w:tc>
      </w:tr>
      <w:tr w:rsidR="00C663BE" w:rsidRPr="00127093" w:rsidTr="00127093">
        <w:tc>
          <w:tcPr>
            <w:tcW w:w="58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  <w:r w:rsidRPr="00182E65">
              <w:rPr>
                <w:lang w:val="en-US"/>
              </w:rPr>
              <w:t>Henry Hub Natural Gas Front Month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auto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  <w:proofErr w:type="spellStart"/>
            <w:r w:rsidRPr="00FB4AF1">
              <w:rPr>
                <w:lang w:val="en-GB"/>
              </w:rPr>
              <w:t>Rame</w:t>
            </w:r>
            <w:proofErr w:type="spellEnd"/>
            <w:r>
              <w:rPr>
                <w:lang w:val="en-GB"/>
              </w:rPr>
              <w:t xml:space="preserve"> - Copper</w:t>
            </w:r>
            <w:r w:rsidRPr="00FB4AF1">
              <w:rPr>
                <w:lang w:val="en-GB"/>
              </w:rPr>
              <w:t>: COMEX high grade copper futures</w:t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</w:p>
        </w:tc>
      </w:tr>
      <w:tr w:rsidR="00C663BE" w:rsidRPr="00BF5102" w:rsidTr="00127093">
        <w:tc>
          <w:tcPr>
            <w:tcW w:w="58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Figure"/>
              <w:rPr>
                <w:lang w:val="en-US"/>
              </w:rPr>
            </w:pPr>
          </w:p>
        </w:tc>
        <w:tc>
          <w:tcPr>
            <w:tcW w:w="4536" w:type="dxa"/>
          </w:tcPr>
          <w:p w:rsidR="00C663BE" w:rsidRPr="003D1CE3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4F695EE" wp14:editId="32E2CBBD">
                  <wp:extent cx="2844000" cy="1063933"/>
                  <wp:effectExtent l="0" t="0" r="0" b="0"/>
                  <wp:docPr id="69" name="Immagine 69" descr="http://markets.ft.com/RESEARCH/uploadhandler/z02850f0azfb284a474e4340639399c610367c47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markets.ft.com/RESEARCH/uploadhandler/z02850f0azfb284a474e4340639399c610367c47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BF5102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41AEEA4D" wp14:editId="6E5F613D">
                  <wp:extent cx="2844000" cy="1063933"/>
                  <wp:effectExtent l="0" t="0" r="0" b="0"/>
                  <wp:docPr id="70" name="Immagine 70" descr="http://markets.ft.com/RESEARCH/uploadhandler/z02850f0aza929ea3f6f9648b5befbfd583a1db8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markets.ft.com/RESEARCH/uploadhandler/z02850f0aza929ea3f6f9648b5befbfd583a1db8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</w:tr>
      <w:tr w:rsidR="00C663BE" w:rsidRPr="00BF5102" w:rsidTr="00127093">
        <w:trPr>
          <w:trHeight w:hRule="exact" w:val="57"/>
        </w:trPr>
        <w:tc>
          <w:tcPr>
            <w:tcW w:w="58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4536" w:type="dxa"/>
            <w:shd w:val="clear" w:color="auto" w:fill="auto"/>
          </w:tcPr>
          <w:p w:rsidR="00C663BE" w:rsidRPr="00BF5102" w:rsidRDefault="00C663BE" w:rsidP="00127093">
            <w:pPr>
              <w:pStyle w:val="Figure"/>
            </w:pPr>
          </w:p>
        </w:tc>
        <w:tc>
          <w:tcPr>
            <w:tcW w:w="57" w:type="dxa"/>
          </w:tcPr>
          <w:p w:rsidR="00C663BE" w:rsidRPr="00BF5102" w:rsidRDefault="00C663BE" w:rsidP="00127093">
            <w:pPr>
              <w:pStyle w:val="Figure"/>
            </w:pPr>
          </w:p>
        </w:tc>
      </w:tr>
      <w:tr w:rsidR="00C663BE" w:rsidRPr="006B06C2" w:rsidTr="00127093">
        <w:tc>
          <w:tcPr>
            <w:tcW w:w="58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TabIntestaSup"/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  <w:r w:rsidRPr="008810CB">
              <w:t>Mais</w:t>
            </w:r>
            <w:r>
              <w:t xml:space="preserve"> - </w:t>
            </w:r>
            <w:proofErr w:type="spellStart"/>
            <w:r>
              <w:t>Corn</w:t>
            </w:r>
            <w:proofErr w:type="spellEnd"/>
            <w:r w:rsidRPr="008810CB">
              <w:t xml:space="preserve">: CBT </w:t>
            </w:r>
            <w:proofErr w:type="spellStart"/>
            <w:r w:rsidRPr="008810CB">
              <w:t>future</w:t>
            </w:r>
            <w:r>
              <w:t>s</w:t>
            </w:r>
            <w:proofErr w:type="spellEnd"/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auto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TabIntestaSup"/>
              <w:rPr>
                <w:lang w:val="en-US"/>
              </w:rPr>
            </w:pPr>
          </w:p>
        </w:tc>
        <w:tc>
          <w:tcPr>
            <w:tcW w:w="4536" w:type="dxa"/>
            <w:shd w:val="clear" w:color="auto" w:fill="F2F2F2" w:themeFill="background1" w:themeFillShade="F2"/>
          </w:tcPr>
          <w:p w:rsidR="00C663BE" w:rsidRPr="00E446F0" w:rsidRDefault="00C663BE" w:rsidP="00127093">
            <w:pPr>
              <w:pStyle w:val="TabIntestaSup"/>
              <w:rPr>
                <w:lang w:val="en-GB"/>
              </w:rPr>
            </w:pPr>
            <w:r>
              <w:t xml:space="preserve">Grano - </w:t>
            </w:r>
            <w:proofErr w:type="spellStart"/>
            <w:r>
              <w:t>Wheat</w:t>
            </w:r>
            <w:proofErr w:type="spellEnd"/>
            <w:r w:rsidRPr="008810CB">
              <w:t xml:space="preserve">: CBT </w:t>
            </w:r>
            <w:proofErr w:type="spellStart"/>
            <w:r w:rsidRPr="008810CB">
              <w:t>future</w:t>
            </w:r>
            <w:r>
              <w:t>s</w:t>
            </w:r>
            <w:proofErr w:type="spellEnd"/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FB4AF1" w:rsidRDefault="00C663BE" w:rsidP="00127093">
            <w:pPr>
              <w:pStyle w:val="TabIntestaSup"/>
              <w:rPr>
                <w:lang w:val="en-GB"/>
              </w:rPr>
            </w:pPr>
          </w:p>
        </w:tc>
      </w:tr>
      <w:tr w:rsidR="00C663BE" w:rsidRPr="00BF5102" w:rsidTr="00127093">
        <w:tc>
          <w:tcPr>
            <w:tcW w:w="58" w:type="dxa"/>
            <w:shd w:val="clear" w:color="auto" w:fill="F2F2F2" w:themeFill="background1" w:themeFillShade="F2"/>
          </w:tcPr>
          <w:p w:rsidR="00C663BE" w:rsidRPr="006B06C2" w:rsidRDefault="00C663BE" w:rsidP="00127093">
            <w:pPr>
              <w:pStyle w:val="Figure"/>
              <w:rPr>
                <w:lang w:val="en-US"/>
              </w:rPr>
            </w:pPr>
          </w:p>
        </w:tc>
        <w:tc>
          <w:tcPr>
            <w:tcW w:w="4536" w:type="dxa"/>
          </w:tcPr>
          <w:p w:rsidR="00C663BE" w:rsidRPr="003D1CE3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5C22561F" wp14:editId="2C4ED1EF">
                  <wp:extent cx="2844000" cy="1063933"/>
                  <wp:effectExtent l="0" t="0" r="0" b="0"/>
                  <wp:docPr id="71" name="Immagine 71" descr="http://markets.ft.com/RESEARCH/uploadhandler/z0285110azfd1e7235b0a142dbb9515c8c105b06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markets.ft.com/RESEARCH/uploadhandler/z0285110azfd1e7235b0a142dbb9515c8c105b06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auto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Pr="003D1CE3" w:rsidRDefault="00C663BE" w:rsidP="00127093">
            <w:pPr>
              <w:pStyle w:val="Figure"/>
            </w:pPr>
          </w:p>
        </w:tc>
        <w:tc>
          <w:tcPr>
            <w:tcW w:w="4536" w:type="dxa"/>
          </w:tcPr>
          <w:p w:rsidR="00C663BE" w:rsidRPr="00BF5102" w:rsidRDefault="00C663BE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66D87C2A" wp14:editId="1A2035E5">
                  <wp:extent cx="2844000" cy="1063933"/>
                  <wp:effectExtent l="0" t="0" r="0" b="0"/>
                  <wp:docPr id="72" name="Immagine 72" descr="http://markets.ft.com/RESEARCH/uploadhandler/z0285110az3195e2c63b714f8398c50bb5bd52a6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markets.ft.com/RESEARCH/uploadhandler/z0285110az3195e2c63b714f8398c50bb5bd52a61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000" cy="1063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" w:type="dxa"/>
            <w:shd w:val="clear" w:color="auto" w:fill="F2F2F2" w:themeFill="background1" w:themeFillShade="F2"/>
          </w:tcPr>
          <w:p w:rsidR="00C663BE" w:rsidRDefault="00C663BE" w:rsidP="00127093">
            <w:pPr>
              <w:pStyle w:val="Figure"/>
              <w:rPr>
                <w:noProof/>
              </w:rPr>
            </w:pPr>
          </w:p>
        </w:tc>
      </w:tr>
      <w:tr w:rsidR="00C663BE" w:rsidTr="00127093">
        <w:tc>
          <w:tcPr>
            <w:tcW w:w="9358" w:type="dxa"/>
            <w:gridSpan w:val="7"/>
          </w:tcPr>
          <w:p w:rsidR="00C663BE" w:rsidRDefault="00C663BE" w:rsidP="00127093">
            <w:pPr>
              <w:pStyle w:val="TabNoteSuperiori"/>
            </w:pPr>
            <w:r w:rsidRPr="00F17EBA">
              <w:t>Fonte</w:t>
            </w:r>
            <w:r>
              <w:t xml:space="preserve"> : Financial Times.</w:t>
            </w:r>
          </w:p>
        </w:tc>
      </w:tr>
    </w:tbl>
    <w:p w:rsidR="00C663BE" w:rsidRDefault="00C663BE" w:rsidP="00C663BE">
      <w:r>
        <w:t>ancora</w:t>
      </w:r>
    </w:p>
    <w:p w:rsidR="00C663BE" w:rsidRDefault="00C663BE" w:rsidP="00C663BE"/>
    <w:p w:rsidR="00C663BE" w:rsidRDefault="00C663BE" w:rsidP="00C663BE">
      <w:pPr>
        <w:spacing w:line="240" w:lineRule="auto"/>
        <w:ind w:firstLine="0"/>
        <w:jc w:val="left"/>
      </w:pPr>
      <w:r>
        <w:br w:type="page"/>
      </w:r>
    </w:p>
    <w:p w:rsidR="00F81CE8" w:rsidRDefault="00CF2079" w:rsidP="00F81CE8">
      <w:pPr>
        <w:pStyle w:val="Titolo2"/>
      </w:pPr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</w:p>
    <w:p w:rsidR="00F81CE8" w:rsidRDefault="00F81CE8" w:rsidP="00475E64"/>
    <w:p w:rsidR="00C6140B" w:rsidRDefault="00C6140B" w:rsidP="00C6140B"/>
    <w:tbl>
      <w:tblPr>
        <w:tblpPr w:topFromText="425" w:bottomFromText="425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C6140B" w:rsidTr="00127093">
        <w:tc>
          <w:tcPr>
            <w:tcW w:w="9356" w:type="dxa"/>
          </w:tcPr>
          <w:p w:rsidR="00C6140B" w:rsidRDefault="00C6140B" w:rsidP="00127093">
            <w:pPr>
              <w:pStyle w:val="FigTitolo"/>
            </w:pPr>
            <w:r>
              <w:t>Prodotto interno lordo, valori concatenati, dati destagionalizzati e corretti.</w:t>
            </w:r>
            <w:r>
              <w:br/>
              <w:t>Numero indice (2005=100) e tasso di variazione sul trimestre precedente.</w:t>
            </w:r>
          </w:p>
        </w:tc>
      </w:tr>
      <w:tr w:rsidR="00C6140B" w:rsidTr="00127093">
        <w:tc>
          <w:tcPr>
            <w:tcW w:w="9356" w:type="dxa"/>
          </w:tcPr>
          <w:p w:rsidR="00C6140B" w:rsidRPr="002A23F1" w:rsidRDefault="00C6140B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439EDA8D" wp14:editId="40333DFF">
                  <wp:extent cx="5900420" cy="2155825"/>
                  <wp:effectExtent l="0" t="0" r="0" b="0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0420" cy="215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140B" w:rsidTr="00127093">
        <w:tc>
          <w:tcPr>
            <w:tcW w:w="9356" w:type="dxa"/>
          </w:tcPr>
          <w:p w:rsidR="00C6140B" w:rsidRDefault="00C6140B" w:rsidP="00127093">
            <w:pPr>
              <w:pStyle w:val="TabNoteSuperiori"/>
            </w:pPr>
            <w:r>
              <w:t>Fonte Istat</w:t>
            </w:r>
          </w:p>
        </w:tc>
      </w:tr>
    </w:tbl>
    <w:p w:rsidR="00C6140B" w:rsidRDefault="00C6140B" w:rsidP="00C6140B">
      <w:r>
        <w:t>ancora</w:t>
      </w:r>
    </w:p>
    <w:p w:rsidR="00C6140B" w:rsidRDefault="00C6140B" w:rsidP="00C6140B"/>
    <w:p w:rsidR="00C6140B" w:rsidRDefault="00C6140B" w:rsidP="00C6140B">
      <w:pPr>
        <w:spacing w:line="240" w:lineRule="auto"/>
        <w:ind w:firstLine="0"/>
        <w:jc w:val="left"/>
      </w:pPr>
      <w:r>
        <w:br w:type="page"/>
      </w:r>
    </w:p>
    <w:p w:rsidR="00DA0874" w:rsidRPr="004634E1" w:rsidRDefault="00DA0874" w:rsidP="00DA0874"/>
    <w:tbl>
      <w:tblPr>
        <w:tblpPr w:topFromText="425" w:bottomFromText="425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DA0874" w:rsidTr="001C0D1B">
        <w:tc>
          <w:tcPr>
            <w:tcW w:w="9356" w:type="dxa"/>
          </w:tcPr>
          <w:p w:rsidR="00DA0874" w:rsidRDefault="00DA0874" w:rsidP="001C0D1B">
            <w:pPr>
              <w:pStyle w:val="FigTitolo"/>
            </w:pPr>
            <w:r w:rsidRPr="00415798">
              <w:t>La previsione dell</w:t>
            </w:r>
            <w:r>
              <w:t xml:space="preserve">a Commissione europea per l’Italia: tasso di variazione sull’anno precedente per prodotto interno lordo, importazioni, esportazioni, consumi e investimenti; avanzo primario, indebitamento e debito della </w:t>
            </w:r>
            <w:proofErr w:type="spellStart"/>
            <w:r>
              <w:t>P.A.in</w:t>
            </w:r>
            <w:proofErr w:type="spellEnd"/>
            <w:r>
              <w:t xml:space="preserve"> percentuale del </w:t>
            </w:r>
            <w:proofErr w:type="spellStart"/>
            <w:r>
              <w:t>Pil</w:t>
            </w:r>
            <w:proofErr w:type="spellEnd"/>
            <w:r>
              <w:t>; tasso di disoccupazione</w:t>
            </w:r>
          </w:p>
        </w:tc>
      </w:tr>
      <w:tr w:rsidR="00DA0874" w:rsidTr="001C0D1B">
        <w:tc>
          <w:tcPr>
            <w:tcW w:w="9356" w:type="dxa"/>
          </w:tcPr>
          <w:p w:rsidR="00DA0874" w:rsidRDefault="00DA0874" w:rsidP="001C0D1B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6F6ACCEA" wp14:editId="6F441E99">
                  <wp:extent cx="4528820" cy="2517140"/>
                  <wp:effectExtent l="0" t="0" r="0" b="0"/>
                  <wp:docPr id="34" name="Immagin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8820" cy="251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2356BB82" wp14:editId="516441AB">
                  <wp:extent cx="645160" cy="2517140"/>
                  <wp:effectExtent l="0" t="0" r="0" b="0"/>
                  <wp:docPr id="37" name="Immagin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251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0E3815FD" wp14:editId="18B04EB9">
                  <wp:extent cx="645160" cy="2517140"/>
                  <wp:effectExtent l="0" t="0" r="0" b="0"/>
                  <wp:docPr id="39" name="Immagin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251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0874" w:rsidRPr="00DE03EB" w:rsidTr="001C0D1B">
        <w:tc>
          <w:tcPr>
            <w:tcW w:w="9356" w:type="dxa"/>
          </w:tcPr>
          <w:p w:rsidR="00DA0874" w:rsidRPr="00DE03EB" w:rsidRDefault="00DA0874" w:rsidP="001C0D1B">
            <w:pPr>
              <w:pStyle w:val="TabNoteSuperiori"/>
            </w:pPr>
            <w:r w:rsidRPr="00DE03EB">
              <w:t xml:space="preserve">Fonte: Commissione Europea, </w:t>
            </w:r>
            <w:proofErr w:type="spellStart"/>
            <w:r w:rsidRPr="00DE03EB">
              <w:t>E</w:t>
            </w:r>
            <w:r>
              <w:t>uropean</w:t>
            </w:r>
            <w:proofErr w:type="spellEnd"/>
            <w:r>
              <w:t xml:space="preserve"> </w:t>
            </w:r>
            <w:proofErr w:type="spellStart"/>
            <w:r>
              <w:t>economic</w:t>
            </w:r>
            <w:proofErr w:type="spellEnd"/>
            <w:r>
              <w:t xml:space="preserve"> </w:t>
            </w:r>
            <w:proofErr w:type="spellStart"/>
            <w:r>
              <w:t>forecast</w:t>
            </w:r>
            <w:proofErr w:type="spellEnd"/>
            <w:r>
              <w:t xml:space="preserve">, 5 febbraio </w:t>
            </w:r>
            <w:r w:rsidRPr="00DE03EB">
              <w:t>201</w:t>
            </w:r>
            <w:r>
              <w:t>5</w:t>
            </w:r>
          </w:p>
        </w:tc>
      </w:tr>
    </w:tbl>
    <w:p w:rsidR="00DA0874" w:rsidRPr="005F0021" w:rsidRDefault="00DA0874" w:rsidP="00DA0874">
      <w:r w:rsidRPr="005F0021">
        <w:t xml:space="preserve">ANCORA E GRAFICO </w:t>
      </w:r>
      <w:r>
        <w:t xml:space="preserve">UE </w:t>
      </w:r>
      <w:proofErr w:type="spellStart"/>
      <w:r>
        <w:t>Comm</w:t>
      </w:r>
      <w:proofErr w:type="spellEnd"/>
      <w:r w:rsidRPr="005F0021">
        <w:t xml:space="preserve"> C</w:t>
      </w:r>
      <w:r>
        <w:t xml:space="preserve">OME IMF E OECD </w:t>
      </w:r>
    </w:p>
    <w:p w:rsidR="00DA0874" w:rsidRDefault="00DA0874" w:rsidP="00DA0874"/>
    <w:p w:rsidR="00DA0874" w:rsidRDefault="00DA0874" w:rsidP="00DA0874"/>
    <w:p w:rsidR="00DA0874" w:rsidRDefault="00DA0874" w:rsidP="00DA0874">
      <w:pPr>
        <w:spacing w:line="240" w:lineRule="auto"/>
        <w:ind w:firstLine="0"/>
        <w:jc w:val="left"/>
      </w:pPr>
      <w:r>
        <w:br w:type="page"/>
      </w:r>
    </w:p>
    <w:p w:rsidR="00DA0874" w:rsidRDefault="00DA0874" w:rsidP="00DA0874"/>
    <w:tbl>
      <w:tblPr>
        <w:tblpPr w:topFromText="425" w:bottomFromText="425" w:horzAnchor="margin" w:tblpXSpec="center" w:tblpYSpec="bottom"/>
        <w:tblOverlap w:val="never"/>
        <w:tblW w:w="936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4"/>
        <w:gridCol w:w="794"/>
        <w:gridCol w:w="340"/>
        <w:gridCol w:w="794"/>
        <w:gridCol w:w="340"/>
        <w:gridCol w:w="794"/>
        <w:gridCol w:w="340"/>
        <w:gridCol w:w="794"/>
        <w:gridCol w:w="340"/>
        <w:gridCol w:w="794"/>
        <w:gridCol w:w="340"/>
        <w:gridCol w:w="794"/>
        <w:gridCol w:w="342"/>
      </w:tblGrid>
      <w:tr w:rsidR="007B7E0D" w:rsidTr="007B7E0D">
        <w:tc>
          <w:tcPr>
            <w:tcW w:w="9358" w:type="dxa"/>
            <w:gridSpan w:val="13"/>
            <w:tcBorders>
              <w:top w:val="nil"/>
              <w:left w:val="nil"/>
              <w:bottom w:val="single" w:sz="6" w:space="0" w:color="800000"/>
              <w:right w:val="nil"/>
            </w:tcBorders>
            <w:hideMark/>
          </w:tcPr>
          <w:p w:rsidR="007B7E0D" w:rsidRDefault="007B7E0D">
            <w:pPr>
              <w:pStyle w:val="TabTitolo"/>
            </w:pPr>
            <w:r>
              <w:t>L'economia italiana. Consuntivo e previsioni effettuate negli ultimi mesi, variazioni percentuali annue a prezzi costanti salvo diversa indicazione.</w:t>
            </w:r>
          </w:p>
        </w:tc>
      </w:tr>
      <w:tr w:rsidR="007B7E0D" w:rsidTr="007B7E0D">
        <w:tc>
          <w:tcPr>
            <w:tcW w:w="2552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IntestaSup"/>
            </w:pPr>
          </w:p>
        </w:tc>
        <w:tc>
          <w:tcPr>
            <w:tcW w:w="1134" w:type="dxa"/>
            <w:gridSpan w:val="2"/>
            <w:tcBorders>
              <w:top w:val="single" w:sz="6" w:space="0" w:color="800000"/>
              <w:left w:val="nil"/>
              <w:bottom w:val="nil"/>
              <w:right w:val="nil"/>
            </w:tcBorders>
            <w:vAlign w:val="bottom"/>
            <w:hideMark/>
          </w:tcPr>
          <w:p w:rsidR="007B7E0D" w:rsidRDefault="007B7E0D">
            <w:pPr>
              <w:pStyle w:val="TabIntestaSup"/>
            </w:pPr>
            <w:r>
              <w:t>Consuntivo</w:t>
            </w:r>
          </w:p>
        </w:tc>
        <w:tc>
          <w:tcPr>
            <w:tcW w:w="5672" w:type="dxa"/>
            <w:gridSpan w:val="10"/>
            <w:tcBorders>
              <w:top w:val="single" w:sz="6" w:space="0" w:color="800000"/>
              <w:left w:val="nil"/>
              <w:bottom w:val="nil"/>
              <w:right w:val="nil"/>
            </w:tcBorders>
            <w:vAlign w:val="bottom"/>
            <w:hideMark/>
          </w:tcPr>
          <w:p w:rsidR="007B7E0D" w:rsidRDefault="007B7E0D">
            <w:pPr>
              <w:pStyle w:val="TabIntestaSupBordo"/>
            </w:pPr>
            <w:r>
              <w:t>Previsioni 2015</w:t>
            </w:r>
          </w:p>
        </w:tc>
      </w:tr>
      <w:tr w:rsidR="007B7E0D" w:rsidTr="007B7E0D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IntestaSup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B7E0D" w:rsidRDefault="007B7E0D">
            <w:pPr>
              <w:pStyle w:val="TabIntestaSup"/>
            </w:pPr>
            <w:r>
              <w:t>2014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B7E0D" w:rsidRDefault="007B7E0D">
            <w:pPr>
              <w:pStyle w:val="TabIntestaSup"/>
            </w:pPr>
            <w:r>
              <w:t>Fmi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B7E0D" w:rsidRDefault="007B7E0D">
            <w:pPr>
              <w:pStyle w:val="TabIntestaSup"/>
            </w:pPr>
            <w:r>
              <w:t>CSC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B7E0D" w:rsidRDefault="007B7E0D">
            <w:pPr>
              <w:pStyle w:val="TabIntestaSup"/>
            </w:pPr>
            <w:r>
              <w:t>Prometeia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B7E0D" w:rsidRDefault="007B7E0D">
            <w:pPr>
              <w:pStyle w:val="TabIntestaSup"/>
            </w:pPr>
            <w:r>
              <w:t xml:space="preserve">Ue </w:t>
            </w:r>
            <w:proofErr w:type="spellStart"/>
            <w:r>
              <w:t>Com</w:t>
            </w:r>
            <w:proofErr w:type="spellEnd"/>
            <w:r>
              <w:t>.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B7E0D" w:rsidRDefault="007B7E0D">
            <w:pPr>
              <w:pStyle w:val="TabIntestaSup"/>
            </w:pPr>
            <w:r>
              <w:t>Ocse</w:t>
            </w:r>
          </w:p>
        </w:tc>
      </w:tr>
      <w:tr w:rsidR="007B7E0D" w:rsidTr="007B7E0D">
        <w:tc>
          <w:tcPr>
            <w:tcW w:w="2552" w:type="dxa"/>
            <w:tcBorders>
              <w:top w:val="nil"/>
              <w:left w:val="nil"/>
              <w:bottom w:val="single" w:sz="6" w:space="0" w:color="800000"/>
              <w:right w:val="nil"/>
            </w:tcBorders>
          </w:tcPr>
          <w:p w:rsidR="007B7E0D" w:rsidRDefault="007B7E0D">
            <w:pPr>
              <w:pStyle w:val="TabIntestaInf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800000"/>
              <w:right w:val="nil"/>
            </w:tcBorders>
            <w:vAlign w:val="bottom"/>
            <w:hideMark/>
          </w:tcPr>
          <w:p w:rsidR="007B7E0D" w:rsidRDefault="007B7E0D">
            <w:pPr>
              <w:pStyle w:val="TabIntestaInf"/>
            </w:pPr>
            <w:r>
              <w:t>Istat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800000"/>
              <w:right w:val="nil"/>
            </w:tcBorders>
            <w:vAlign w:val="bottom"/>
            <w:hideMark/>
          </w:tcPr>
          <w:p w:rsidR="007B7E0D" w:rsidRDefault="007B7E0D">
            <w:pPr>
              <w:pStyle w:val="TabIntestaInf"/>
            </w:pPr>
            <w:r>
              <w:t>ott-14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800000"/>
              <w:right w:val="nil"/>
            </w:tcBorders>
            <w:vAlign w:val="bottom"/>
            <w:hideMark/>
          </w:tcPr>
          <w:p w:rsidR="007B7E0D" w:rsidRDefault="007B7E0D">
            <w:pPr>
              <w:pStyle w:val="TabIntestaInf"/>
            </w:pPr>
            <w:r>
              <w:t>dic-14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800000"/>
              <w:right w:val="nil"/>
            </w:tcBorders>
            <w:vAlign w:val="bottom"/>
            <w:hideMark/>
          </w:tcPr>
          <w:p w:rsidR="007B7E0D" w:rsidRDefault="007B7E0D">
            <w:pPr>
              <w:pStyle w:val="TabIntestaInf"/>
            </w:pPr>
            <w:r>
              <w:t>gen-15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800000"/>
              <w:right w:val="nil"/>
            </w:tcBorders>
            <w:vAlign w:val="bottom"/>
            <w:hideMark/>
          </w:tcPr>
          <w:p w:rsidR="007B7E0D" w:rsidRDefault="007B7E0D">
            <w:pPr>
              <w:pStyle w:val="TabIntestaInf"/>
            </w:pPr>
            <w:r>
              <w:t>feb-15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6" w:space="0" w:color="800000"/>
              <w:right w:val="nil"/>
            </w:tcBorders>
            <w:vAlign w:val="bottom"/>
            <w:hideMark/>
          </w:tcPr>
          <w:p w:rsidR="007B7E0D" w:rsidRDefault="007B7E0D">
            <w:pPr>
              <w:pStyle w:val="TabIntestaInf"/>
            </w:pPr>
            <w:r>
              <w:t>feb-15</w:t>
            </w:r>
          </w:p>
        </w:tc>
      </w:tr>
      <w:tr w:rsidR="007B7E0D" w:rsidTr="007B7E0D">
        <w:trPr>
          <w:trHeight w:hRule="exact" w:val="113"/>
        </w:trPr>
        <w:tc>
          <w:tcPr>
            <w:tcW w:w="2552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794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342" w:type="dxa"/>
            <w:tcBorders>
              <w:top w:val="single" w:sz="6" w:space="0" w:color="800000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0,4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Importazioni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1,8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2,7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3,2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4,4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2,6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2,1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Esportazioni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3,5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3,5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4,9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3,4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2,7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0,1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Consumi delle famiglie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1,1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0,7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Consumi collettivi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-0,3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-0,6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-0,5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-1,0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Investimenti fissi lordi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-3,3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-0,1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-0,7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1,0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0,1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 xml:space="preserve">- </w:t>
            </w:r>
            <w:proofErr w:type="spellStart"/>
            <w:r>
              <w:t>macc</w:t>
            </w:r>
            <w:proofErr w:type="spellEnd"/>
            <w:r>
              <w:t xml:space="preserve">. </w:t>
            </w:r>
            <w:proofErr w:type="spellStart"/>
            <w:r>
              <w:t>attrez</w:t>
            </w:r>
            <w:proofErr w:type="spellEnd"/>
            <w:r>
              <w:t xml:space="preserve">. mezzi </w:t>
            </w:r>
            <w:proofErr w:type="spellStart"/>
            <w:r>
              <w:t>trasp</w:t>
            </w:r>
            <w:proofErr w:type="spellEnd"/>
            <w:r>
              <w:t>.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0,4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 xml:space="preserve"> [6]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- costruzioni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-4,9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-1,4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-1,7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-0,6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-0,5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Occupazione [a]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0,1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Disoccupazione [b]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12,7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12,0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12,9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12,8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12,8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12,3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Prezzi al consumo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0,2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-0,2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-0,3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 xml:space="preserve"> [1]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-0,3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 xml:space="preserve"> [1]</w:t>
            </w: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 xml:space="preserve">Saldo c. </w:t>
            </w:r>
            <w:proofErr w:type="spellStart"/>
            <w:r>
              <w:t>cor</w:t>
            </w:r>
            <w:proofErr w:type="spellEnd"/>
            <w:r>
              <w:t xml:space="preserve">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[c]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1,2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3,8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 xml:space="preserve"> [5]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 xml:space="preserve"> [4]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2,0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Avanzo primario [c]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2,9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1,9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1,5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Indebitamento A. P. [c]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3,0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2,7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2,6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umeri"/>
            </w:pPr>
            <w:r>
              <w:t>-2,7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7B7E0D" w:rsidRDefault="007B7E0D">
            <w:pPr>
              <w:pStyle w:val="TabNumeri"/>
            </w:pPr>
          </w:p>
        </w:tc>
      </w:tr>
      <w:tr w:rsidR="007B7E0D" w:rsidTr="007B7E0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Etichette"/>
              <w:rPr>
                <w:rFonts w:eastAsia="Arial Unicode MS"/>
              </w:rPr>
            </w:pPr>
            <w:r>
              <w:t>Debito A. Pubblica [c]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132,1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136,4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133,8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133,6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133,0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:rsidR="007B7E0D" w:rsidRDefault="007B7E0D">
            <w:pPr>
              <w:pStyle w:val="TabNumeri"/>
            </w:pPr>
            <w:r>
              <w:t>132,8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7B7E0D" w:rsidRDefault="007B7E0D">
            <w:pPr>
              <w:pStyle w:val="TabNumeri"/>
            </w:pPr>
          </w:p>
        </w:tc>
      </w:tr>
      <w:tr w:rsidR="007B7E0D" w:rsidTr="007B7E0D">
        <w:tc>
          <w:tcPr>
            <w:tcW w:w="9358" w:type="dxa"/>
            <w:gridSpan w:val="13"/>
            <w:tcBorders>
              <w:top w:val="single" w:sz="4" w:space="0" w:color="A50021"/>
              <w:left w:val="nil"/>
              <w:bottom w:val="nil"/>
              <w:right w:val="nil"/>
            </w:tcBorders>
            <w:hideMark/>
          </w:tcPr>
          <w:p w:rsidR="007B7E0D" w:rsidRDefault="007B7E0D">
            <w:pPr>
              <w:pStyle w:val="TabNoteSuperiori"/>
            </w:pPr>
            <w:r>
              <w:t xml:space="preserve">[a] Unità di lavoro standard. [b] Tasso percentuale. [c] Percentuale sul </w:t>
            </w:r>
            <w:proofErr w:type="spellStart"/>
            <w:r>
              <w:t>Pil</w:t>
            </w:r>
            <w:proofErr w:type="spellEnd"/>
            <w:r>
              <w:t xml:space="preserve">. [1] Tasso di inflazione armonizzato Ue. [2] </w:t>
            </w:r>
            <w:proofErr w:type="spellStart"/>
            <w:r>
              <w:t>Deflattore</w:t>
            </w:r>
            <w:proofErr w:type="spellEnd"/>
            <w:r>
              <w:t xml:space="preserve"> dei consumi privati. [3] Programmata. [4] Saldo conto corrente e conto capitale (in % del </w:t>
            </w:r>
            <w:proofErr w:type="spellStart"/>
            <w:r>
              <w:t>Pil</w:t>
            </w:r>
            <w:proofErr w:type="spellEnd"/>
            <w:r>
              <w:t xml:space="preserve">). [5] Saldo commerciale (in % del </w:t>
            </w:r>
            <w:proofErr w:type="spellStart"/>
            <w:r>
              <w:t>Pil</w:t>
            </w:r>
            <w:proofErr w:type="spellEnd"/>
            <w:r>
              <w:t xml:space="preserve">). </w:t>
            </w:r>
            <w:r>
              <w:rPr>
                <w:lang w:val="en-GB"/>
              </w:rPr>
              <w:t xml:space="preserve">[6] Investment in equipment. </w:t>
            </w:r>
          </w:p>
        </w:tc>
      </w:tr>
    </w:tbl>
    <w:p w:rsidR="00DA0874" w:rsidRDefault="00DA0874" w:rsidP="00DA0874">
      <w:r>
        <w:t>ancora previsioni anno t+1</w:t>
      </w:r>
    </w:p>
    <w:p w:rsidR="00DA0874" w:rsidRPr="005F0021" w:rsidRDefault="00DA0874" w:rsidP="00DA0874"/>
    <w:p w:rsidR="00DA0874" w:rsidRPr="005F0021" w:rsidRDefault="00DA0874" w:rsidP="00DA0874">
      <w:r w:rsidRPr="005F0021">
        <w:br w:type="page"/>
      </w:r>
    </w:p>
    <w:p w:rsidR="00F858D8" w:rsidRDefault="00CF2079" w:rsidP="00F858D8">
      <w:pPr>
        <w:pStyle w:val="Titolo2"/>
      </w:pPr>
      <w:r>
        <w:lastRenderedPageBreak/>
        <w:t>X</w:t>
      </w:r>
      <w:r w:rsidR="00F858D8">
        <w:t>.3.</w:t>
      </w:r>
      <w:r w:rsidR="00F858D8">
        <w:tab/>
      </w:r>
      <w:bookmarkStart w:id="0" w:name="OLE_LINK1"/>
      <w:r w:rsidR="00F858D8">
        <w:t>Il quadro regionale</w:t>
      </w:r>
      <w:bookmarkEnd w:id="0"/>
    </w:p>
    <w:p w:rsidR="001629EC" w:rsidRDefault="001629EC" w:rsidP="00127093"/>
    <w:tbl>
      <w:tblPr>
        <w:tblStyle w:val="Grigliatabella"/>
        <w:tblpPr w:topFromText="284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AC2994" w:rsidTr="00127093">
        <w:tc>
          <w:tcPr>
            <w:tcW w:w="9356" w:type="dxa"/>
          </w:tcPr>
          <w:p w:rsidR="00AC2994" w:rsidRDefault="00AC2994" w:rsidP="00127093">
            <w:pPr>
              <w:pStyle w:val="FigTitolo"/>
              <w:ind w:left="1134" w:hanging="1134"/>
            </w:pPr>
            <w:r>
              <w:t xml:space="preserve">Previsione regionale e </w:t>
            </w:r>
            <w:r w:rsidRPr="00366816">
              <w:t>nazionale</w:t>
            </w:r>
            <w:r>
              <w:t xml:space="preserve">: tasso di variazione e numero indice del </w:t>
            </w:r>
            <w:proofErr w:type="spellStart"/>
            <w:r>
              <w:t>Pil</w:t>
            </w:r>
            <w:proofErr w:type="spellEnd"/>
            <w:r>
              <w:t xml:space="preserve"> (2000=100)</w:t>
            </w:r>
          </w:p>
          <w:p w:rsidR="00AC2994" w:rsidRDefault="00AC2994" w:rsidP="00127093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7A352A21" wp14:editId="649E36E3">
                  <wp:extent cx="5904000" cy="2340000"/>
                  <wp:effectExtent l="0" t="0" r="1905" b="3175"/>
                  <wp:docPr id="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8"/>
                    </a:graphicData>
                  </a:graphic>
                </wp:inline>
              </w:drawing>
            </w:r>
          </w:p>
          <w:p w:rsidR="00AC2994" w:rsidRDefault="00AC2994" w:rsidP="00127093">
            <w:pPr>
              <w:pStyle w:val="TabNoteInferiori"/>
            </w:pPr>
            <w:r w:rsidRPr="0029075E">
              <w:t>Fonte: Prometeia, Scenari per le economie locali, febbraio 2015.</w:t>
            </w:r>
          </w:p>
        </w:tc>
      </w:tr>
    </w:tbl>
    <w:p w:rsidR="00DA0874" w:rsidRDefault="00DA0874" w:rsidP="00DA0874">
      <w:r>
        <w:t xml:space="preserve">Ancora grafico </w:t>
      </w:r>
    </w:p>
    <w:p w:rsidR="00DA0874" w:rsidRDefault="00DA0874" w:rsidP="00DA0874">
      <w:pPr>
        <w:pStyle w:val="nascosto"/>
      </w:pPr>
      <w:r>
        <w:t>Modifica dati</w:t>
      </w:r>
    </w:p>
    <w:p w:rsidR="00DA0874" w:rsidRDefault="00DA0874" w:rsidP="00DA0874"/>
    <w:p w:rsidR="00DA0874" w:rsidRDefault="00DA0874" w:rsidP="00DA0874">
      <w:pPr>
        <w:spacing w:line="240" w:lineRule="auto"/>
        <w:ind w:firstLine="0"/>
        <w:jc w:val="left"/>
      </w:pPr>
      <w:r>
        <w:br w:type="page"/>
      </w:r>
    </w:p>
    <w:p w:rsidR="00DA0874" w:rsidRDefault="00DA0874" w:rsidP="00DA0874"/>
    <w:tbl>
      <w:tblPr>
        <w:tblpPr w:topFromText="425" w:bottomFromText="425" w:horzAnchor="margin" w:tblpXSpec="center" w:tblpYSpec="bottom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AC2994" w:rsidTr="00127093"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:rsidR="00AC2994" w:rsidRPr="007C570B" w:rsidRDefault="00AC2994" w:rsidP="00127093">
            <w:pPr>
              <w:pStyle w:val="TabTitolo"/>
              <w:ind w:left="1134" w:hanging="1134"/>
            </w:pPr>
            <w:r>
              <w:t>Il quadro regionale.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2010</w:t>
            </w:r>
          </w:p>
        </w:tc>
      </w:tr>
      <w:tr w:rsidR="00AC2994" w:rsidTr="00127093"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:rsidR="00AC2994" w:rsidRDefault="00AC2994" w:rsidP="00127093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  <w:vAlign w:val="bottom"/>
          </w:tcPr>
          <w:p w:rsidR="00AC2994" w:rsidRDefault="00AC2994" w:rsidP="00127093">
            <w:pPr>
              <w:pStyle w:val="TabIntestazioni"/>
            </w:pPr>
          </w:p>
        </w:tc>
        <w:tc>
          <w:tcPr>
            <w:tcW w:w="1134" w:type="dxa"/>
            <w:tcBorders>
              <w:bottom w:val="single" w:sz="4" w:space="0" w:color="800000"/>
            </w:tcBorders>
            <w:vAlign w:val="bottom"/>
          </w:tcPr>
          <w:p w:rsidR="00AC2994" w:rsidRDefault="00AC2994" w:rsidP="00127093">
            <w:pPr>
              <w:pStyle w:val="TabIntestazioni"/>
            </w:pPr>
            <w:r>
              <w:t>2014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  <w:vAlign w:val="bottom"/>
          </w:tcPr>
          <w:p w:rsidR="00AC2994" w:rsidRDefault="00AC2994" w:rsidP="00127093">
            <w:pPr>
              <w:pStyle w:val="TabIntestazioni"/>
            </w:pPr>
            <w:r>
              <w:t>2015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  <w:vAlign w:val="bottom"/>
          </w:tcPr>
          <w:p w:rsidR="00AC2994" w:rsidRDefault="00AC2994" w:rsidP="00127093">
            <w:pPr>
              <w:pStyle w:val="TabIntestazioni"/>
            </w:pPr>
            <w:r>
              <w:t>2016</w:t>
            </w:r>
          </w:p>
        </w:tc>
      </w:tr>
      <w:tr w:rsidR="00AC2994" w:rsidTr="00127093">
        <w:trPr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:rsidR="00AC2994" w:rsidRPr="00686A56" w:rsidRDefault="00AC2994" w:rsidP="00127093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AC2994" w:rsidRPr="001B69AC" w:rsidRDefault="00AC2994" w:rsidP="00127093">
            <w:pPr>
              <w:pStyle w:val="TabNumeri"/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AC2994" w:rsidRPr="001B69AC" w:rsidRDefault="00AC2994" w:rsidP="00127093">
            <w:pPr>
              <w:pStyle w:val="TabNumeri"/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AC2994" w:rsidRPr="001B69AC" w:rsidRDefault="00AC2994" w:rsidP="00127093">
            <w:pPr>
              <w:pStyle w:val="TabNumeri"/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:rsidR="00AC2994" w:rsidRPr="001B69AC" w:rsidRDefault="00AC2994" w:rsidP="00127093">
            <w:pPr>
              <w:pStyle w:val="TabNumeri"/>
            </w:pP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Pr="00F039B7" w:rsidRDefault="00AC2994" w:rsidP="00127093">
            <w:pPr>
              <w:pStyle w:val="TabEtichette"/>
              <w:rPr>
                <w:rFonts w:eastAsia="Arial Unicode MS"/>
                <w:b/>
                <w:bCs/>
              </w:rPr>
            </w:pPr>
            <w:r w:rsidRPr="00F039B7">
              <w:rPr>
                <w:b/>
                <w:bCs/>
              </w:rPr>
              <w:t>Conto economico</w:t>
            </w:r>
          </w:p>
        </w:tc>
        <w:tc>
          <w:tcPr>
            <w:tcW w:w="1134" w:type="dxa"/>
          </w:tcPr>
          <w:p w:rsidR="00AC2994" w:rsidRPr="001B69AC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1B69AC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1B69AC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1B69AC" w:rsidRDefault="00AC2994" w:rsidP="00127093">
            <w:pPr>
              <w:pStyle w:val="TabNumeri"/>
            </w:pP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1,2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1,7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Domanda interna</w:t>
            </w:r>
            <w:r>
              <w:rPr>
                <w:vertAlign w:val="superscript"/>
              </w:rPr>
              <w:t>(1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0,1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1,1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1,5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1,8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1,3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-0,2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-0,4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-0,0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-1,3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3,6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8,0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3,6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4,0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4,7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5,0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5,2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Pr="00F039B7" w:rsidRDefault="00AC2994" w:rsidP="00127093">
            <w:pPr>
              <w:pStyle w:val="TabEtichSuperiori"/>
              <w:rPr>
                <w:rFonts w:eastAsia="Arial Unicode MS"/>
                <w:b/>
              </w:rPr>
            </w:pPr>
            <w:r w:rsidRPr="00F039B7">
              <w:rPr>
                <w:b/>
              </w:rPr>
              <w:t>Valore aggiunto ai prezzi base</w:t>
            </w:r>
          </w:p>
        </w:tc>
        <w:tc>
          <w:tcPr>
            <w:tcW w:w="1134" w:type="dxa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-1,6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0,5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0,1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1,2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1,6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-2,5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-0,9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2,0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AC2994" w:rsidRPr="0067028A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0,5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1,2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1,9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023F9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0,2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1,1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1,8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Pr="00F039B7" w:rsidRDefault="00AC2994" w:rsidP="00127093">
            <w:pPr>
              <w:pStyle w:val="TabEtichSuperiori"/>
              <w:rPr>
                <w:rFonts w:eastAsia="Arial Unicode MS"/>
                <w:b/>
                <w:bCs/>
              </w:rPr>
            </w:pPr>
            <w:proofErr w:type="spellStart"/>
            <w:r w:rsidRPr="00F039B7">
              <w:rPr>
                <w:b/>
                <w:bCs/>
              </w:rPr>
              <w:t>Unita’</w:t>
            </w:r>
            <w:proofErr w:type="spellEnd"/>
            <w:r w:rsidRPr="00F039B7">
              <w:rPr>
                <w:b/>
                <w:bCs/>
              </w:rPr>
              <w:t xml:space="preserve"> di lavoro</w:t>
            </w:r>
          </w:p>
        </w:tc>
        <w:tc>
          <w:tcPr>
            <w:tcW w:w="1134" w:type="dxa"/>
          </w:tcPr>
          <w:p w:rsidR="00AC2994" w:rsidRPr="000023F9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023F9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-2,3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0,7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:rsidR="00AC2994" w:rsidRPr="000023F9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0,1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0,6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0,6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023F9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-2,3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-0,9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0,1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:rsidR="00AC2994" w:rsidRPr="000023F9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0,4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1,0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1,4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Default="00AC2994" w:rsidP="00127093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0,8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1,1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Pr="00F039B7" w:rsidRDefault="00AC2994" w:rsidP="00127093">
            <w:pPr>
              <w:pStyle w:val="TabEtichSuperiori"/>
              <w:rPr>
                <w:rFonts w:eastAsia="Arial Unicode MS"/>
                <w:b/>
                <w:bCs/>
              </w:rPr>
            </w:pPr>
            <w:r w:rsidRPr="00F039B7">
              <w:rPr>
                <w:b/>
                <w:bCs/>
              </w:rPr>
              <w:t>Rapporti caratteristici</w:t>
            </w:r>
          </w:p>
        </w:tc>
        <w:tc>
          <w:tcPr>
            <w:tcW w:w="1134" w:type="dxa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Pr="00983308" w:rsidRDefault="00AC2994" w:rsidP="00127093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0,1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0,4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-0,0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0,7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1,2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Pr="007427DC" w:rsidRDefault="00AC2994" w:rsidP="00127093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47,5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47,4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47,2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Pr="007427DC" w:rsidRDefault="00AC2994" w:rsidP="00127093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43,4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43,4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43,6</w:t>
            </w: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Pr="007427DC" w:rsidRDefault="00AC2994" w:rsidP="00127093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8,6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8,5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7,8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Pr="001B69AC" w:rsidRDefault="00AC2994" w:rsidP="00127093">
            <w:pPr>
              <w:pStyle w:val="TabEtichSuperiori"/>
              <w:rPr>
                <w:b/>
                <w:bCs/>
              </w:rPr>
            </w:pPr>
            <w:r w:rsidRPr="001B69AC">
              <w:rPr>
                <w:b/>
                <w:bCs/>
              </w:rPr>
              <w:t>Produttività e capacità di spesa</w:t>
            </w:r>
          </w:p>
        </w:tc>
        <w:tc>
          <w:tcPr>
            <w:tcW w:w="1134" w:type="dxa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</w:p>
        </w:tc>
      </w:tr>
      <w:tr w:rsidR="00AC2994" w:rsidTr="00EA697D">
        <w:trPr>
          <w:trHeight w:val="227"/>
        </w:trPr>
        <w:tc>
          <w:tcPr>
            <w:tcW w:w="4820" w:type="dxa"/>
            <w:shd w:val="clear" w:color="auto" w:fill="F2F2F2" w:themeFill="background1" w:themeFillShade="F2"/>
          </w:tcPr>
          <w:p w:rsidR="00AC2994" w:rsidRPr="00B130A5" w:rsidRDefault="00AC2994" w:rsidP="00127093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1,7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2,0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AC2994" w:rsidRPr="00045D32" w:rsidRDefault="00AC2994" w:rsidP="00127093">
            <w:pPr>
              <w:pStyle w:val="tabnum"/>
            </w:pPr>
            <w:r w:rsidRPr="00045D32">
              <w:t>2,6</w:t>
            </w:r>
          </w:p>
        </w:tc>
      </w:tr>
      <w:tr w:rsidR="00AC2994" w:rsidTr="00127093">
        <w:trPr>
          <w:trHeight w:val="227"/>
        </w:trPr>
        <w:tc>
          <w:tcPr>
            <w:tcW w:w="4820" w:type="dxa"/>
          </w:tcPr>
          <w:p w:rsidR="00AC2994" w:rsidRDefault="00AC2994" w:rsidP="00127093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:rsidR="00AC2994" w:rsidRPr="0068527C" w:rsidRDefault="00AC2994" w:rsidP="00127093">
            <w:pPr>
              <w:pStyle w:val="TabNumeri"/>
            </w:pP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28,1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28,3</w:t>
            </w:r>
          </w:p>
        </w:tc>
        <w:tc>
          <w:tcPr>
            <w:tcW w:w="1134" w:type="dxa"/>
          </w:tcPr>
          <w:p w:rsidR="00AC2994" w:rsidRPr="00045D32" w:rsidRDefault="00AC2994" w:rsidP="00127093">
            <w:pPr>
              <w:pStyle w:val="tabnum"/>
            </w:pPr>
            <w:r w:rsidRPr="00045D32">
              <w:t>28,5</w:t>
            </w:r>
          </w:p>
        </w:tc>
      </w:tr>
      <w:tr w:rsidR="00AC2994" w:rsidTr="00127093"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:rsidR="00AC2994" w:rsidRDefault="00AC2994" w:rsidP="00127093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:rsidR="00AC2994" w:rsidRPr="007C570B" w:rsidRDefault="00AC2994" w:rsidP="00127093">
            <w:pPr>
              <w:pStyle w:val="TabNoteInferiori"/>
            </w:pPr>
            <w:r w:rsidRPr="0029075E">
              <w:t>Fonte: Prometeia, Scenari per le economie locali, febbraio 2015.</w:t>
            </w:r>
          </w:p>
        </w:tc>
      </w:tr>
    </w:tbl>
    <w:p w:rsidR="00DA0874" w:rsidRDefault="00DA0874" w:rsidP="00DA0874">
      <w:r>
        <w:t>Ancora tabella</w:t>
      </w:r>
    </w:p>
    <w:p w:rsidR="00DA0874" w:rsidRDefault="00DA0874" w:rsidP="00DA0874"/>
    <w:p w:rsidR="00DA0874" w:rsidRDefault="00DA0874" w:rsidP="00DA0874">
      <w:pPr>
        <w:spacing w:line="240" w:lineRule="auto"/>
        <w:ind w:firstLine="0"/>
        <w:jc w:val="left"/>
      </w:pPr>
      <w:r>
        <w:br w:type="page"/>
      </w:r>
      <w:bookmarkStart w:id="1" w:name="_GoBack"/>
      <w:bookmarkEnd w:id="1"/>
    </w:p>
    <w:p w:rsidR="00DA0874" w:rsidRDefault="00DA0874" w:rsidP="00DA0874"/>
    <w:tbl>
      <w:tblPr>
        <w:tblStyle w:val="Grigliatabella"/>
        <w:tblpPr w:leftFromText="284" w:rightFromText="284" w:topFromText="142" w:bottomFromText="142" w:horzAnchor="margin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</w:tblGrid>
      <w:tr w:rsidR="00E46A42" w:rsidTr="00127093">
        <w:trPr>
          <w:cantSplit/>
        </w:trPr>
        <w:tc>
          <w:tcPr>
            <w:tcW w:w="5670" w:type="dxa"/>
          </w:tcPr>
          <w:p w:rsidR="00E46A42" w:rsidRDefault="00E46A42" w:rsidP="00127093">
            <w:pPr>
              <w:pStyle w:val="FigTitolo"/>
              <w:ind w:left="1134" w:hanging="1134"/>
            </w:pPr>
            <w:r>
              <w:t xml:space="preserve">Previsione regionale: tasso di variazione delle variabili di conto economico, </w:t>
            </w:r>
            <w:r w:rsidRPr="0083335B">
              <w:t xml:space="preserve">valori concatenati, anno di </w:t>
            </w:r>
            <w:proofErr w:type="spellStart"/>
            <w:r w:rsidRPr="0083335B">
              <w:t>rif</w:t>
            </w:r>
            <w:r>
              <w:t>.</w:t>
            </w:r>
            <w:proofErr w:type="spellEnd"/>
            <w:r>
              <w:t xml:space="preserve"> </w:t>
            </w:r>
            <w:r w:rsidRPr="0083335B">
              <w:t>20</w:t>
            </w:r>
            <w:r>
              <w:t>1</w:t>
            </w:r>
            <w:r w:rsidRPr="0083335B">
              <w:t>0</w:t>
            </w:r>
            <w:r>
              <w:t>.</w:t>
            </w:r>
          </w:p>
          <w:p w:rsidR="00E46A42" w:rsidRDefault="00E46A42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19C273F9" wp14:editId="53E7E4A2">
                  <wp:extent cx="3600000" cy="2100580"/>
                  <wp:effectExtent l="0" t="0" r="635" b="0"/>
                  <wp:docPr id="24" name="Grafico 2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9"/>
                    </a:graphicData>
                  </a:graphic>
                </wp:inline>
              </w:drawing>
            </w:r>
          </w:p>
          <w:p w:rsidR="00E46A42" w:rsidRDefault="00E46A42" w:rsidP="00127093">
            <w:pPr>
              <w:pStyle w:val="TabNoteInferiori"/>
            </w:pPr>
            <w:r w:rsidRPr="0029075E">
              <w:t>Fonte: Prometeia, Scenari per le economie locali, febbraio 2015.</w:t>
            </w:r>
          </w:p>
          <w:p w:rsidR="00E46A42" w:rsidRDefault="00E46A42" w:rsidP="00127093"/>
          <w:p w:rsidR="00E46A42" w:rsidRDefault="00E46A42" w:rsidP="00127093"/>
          <w:p w:rsidR="00E46A42" w:rsidRDefault="00E46A42" w:rsidP="00127093"/>
          <w:p w:rsidR="00E46A42" w:rsidRDefault="00E46A42" w:rsidP="00127093"/>
          <w:p w:rsidR="00E46A42" w:rsidRDefault="00E46A42" w:rsidP="00127093">
            <w:pPr>
              <w:pStyle w:val="FigTitolo"/>
              <w:ind w:left="1134" w:hanging="1134"/>
            </w:pPr>
            <w:r>
              <w:t>Previsione regionale: tasso di variazione del valore aggiunto settoriale.</w:t>
            </w:r>
          </w:p>
          <w:p w:rsidR="00E46A42" w:rsidRDefault="00E46A42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023AF824" wp14:editId="2B4E3606">
                  <wp:extent cx="3600450" cy="2100580"/>
                  <wp:effectExtent l="0" t="0" r="0" b="0"/>
                  <wp:docPr id="25" name="Grafico 2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0"/>
                    </a:graphicData>
                  </a:graphic>
                </wp:inline>
              </w:drawing>
            </w:r>
          </w:p>
          <w:p w:rsidR="00E46A42" w:rsidRDefault="00E46A42" w:rsidP="00127093">
            <w:pPr>
              <w:pStyle w:val="TabNoteInferiori"/>
            </w:pPr>
            <w:r w:rsidRPr="0029075E">
              <w:t>Fonte: Prometeia, Scenari per le economie locali, febbraio 2015.</w:t>
            </w:r>
          </w:p>
          <w:p w:rsidR="00E46A42" w:rsidRDefault="00E46A42" w:rsidP="00127093"/>
          <w:p w:rsidR="00E46A42" w:rsidRDefault="00E46A42" w:rsidP="00127093"/>
          <w:p w:rsidR="00E46A42" w:rsidRDefault="00E46A42" w:rsidP="00127093"/>
          <w:p w:rsidR="00E46A42" w:rsidRDefault="00E46A42" w:rsidP="00127093"/>
          <w:p w:rsidR="00E46A42" w:rsidRDefault="00E46A42" w:rsidP="00127093">
            <w:pPr>
              <w:pStyle w:val="FigTitolo"/>
              <w:ind w:left="1134" w:hanging="1134"/>
            </w:pPr>
            <w:r>
              <w:t>Previsione regionale: evoluzione della composizione del valore aggiunto.</w:t>
            </w:r>
          </w:p>
          <w:p w:rsidR="00E46A42" w:rsidRDefault="00E46A42" w:rsidP="00127093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27B5FD1" wp14:editId="0217CB64">
                  <wp:extent cx="3554083" cy="2104845"/>
                  <wp:effectExtent l="0" t="0" r="8890" b="0"/>
                  <wp:docPr id="1" name="Grafico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1"/>
                    </a:graphicData>
                  </a:graphic>
                </wp:inline>
              </w:drawing>
            </w:r>
          </w:p>
          <w:p w:rsidR="00E46A42" w:rsidRDefault="00E46A42" w:rsidP="00127093">
            <w:pPr>
              <w:pStyle w:val="TabNoteInferiori"/>
            </w:pPr>
            <w:r w:rsidRPr="0029075E">
              <w:t>Fonte: Prometeia, Scenari per le economie locali, febbraio 2015.</w:t>
            </w:r>
          </w:p>
        </w:tc>
      </w:tr>
    </w:tbl>
    <w:p w:rsidR="00DA0874" w:rsidRDefault="00DA0874" w:rsidP="00DA0874">
      <w:r>
        <w:t>Ancora figure</w:t>
      </w:r>
    </w:p>
    <w:p w:rsidR="00DA0874" w:rsidRDefault="00DA0874" w:rsidP="00DA0874"/>
    <w:p w:rsidR="00DA0874" w:rsidRDefault="00DA0874" w:rsidP="00DA0874">
      <w:pPr>
        <w:spacing w:line="240" w:lineRule="auto"/>
        <w:ind w:firstLine="0"/>
        <w:jc w:val="left"/>
      </w:pPr>
      <w:r>
        <w:br w:type="page"/>
      </w:r>
    </w:p>
    <w:p w:rsidR="00DA0874" w:rsidRDefault="00DA0874" w:rsidP="00DA0874"/>
    <w:tbl>
      <w:tblPr>
        <w:tblStyle w:val="Grigliatabella"/>
        <w:tblpPr w:topFromText="284" w:bottomFromText="284" w:horzAnchor="margin" w:tblpXSpec="center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E46A42" w:rsidTr="00127093">
        <w:tc>
          <w:tcPr>
            <w:tcW w:w="9356" w:type="dxa"/>
          </w:tcPr>
          <w:p w:rsidR="00E46A42" w:rsidRDefault="00E46A42" w:rsidP="00127093">
            <w:pPr>
              <w:pStyle w:val="FigTitolo"/>
              <w:ind w:left="1134" w:hanging="1134"/>
            </w:pPr>
            <w:r>
              <w:t>Previsione regionale, i settori : tassi di variazione e numeri indice del valore aggiunto (2000=100)</w:t>
            </w:r>
          </w:p>
          <w:p w:rsidR="00E46A42" w:rsidRDefault="00E46A42" w:rsidP="00127093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752114B3" wp14:editId="11240720">
                  <wp:extent cx="5904000" cy="2340000"/>
                  <wp:effectExtent l="0" t="0" r="1905" b="3175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32"/>
                    </a:graphicData>
                  </a:graphic>
                </wp:inline>
              </w:drawing>
            </w:r>
          </w:p>
          <w:p w:rsidR="00E46A42" w:rsidRDefault="00E46A42" w:rsidP="00127093">
            <w:pPr>
              <w:pStyle w:val="TabNoteInferiori"/>
            </w:pPr>
            <w:r w:rsidRPr="0029075E">
              <w:t>Fonte: Prometeia, Scenari per le economie locali, febbraio 2015.</w:t>
            </w:r>
          </w:p>
        </w:tc>
      </w:tr>
    </w:tbl>
    <w:p w:rsidR="00DA0874" w:rsidRDefault="00DA0874" w:rsidP="00DA0874">
      <w:r>
        <w:t>Ancora figura</w:t>
      </w:r>
    </w:p>
    <w:p w:rsidR="00DA0874" w:rsidRDefault="00DA0874" w:rsidP="00DA0874"/>
    <w:p w:rsidR="00DA0874" w:rsidRDefault="00DA0874" w:rsidP="00127093"/>
    <w:sectPr w:rsidR="00DA0874" w:rsidSect="00EC7F1C">
      <w:footerReference w:type="even" r:id="rId33"/>
      <w:footerReference w:type="default" r:id="rId34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C41" w:rsidRDefault="004C1C41">
      <w:r>
        <w:separator/>
      </w:r>
    </w:p>
    <w:p w:rsidR="004C1C41" w:rsidRDefault="004C1C41"/>
  </w:endnote>
  <w:endnote w:type="continuationSeparator" w:id="0">
    <w:p w:rsidR="004C1C41" w:rsidRDefault="004C1C41">
      <w:r>
        <w:continuationSeparator/>
      </w:r>
    </w:p>
    <w:p w:rsidR="004C1C41" w:rsidRDefault="004C1C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093" w:rsidRDefault="00127093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A697D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127093" w:rsidRDefault="00127093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093" w:rsidRDefault="00127093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A697D">
      <w:rPr>
        <w:rStyle w:val="Numeropagina"/>
        <w:noProof/>
      </w:rPr>
      <w:t>11</w:t>
    </w:r>
    <w:r>
      <w:rPr>
        <w:rStyle w:val="Numeropagina"/>
      </w:rPr>
      <w:fldChar w:fldCharType="end"/>
    </w:r>
  </w:p>
  <w:p w:rsidR="00127093" w:rsidRDefault="00127093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C41" w:rsidRDefault="004C1C41">
      <w:r>
        <w:separator/>
      </w:r>
    </w:p>
    <w:p w:rsidR="004C1C41" w:rsidRDefault="004C1C41"/>
  </w:footnote>
  <w:footnote w:type="continuationSeparator" w:id="0">
    <w:p w:rsidR="004C1C41" w:rsidRDefault="004C1C41">
      <w:r>
        <w:continuationSeparator/>
      </w:r>
    </w:p>
    <w:p w:rsidR="004C1C41" w:rsidRDefault="004C1C4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intFractionalCharacterWidth/>
  <w:mirrorMargin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2A"/>
    <w:rsid w:val="00006931"/>
    <w:rsid w:val="000355D6"/>
    <w:rsid w:val="00072096"/>
    <w:rsid w:val="000954C7"/>
    <w:rsid w:val="000A136A"/>
    <w:rsid w:val="000A47C0"/>
    <w:rsid w:val="000A7ACE"/>
    <w:rsid w:val="000B711D"/>
    <w:rsid w:val="000C35DD"/>
    <w:rsid w:val="000C3780"/>
    <w:rsid w:val="000C731A"/>
    <w:rsid w:val="000D3408"/>
    <w:rsid w:val="000D77D9"/>
    <w:rsid w:val="000E7C99"/>
    <w:rsid w:val="0011376D"/>
    <w:rsid w:val="00116309"/>
    <w:rsid w:val="001169DB"/>
    <w:rsid w:val="0012006D"/>
    <w:rsid w:val="00127093"/>
    <w:rsid w:val="0013784E"/>
    <w:rsid w:val="00145433"/>
    <w:rsid w:val="00151819"/>
    <w:rsid w:val="001629EC"/>
    <w:rsid w:val="0019786B"/>
    <w:rsid w:val="001A2E23"/>
    <w:rsid w:val="001B00BB"/>
    <w:rsid w:val="001C0D1B"/>
    <w:rsid w:val="001C7B8A"/>
    <w:rsid w:val="001D3F9B"/>
    <w:rsid w:val="001E2EB1"/>
    <w:rsid w:val="002112CA"/>
    <w:rsid w:val="00226FD7"/>
    <w:rsid w:val="0023194D"/>
    <w:rsid w:val="002624CD"/>
    <w:rsid w:val="00295CB4"/>
    <w:rsid w:val="00297826"/>
    <w:rsid w:val="002A4363"/>
    <w:rsid w:val="002A67C3"/>
    <w:rsid w:val="002B4A67"/>
    <w:rsid w:val="002C6450"/>
    <w:rsid w:val="002E0C1E"/>
    <w:rsid w:val="002F3B2B"/>
    <w:rsid w:val="003079C8"/>
    <w:rsid w:val="00311B8C"/>
    <w:rsid w:val="00315D2F"/>
    <w:rsid w:val="00326BDD"/>
    <w:rsid w:val="00343BBA"/>
    <w:rsid w:val="00370DD3"/>
    <w:rsid w:val="00374C2B"/>
    <w:rsid w:val="0037602F"/>
    <w:rsid w:val="00392CCA"/>
    <w:rsid w:val="003A4CBD"/>
    <w:rsid w:val="003A7986"/>
    <w:rsid w:val="003C6E43"/>
    <w:rsid w:val="003D4594"/>
    <w:rsid w:val="003F66B1"/>
    <w:rsid w:val="00403C5A"/>
    <w:rsid w:val="004045CE"/>
    <w:rsid w:val="00421C45"/>
    <w:rsid w:val="004233A0"/>
    <w:rsid w:val="004308CF"/>
    <w:rsid w:val="004727C6"/>
    <w:rsid w:val="00474F23"/>
    <w:rsid w:val="00475E64"/>
    <w:rsid w:val="0048031B"/>
    <w:rsid w:val="004821B2"/>
    <w:rsid w:val="004B0C54"/>
    <w:rsid w:val="004B73AB"/>
    <w:rsid w:val="004B7A63"/>
    <w:rsid w:val="004C08CA"/>
    <w:rsid w:val="004C1C41"/>
    <w:rsid w:val="004C2B43"/>
    <w:rsid w:val="004D12DD"/>
    <w:rsid w:val="004D2755"/>
    <w:rsid w:val="004D5DA3"/>
    <w:rsid w:val="0050153E"/>
    <w:rsid w:val="00507F77"/>
    <w:rsid w:val="00521119"/>
    <w:rsid w:val="00526DAE"/>
    <w:rsid w:val="00530A7E"/>
    <w:rsid w:val="00534A6F"/>
    <w:rsid w:val="00534D62"/>
    <w:rsid w:val="0053677E"/>
    <w:rsid w:val="00537422"/>
    <w:rsid w:val="00541FB1"/>
    <w:rsid w:val="00576C2B"/>
    <w:rsid w:val="005A3111"/>
    <w:rsid w:val="005A35E9"/>
    <w:rsid w:val="005B1DC4"/>
    <w:rsid w:val="005E16BE"/>
    <w:rsid w:val="005F729A"/>
    <w:rsid w:val="006017C5"/>
    <w:rsid w:val="0061438E"/>
    <w:rsid w:val="006232D9"/>
    <w:rsid w:val="00624FD5"/>
    <w:rsid w:val="00627304"/>
    <w:rsid w:val="0063075B"/>
    <w:rsid w:val="00646138"/>
    <w:rsid w:val="006648D0"/>
    <w:rsid w:val="006657DD"/>
    <w:rsid w:val="0067025A"/>
    <w:rsid w:val="006716DF"/>
    <w:rsid w:val="00675B59"/>
    <w:rsid w:val="00680B91"/>
    <w:rsid w:val="00693137"/>
    <w:rsid w:val="006A2313"/>
    <w:rsid w:val="006B24FA"/>
    <w:rsid w:val="006B25D9"/>
    <w:rsid w:val="006B7233"/>
    <w:rsid w:val="006C2096"/>
    <w:rsid w:val="006C2562"/>
    <w:rsid w:val="006D0B80"/>
    <w:rsid w:val="006E4C4F"/>
    <w:rsid w:val="006E5935"/>
    <w:rsid w:val="006F1520"/>
    <w:rsid w:val="006F328F"/>
    <w:rsid w:val="006F4958"/>
    <w:rsid w:val="00711AD4"/>
    <w:rsid w:val="00736E99"/>
    <w:rsid w:val="007413B2"/>
    <w:rsid w:val="007709BA"/>
    <w:rsid w:val="007767D7"/>
    <w:rsid w:val="00776C28"/>
    <w:rsid w:val="00782A90"/>
    <w:rsid w:val="00785036"/>
    <w:rsid w:val="007864F5"/>
    <w:rsid w:val="007B7E0D"/>
    <w:rsid w:val="007C32E7"/>
    <w:rsid w:val="007D4EF0"/>
    <w:rsid w:val="007E3254"/>
    <w:rsid w:val="007F4A37"/>
    <w:rsid w:val="008001F3"/>
    <w:rsid w:val="0080528A"/>
    <w:rsid w:val="0081512A"/>
    <w:rsid w:val="0083021E"/>
    <w:rsid w:val="00832B4E"/>
    <w:rsid w:val="00847E0A"/>
    <w:rsid w:val="008575CD"/>
    <w:rsid w:val="00863834"/>
    <w:rsid w:val="00865D33"/>
    <w:rsid w:val="00872B5F"/>
    <w:rsid w:val="008761FF"/>
    <w:rsid w:val="00885A3D"/>
    <w:rsid w:val="008917D4"/>
    <w:rsid w:val="008A59C8"/>
    <w:rsid w:val="008D2187"/>
    <w:rsid w:val="008E1F7C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4213"/>
    <w:rsid w:val="0096720D"/>
    <w:rsid w:val="00986FFE"/>
    <w:rsid w:val="00997F90"/>
    <w:rsid w:val="009A19E1"/>
    <w:rsid w:val="009B6044"/>
    <w:rsid w:val="009D0172"/>
    <w:rsid w:val="009D25AA"/>
    <w:rsid w:val="009F1A6A"/>
    <w:rsid w:val="009F7EE6"/>
    <w:rsid w:val="00A04E5E"/>
    <w:rsid w:val="00A206B3"/>
    <w:rsid w:val="00A226D3"/>
    <w:rsid w:val="00A56554"/>
    <w:rsid w:val="00A66BF2"/>
    <w:rsid w:val="00A7082C"/>
    <w:rsid w:val="00A72937"/>
    <w:rsid w:val="00A730F5"/>
    <w:rsid w:val="00A90F5A"/>
    <w:rsid w:val="00A97F64"/>
    <w:rsid w:val="00AA22DE"/>
    <w:rsid w:val="00AA3813"/>
    <w:rsid w:val="00AA704C"/>
    <w:rsid w:val="00AB3C50"/>
    <w:rsid w:val="00AC2994"/>
    <w:rsid w:val="00AD3962"/>
    <w:rsid w:val="00B0117D"/>
    <w:rsid w:val="00B141FF"/>
    <w:rsid w:val="00B21DBE"/>
    <w:rsid w:val="00B27432"/>
    <w:rsid w:val="00B300CF"/>
    <w:rsid w:val="00B3596A"/>
    <w:rsid w:val="00B37865"/>
    <w:rsid w:val="00B74896"/>
    <w:rsid w:val="00BA4E1E"/>
    <w:rsid w:val="00BA6EC0"/>
    <w:rsid w:val="00BB4979"/>
    <w:rsid w:val="00BC1241"/>
    <w:rsid w:val="00BC5420"/>
    <w:rsid w:val="00BD7C77"/>
    <w:rsid w:val="00BD7ED5"/>
    <w:rsid w:val="00BF4352"/>
    <w:rsid w:val="00C10760"/>
    <w:rsid w:val="00C35C72"/>
    <w:rsid w:val="00C40E72"/>
    <w:rsid w:val="00C6140B"/>
    <w:rsid w:val="00C663BE"/>
    <w:rsid w:val="00C91709"/>
    <w:rsid w:val="00CA7D73"/>
    <w:rsid w:val="00CB605B"/>
    <w:rsid w:val="00CC5909"/>
    <w:rsid w:val="00CD278F"/>
    <w:rsid w:val="00CF2079"/>
    <w:rsid w:val="00CF28D1"/>
    <w:rsid w:val="00D11BF6"/>
    <w:rsid w:val="00D32334"/>
    <w:rsid w:val="00D91F47"/>
    <w:rsid w:val="00DA0874"/>
    <w:rsid w:val="00DB7F10"/>
    <w:rsid w:val="00DD14C1"/>
    <w:rsid w:val="00DD43EA"/>
    <w:rsid w:val="00DD68E8"/>
    <w:rsid w:val="00DF3629"/>
    <w:rsid w:val="00DF42E6"/>
    <w:rsid w:val="00E01DC4"/>
    <w:rsid w:val="00E167FF"/>
    <w:rsid w:val="00E46A42"/>
    <w:rsid w:val="00E52DE6"/>
    <w:rsid w:val="00E534DF"/>
    <w:rsid w:val="00E55380"/>
    <w:rsid w:val="00E678F3"/>
    <w:rsid w:val="00E67F80"/>
    <w:rsid w:val="00E743E6"/>
    <w:rsid w:val="00E85754"/>
    <w:rsid w:val="00EA697D"/>
    <w:rsid w:val="00EC7F1C"/>
    <w:rsid w:val="00ED09E7"/>
    <w:rsid w:val="00ED3474"/>
    <w:rsid w:val="00ED3E7E"/>
    <w:rsid w:val="00EE115B"/>
    <w:rsid w:val="00EE2F9D"/>
    <w:rsid w:val="00F216E5"/>
    <w:rsid w:val="00F333A5"/>
    <w:rsid w:val="00F34C07"/>
    <w:rsid w:val="00F41BD9"/>
    <w:rsid w:val="00F516F4"/>
    <w:rsid w:val="00F56FF5"/>
    <w:rsid w:val="00F60684"/>
    <w:rsid w:val="00F61994"/>
    <w:rsid w:val="00F81090"/>
    <w:rsid w:val="00F81CE8"/>
    <w:rsid w:val="00F82353"/>
    <w:rsid w:val="00F858D8"/>
    <w:rsid w:val="00F91DDE"/>
    <w:rsid w:val="00F94364"/>
    <w:rsid w:val="00F97B57"/>
    <w:rsid w:val="00FA4C39"/>
    <w:rsid w:val="00FB0790"/>
    <w:rsid w:val="00FB4DBD"/>
    <w:rsid w:val="00FB5FA2"/>
    <w:rsid w:val="00FC1708"/>
    <w:rsid w:val="00FC2012"/>
    <w:rsid w:val="00FF03A4"/>
    <w:rsid w:val="00FF4238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NumInferiori">
    <w:name w:val="Tab Num Inferiori"/>
    <w:basedOn w:val="TabNumeri"/>
    <w:rsid w:val="00BF4352"/>
    <w:pPr>
      <w:spacing w:after="40"/>
    </w:p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Superiori">
    <w:name w:val="Tab Num Superiori"/>
    <w:basedOn w:val="TabNumeri"/>
    <w:rsid w:val="00BF4352"/>
    <w:pPr>
      <w:spacing w:before="40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abEtichSuperiori">
    <w:name w:val="Tab Etich Superiori"/>
    <w:basedOn w:val="TabEtichette"/>
    <w:rsid w:val="00BF4352"/>
    <w:pPr>
      <w:spacing w:before="40"/>
    </w:pPr>
  </w:style>
  <w:style w:type="paragraph" w:customStyle="1" w:styleId="TabEtichInferiori">
    <w:name w:val="Tab Etich Inferiori"/>
    <w:basedOn w:val="TabEtichette"/>
    <w:rsid w:val="00BF4352"/>
    <w:pPr>
      <w:spacing w:after="40"/>
    </w:p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semiHidden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AC2994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AC2994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NumInferiori">
    <w:name w:val="Tab Num Inferiori"/>
    <w:basedOn w:val="TabNumeri"/>
    <w:rsid w:val="00BF4352"/>
    <w:pPr>
      <w:spacing w:after="40"/>
    </w:p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Superiori">
    <w:name w:val="Tab Num Superiori"/>
    <w:basedOn w:val="TabNumeri"/>
    <w:rsid w:val="00BF4352"/>
    <w:pPr>
      <w:spacing w:before="40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abEtichSuperiori">
    <w:name w:val="Tab Etich Superiori"/>
    <w:basedOn w:val="TabEtichette"/>
    <w:rsid w:val="00BF4352"/>
    <w:pPr>
      <w:spacing w:before="40"/>
    </w:pPr>
  </w:style>
  <w:style w:type="paragraph" w:customStyle="1" w:styleId="TabEtichInferiori">
    <w:name w:val="Tab Etich Inferiori"/>
    <w:basedOn w:val="TabEtichette"/>
    <w:rsid w:val="00BF4352"/>
    <w:pPr>
      <w:spacing w:after="40"/>
    </w:p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semiHidden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AC2994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AC2994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8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emf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emf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emf"/><Relationship Id="rId32" Type="http://schemas.openxmlformats.org/officeDocument/2006/relationships/chart" Target="charts/chart5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chart" Target="charts/chart1.xml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hyperlink" Target="file:///C:\w\quadro_internazionale\qi_prev_imf_weo.xlsx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emf"/><Relationship Id="rId30" Type="http://schemas.openxmlformats.org/officeDocument/2006/relationships/chart" Target="charts/chart3.xml"/><Relationship Id="rId35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-0.36504152395059331</c:v>
                </c:pt>
                <c:pt idx="1">
                  <c:v>-0.16209244229474784</c:v>
                </c:pt>
                <c:pt idx="2">
                  <c:v>1.7733467972323336</c:v>
                </c:pt>
                <c:pt idx="3">
                  <c:v>0.92493998735445615</c:v>
                </c:pt>
                <c:pt idx="4">
                  <c:v>3.3801318156046589</c:v>
                </c:pt>
                <c:pt idx="5">
                  <c:v>2.1354798785130358</c:v>
                </c:pt>
                <c:pt idx="6">
                  <c:v>-1.125751640827799</c:v>
                </c:pt>
                <c:pt idx="7">
                  <c:v>-6.4590636187607302</c:v>
                </c:pt>
                <c:pt idx="8">
                  <c:v>1.7886018006975313</c:v>
                </c:pt>
                <c:pt idx="9">
                  <c:v>2.1866930237372184</c:v>
                </c:pt>
                <c:pt idx="10">
                  <c:v>-2.0362235248659322</c:v>
                </c:pt>
                <c:pt idx="11">
                  <c:v>-1.5190969403571453</c:v>
                </c:pt>
                <c:pt idx="12">
                  <c:v>0.21645892830992608</c:v>
                </c:pt>
                <c:pt idx="13">
                  <c:v>1.1516187223541641</c:v>
                </c:pt>
                <c:pt idx="14">
                  <c:v>1.7494460246191723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0.25077836403444298</c:v>
                </c:pt>
                <c:pt idx="1">
                  <c:v>0.15264920500865919</c:v>
                </c:pt>
                <c:pt idx="2">
                  <c:v>1.58326986096049</c:v>
                </c:pt>
                <c:pt idx="3">
                  <c:v>0.94961623840033038</c:v>
                </c:pt>
                <c:pt idx="4">
                  <c:v>2.0064049243990079</c:v>
                </c:pt>
                <c:pt idx="5">
                  <c:v>1.4741211632558926</c:v>
                </c:pt>
                <c:pt idx="6">
                  <c:v>-1.0498202316039595</c:v>
                </c:pt>
                <c:pt idx="7">
                  <c:v>-5.4813801646359188</c:v>
                </c:pt>
                <c:pt idx="8">
                  <c:v>1.7105818603710299</c:v>
                </c:pt>
                <c:pt idx="9">
                  <c:v>0.58681940193499038</c:v>
                </c:pt>
                <c:pt idx="10">
                  <c:v>-2.2675700983089464</c:v>
                </c:pt>
                <c:pt idx="11">
                  <c:v>-1.9250043127464367</c:v>
                </c:pt>
                <c:pt idx="12">
                  <c:v>-0.39851892616215023</c:v>
                </c:pt>
                <c:pt idx="13">
                  <c:v>0.73452580676418577</c:v>
                </c:pt>
                <c:pt idx="14">
                  <c:v>1.3818988137814792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1354752"/>
        <c:axId val="65022784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821985094850999E-2"/>
                  <c:y val="4.0165597856969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973069105691062E-2"/>
                  <c:y val="-3.0371569804452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100.59135963984527</c:v>
                </c:pt>
                <c:pt idx="1">
                  <c:v>100.42830864826755</c:v>
                </c:pt>
                <c:pt idx="2">
                  <c:v>102.20925084319619</c:v>
                </c:pt>
                <c:pt idx="3">
                  <c:v>103.15462507502032</c:v>
                </c:pt>
                <c:pt idx="4">
                  <c:v>106.64138737644879</c:v>
                </c:pt>
                <c:pt idx="5">
                  <c:v>108.91869274603999</c:v>
                </c:pt>
                <c:pt idx="6">
                  <c:v>107.69253877528325</c:v>
                </c:pt>
                <c:pt idx="7">
                  <c:v>100.73660918312913</c:v>
                </c:pt>
                <c:pt idx="8">
                  <c:v>102.53838598894022</c:v>
                </c:pt>
                <c:pt idx="9">
                  <c:v>104.78058572201311</c:v>
                </c:pt>
                <c:pt idx="10">
                  <c:v>102.64701878604917</c:v>
                </c:pt>
                <c:pt idx="11">
                  <c:v>101.08771106430247</c:v>
                </c:pt>
                <c:pt idx="12">
                  <c:v>101.3065244403253</c:v>
                </c:pt>
                <c:pt idx="13">
                  <c:v>102.47318934274638</c:v>
                </c:pt>
                <c:pt idx="14">
                  <c:v>104.26590248000353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12"/>
              <c:layout>
                <c:manualLayout>
                  <c:x val="-3.503573848238499E-2"/>
                  <c:y val="4.5591533830924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accent1">
                          <a:lumMod val="75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821985094850999E-2"/>
                  <c:y val="-4.6649377726319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0.110702765518390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accent1">
                        <a:lumMod val="75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102.02802897014202</c:v>
                </c:pt>
                <c:pt idx="1">
                  <c:v>102.18377394525095</c:v>
                </c:pt>
                <c:pt idx="2">
                  <c:v>103.8016188409181</c:v>
                </c:pt>
                <c:pt idx="3">
                  <c:v>104.78733586915388</c:v>
                </c:pt>
                <c:pt idx="4">
                  <c:v>106.88979413617912</c:v>
                </c:pt>
                <c:pt idx="5">
                  <c:v>108.46547921290119</c:v>
                </c:pt>
                <c:pt idx="6">
                  <c:v>107.32678666781796</c:v>
                </c:pt>
                <c:pt idx="7">
                  <c:v>101.44379747206708</c:v>
                </c:pt>
                <c:pt idx="8">
                  <c:v>103.17907667009578</c:v>
                </c:pt>
                <c:pt idx="9">
                  <c:v>103.78455151073327</c:v>
                </c:pt>
                <c:pt idx="10">
                  <c:v>101.43116405401184</c:v>
                </c:pt>
                <c:pt idx="11">
                  <c:v>99.478609771503201</c:v>
                </c:pt>
                <c:pt idx="12">
                  <c:v>99.08216868408077</c:v>
                </c:pt>
                <c:pt idx="13">
                  <c:v>99.809952782966988</c:v>
                </c:pt>
                <c:pt idx="14">
                  <c:v>101.18922533651065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915456"/>
        <c:axId val="65022208"/>
      </c:lineChart>
      <c:catAx>
        <c:axId val="80915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65022208"/>
        <c:crosses val="autoZero"/>
        <c:auto val="1"/>
        <c:lblAlgn val="ctr"/>
        <c:lblOffset val="100"/>
        <c:noMultiLvlLbl val="0"/>
      </c:catAx>
      <c:valAx>
        <c:axId val="65022208"/>
        <c:scaling>
          <c:orientation val="minMax"/>
          <c:max val="110"/>
          <c:min val="98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80915456"/>
        <c:crosses val="autoZero"/>
        <c:crossBetween val="between"/>
        <c:majorUnit val="2"/>
      </c:valAx>
      <c:valAx>
        <c:axId val="65022784"/>
        <c:scaling>
          <c:orientation val="minMax"/>
          <c:max val="4"/>
          <c:min val="-8"/>
        </c:scaling>
        <c:delete val="0"/>
        <c:axPos val="r"/>
        <c:numFmt formatCode="0.0" sourceLinked="1"/>
        <c:majorTickMark val="out"/>
        <c:minorTickMark val="none"/>
        <c:tickLblPos val="nextTo"/>
        <c:crossAx val="81354752"/>
        <c:crosses val="max"/>
        <c:crossBetween val="between"/>
        <c:majorUnit val="4"/>
      </c:valAx>
      <c:catAx>
        <c:axId val="81354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65022784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13704640921409245"/>
          <c:y val="0.74336818179876019"/>
          <c:w val="0.32733367208672082"/>
          <c:h val="0.1105888888421273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326210018239245E-2"/>
          <c:y val="3.6850964281638705E-2"/>
          <c:w val="0.92427002180283002"/>
          <c:h val="0.767136112769665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Foglio1!$A$2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0.0;[Red]\-0.0" sourceLinked="0"/>
            <c:txPr>
              <a:bodyPr rot="-5400000" vert="horz"/>
              <a:lstStyle/>
              <a:p>
                <a:pPr>
                  <a:defRPr sz="800"/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Foglio1!$B$1:$F$1</c:f>
              <c:strCache>
                <c:ptCount val="5"/>
                <c:pt idx="0">
                  <c:v>Prodotto interno lordo</c:v>
                </c:pt>
                <c:pt idx="1">
                  <c:v>Import</c:v>
                </c:pt>
                <c:pt idx="2">
                  <c:v>Export</c:v>
                </c:pt>
                <c:pt idx="3">
                  <c:v>Consumi famiglie</c:v>
                </c:pt>
                <c:pt idx="4">
                  <c:v>Investimenti fissi lordi</c:v>
                </c:pt>
              </c:strCache>
            </c:strRef>
          </c:cat>
          <c:val>
            <c:numRef>
              <c:f>Foglio1!$B$2:$F$2</c:f>
              <c:numCache>
                <c:formatCode>0.0;[Red]\-0.0</c:formatCode>
                <c:ptCount val="5"/>
                <c:pt idx="0">
                  <c:v>-1.5190969403571453</c:v>
                </c:pt>
                <c:pt idx="1">
                  <c:v>2.9639193949874576</c:v>
                </c:pt>
                <c:pt idx="2">
                  <c:v>2.7716023223693487</c:v>
                </c:pt>
                <c:pt idx="3">
                  <c:v>-2.0846801037068041</c:v>
                </c:pt>
                <c:pt idx="4">
                  <c:v>-4.6233853833702376</c:v>
                </c:pt>
              </c:numCache>
            </c:numRef>
          </c:val>
        </c:ser>
        <c:ser>
          <c:idx val="1"/>
          <c:order val="1"/>
          <c:tx>
            <c:strRef>
              <c:f>Foglio1!$A$3</c:f>
              <c:strCache>
                <c:ptCount val="1"/>
                <c:pt idx="0">
                  <c:v>2014</c:v>
                </c:pt>
              </c:strCache>
            </c:strRef>
          </c:tx>
          <c:spPr>
            <a:solidFill>
              <a:srgbClr val="A50021"/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0.0;[Red]\-0.0" sourceLinked="0"/>
            <c:txPr>
              <a:bodyPr rot="-5400000" vert="horz"/>
              <a:lstStyle/>
              <a:p>
                <a:pPr>
                  <a:defRPr/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Foglio1!$B$1:$F$1</c:f>
              <c:strCache>
                <c:ptCount val="5"/>
                <c:pt idx="0">
                  <c:v>Prodotto interno lordo</c:v>
                </c:pt>
                <c:pt idx="1">
                  <c:v>Import</c:v>
                </c:pt>
                <c:pt idx="2">
                  <c:v>Export</c:v>
                </c:pt>
                <c:pt idx="3">
                  <c:v>Consumi famiglie</c:v>
                </c:pt>
                <c:pt idx="4">
                  <c:v>Investimenti fissi lordi</c:v>
                </c:pt>
              </c:strCache>
            </c:strRef>
          </c:cat>
          <c:val>
            <c:numRef>
              <c:f>Foglio1!$B$3:$F$3</c:f>
              <c:numCache>
                <c:formatCode>0.0;[Red]\-0.0</c:formatCode>
                <c:ptCount val="5"/>
                <c:pt idx="0">
                  <c:v>0.21645892830992608</c:v>
                </c:pt>
                <c:pt idx="1">
                  <c:v>7.9789996622361192</c:v>
                </c:pt>
                <c:pt idx="2">
                  <c:v>4.6890131339795138</c:v>
                </c:pt>
                <c:pt idx="3">
                  <c:v>0.57076182109172535</c:v>
                </c:pt>
                <c:pt idx="4">
                  <c:v>-1.2500075348950368</c:v>
                </c:pt>
              </c:numCache>
            </c:numRef>
          </c:val>
        </c:ser>
        <c:ser>
          <c:idx val="2"/>
          <c:order val="2"/>
          <c:tx>
            <c:strRef>
              <c:f>Foglio1!$A$4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0.0;[Red]\-0.0" sourceLinked="0"/>
            <c:txPr>
              <a:bodyPr rot="-5400000" vert="horz"/>
              <a:lstStyle/>
              <a:p>
                <a:pPr>
                  <a:defRPr/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Foglio1!$B$1:$F$1</c:f>
              <c:strCache>
                <c:ptCount val="5"/>
                <c:pt idx="0">
                  <c:v>Prodotto interno lordo</c:v>
                </c:pt>
                <c:pt idx="1">
                  <c:v>Import</c:v>
                </c:pt>
                <c:pt idx="2">
                  <c:v>Export</c:v>
                </c:pt>
                <c:pt idx="3">
                  <c:v>Consumi famiglie</c:v>
                </c:pt>
                <c:pt idx="4">
                  <c:v>Investimenti fissi lordi</c:v>
                </c:pt>
              </c:strCache>
            </c:strRef>
          </c:cat>
          <c:val>
            <c:numRef>
              <c:f>Foglio1!$B$4:$F$4</c:f>
              <c:numCache>
                <c:formatCode>0.0;[Red]\-0.0</c:formatCode>
                <c:ptCount val="5"/>
                <c:pt idx="0">
                  <c:v>1.1516187223541641</c:v>
                </c:pt>
                <c:pt idx="1">
                  <c:v>3.6030761535185585</c:v>
                </c:pt>
                <c:pt idx="2">
                  <c:v>4.9759089711398197</c:v>
                </c:pt>
                <c:pt idx="3">
                  <c:v>1.8152404158430446</c:v>
                </c:pt>
                <c:pt idx="4">
                  <c:v>0.31229135905050942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0913920"/>
        <c:axId val="65024512"/>
      </c:barChart>
      <c:catAx>
        <c:axId val="8091392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low"/>
        <c:crossAx val="65024512"/>
        <c:crosses val="autoZero"/>
        <c:auto val="1"/>
        <c:lblAlgn val="ctr"/>
        <c:lblOffset val="300"/>
        <c:noMultiLvlLbl val="0"/>
      </c:catAx>
      <c:valAx>
        <c:axId val="65024512"/>
        <c:scaling>
          <c:orientation val="minMax"/>
        </c:scaling>
        <c:delete val="0"/>
        <c:axPos val="l"/>
        <c:numFmt formatCode="0;[Red]\-0" sourceLinked="0"/>
        <c:majorTickMark val="out"/>
        <c:minorTickMark val="none"/>
        <c:tickLblPos val="nextTo"/>
        <c:crossAx val="80913920"/>
        <c:crosses val="autoZero"/>
        <c:crossBetween val="between"/>
      </c:valAx>
      <c:spPr>
        <a:ln>
          <a:noFill/>
        </a:ln>
      </c:spPr>
    </c:plotArea>
    <c:legend>
      <c:legendPos val="r"/>
      <c:layout>
        <c:manualLayout>
          <c:xMode val="edge"/>
          <c:yMode val="edge"/>
          <c:x val="0.28728285288491479"/>
          <c:y val="0.55339525273971935"/>
          <c:w val="0.11241668902192391"/>
          <c:h val="0.26872144979796614"/>
        </c:manualLayout>
      </c:layout>
      <c:overlay val="1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159838071088571E-2"/>
          <c:y val="6.70133963000695E-2"/>
          <c:w val="0.93029132746118604"/>
          <c:h val="0.8044395945072083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0.0;[Red]\-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Foglio1!$A$2:$A$4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Foglio1!$B$2:$B$4</c:f>
              <c:numCache>
                <c:formatCode>0.0;[Red]\-0.0</c:formatCode>
                <c:ptCount val="3"/>
                <c:pt idx="0">
                  <c:v>-3.3508454607727334</c:v>
                </c:pt>
                <c:pt idx="1">
                  <c:v>8.2716033420981994E-2</c:v>
                </c:pt>
                <c:pt idx="2">
                  <c:v>1.2391168120558183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0.0;[Red]\-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Foglio1!$A$2:$A$4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Foglio1!$C$2:$C$4</c:f>
              <c:numCache>
                <c:formatCode>0.0;[Red]\-0.0</c:formatCode>
                <c:ptCount val="3"/>
                <c:pt idx="0">
                  <c:v>4.3442455078390507</c:v>
                </c:pt>
                <c:pt idx="1">
                  <c:v>-2.4732910150497389</c:v>
                </c:pt>
                <c:pt idx="2">
                  <c:v>-0.88285688160839593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0.0;[Red]\-0.0" sourceLinked="0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Foglio1!$A$2:$A$4</c:f>
              <c:numCache>
                <c:formatCode>General</c:formatCode>
                <c:ptCount val="3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</c:numCache>
            </c:numRef>
          </c:cat>
          <c:val>
            <c:numRef>
              <c:f>Foglio1!$D$2:$D$4</c:f>
              <c:numCache>
                <c:formatCode>0.0;[Red]\-0.0</c:formatCode>
                <c:ptCount val="3"/>
                <c:pt idx="0">
                  <c:v>-1.3344091177382333</c:v>
                </c:pt>
                <c:pt idx="1">
                  <c:v>0.54647360839445991</c:v>
                </c:pt>
                <c:pt idx="2">
                  <c:v>1.2127846082233384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0927744"/>
        <c:axId val="81248256"/>
      </c:barChart>
      <c:catAx>
        <c:axId val="8092774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low"/>
        <c:crossAx val="81248256"/>
        <c:crosses val="autoZero"/>
        <c:auto val="1"/>
        <c:lblAlgn val="ctr"/>
        <c:lblOffset val="200"/>
        <c:noMultiLvlLbl val="0"/>
      </c:catAx>
      <c:valAx>
        <c:axId val="81248256"/>
        <c:scaling>
          <c:orientation val="minMax"/>
        </c:scaling>
        <c:delete val="0"/>
        <c:axPos val="l"/>
        <c:numFmt formatCode="0;[Red]\-0" sourceLinked="0"/>
        <c:majorTickMark val="out"/>
        <c:minorTickMark val="none"/>
        <c:tickLblPos val="nextTo"/>
        <c:crossAx val="80927744"/>
        <c:crosses val="autoZero"/>
        <c:crossBetween val="between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2447103407624894"/>
          <c:y val="0"/>
          <c:w val="0.50343640844375437"/>
          <c:h val="8.957381659932203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9706564457220625E-2"/>
          <c:y val="9.5801635738700736E-2"/>
          <c:w val="0.91029343554277942"/>
          <c:h val="0.8058812328023689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Agricoltura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Foglio1!$A$2:$A$5</c:f>
              <c:numCache>
                <c:formatCode>General</c:formatCode>
                <c:ptCount val="4"/>
                <c:pt idx="0">
                  <c:v>2002</c:v>
                </c:pt>
                <c:pt idx="1">
                  <c:v>2006</c:v>
                </c:pt>
                <c:pt idx="2">
                  <c:v>2010</c:v>
                </c:pt>
                <c:pt idx="3">
                  <c:v>2014</c:v>
                </c:pt>
              </c:numCache>
            </c:numRef>
          </c:cat>
          <c:val>
            <c:numRef>
              <c:f>Foglio1!$B$2:$B$5</c:f>
              <c:numCache>
                <c:formatCode>0.0</c:formatCode>
                <c:ptCount val="4"/>
                <c:pt idx="0">
                  <c:v>2.1513178053059954</c:v>
                </c:pt>
                <c:pt idx="1">
                  <c:v>1.981618821247193</c:v>
                </c:pt>
                <c:pt idx="2">
                  <c:v>2.2404605789960708</c:v>
                </c:pt>
                <c:pt idx="3">
                  <c:v>2.3865335356961945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Foglio1!$A$2:$A$5</c:f>
              <c:numCache>
                <c:formatCode>General</c:formatCode>
                <c:ptCount val="4"/>
                <c:pt idx="0">
                  <c:v>2002</c:v>
                </c:pt>
                <c:pt idx="1">
                  <c:v>2006</c:v>
                </c:pt>
                <c:pt idx="2">
                  <c:v>2010</c:v>
                </c:pt>
                <c:pt idx="3">
                  <c:v>2014</c:v>
                </c:pt>
              </c:numCache>
            </c:numRef>
          </c:cat>
          <c:val>
            <c:numRef>
              <c:f>Foglio1!$C$2:$C$5</c:f>
              <c:numCache>
                <c:formatCode>0.0</c:formatCode>
                <c:ptCount val="4"/>
                <c:pt idx="0">
                  <c:v>25.342453847455033</c:v>
                </c:pt>
                <c:pt idx="1">
                  <c:v>25.646704061979797</c:v>
                </c:pt>
                <c:pt idx="2">
                  <c:v>24.50864875560292</c:v>
                </c:pt>
                <c:pt idx="3">
                  <c:v>24.130376393137638</c:v>
                </c:pt>
              </c:numCache>
            </c:numRef>
          </c:val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Foglio1!$A$2:$A$5</c:f>
              <c:numCache>
                <c:formatCode>General</c:formatCode>
                <c:ptCount val="4"/>
                <c:pt idx="0">
                  <c:v>2002</c:v>
                </c:pt>
                <c:pt idx="1">
                  <c:v>2006</c:v>
                </c:pt>
                <c:pt idx="2">
                  <c:v>2010</c:v>
                </c:pt>
                <c:pt idx="3">
                  <c:v>2014</c:v>
                </c:pt>
              </c:numCache>
            </c:numRef>
          </c:cat>
          <c:val>
            <c:numRef>
              <c:f>Foglio1!$D$2:$D$5</c:f>
              <c:numCache>
                <c:formatCode>0.0</c:formatCode>
                <c:ptCount val="4"/>
                <c:pt idx="0">
                  <c:v>5.5598874769790596</c:v>
                </c:pt>
                <c:pt idx="1">
                  <c:v>6.7734687396880933</c:v>
                </c:pt>
                <c:pt idx="2">
                  <c:v>5.7127459132147456</c:v>
                </c:pt>
                <c:pt idx="3">
                  <c:v>5.407381941067543</c:v>
                </c:pt>
              </c:numCache>
            </c:numRef>
          </c:val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Foglio1!$A$2:$A$5</c:f>
              <c:numCache>
                <c:formatCode>General</c:formatCode>
                <c:ptCount val="4"/>
                <c:pt idx="0">
                  <c:v>2002</c:v>
                </c:pt>
                <c:pt idx="1">
                  <c:v>2006</c:v>
                </c:pt>
                <c:pt idx="2">
                  <c:v>2010</c:v>
                </c:pt>
                <c:pt idx="3">
                  <c:v>2014</c:v>
                </c:pt>
              </c:numCache>
            </c:numRef>
          </c:cat>
          <c:val>
            <c:numRef>
              <c:f>Foglio1!$E$2:$E$5</c:f>
              <c:numCache>
                <c:formatCode>0.0</c:formatCode>
                <c:ptCount val="4"/>
                <c:pt idx="0">
                  <c:v>66.946340870259917</c:v>
                </c:pt>
                <c:pt idx="1">
                  <c:v>65.598208377084916</c:v>
                </c:pt>
                <c:pt idx="2">
                  <c:v>67.53814475218627</c:v>
                </c:pt>
                <c:pt idx="3">
                  <c:v>68.075708130098633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100"/>
        <c:serLines/>
        <c:axId val="80914944"/>
        <c:axId val="81250560"/>
      </c:barChart>
      <c:catAx>
        <c:axId val="80914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1250560"/>
        <c:crosses val="autoZero"/>
        <c:auto val="1"/>
        <c:lblAlgn val="ctr"/>
        <c:lblOffset val="100"/>
        <c:noMultiLvlLbl val="0"/>
      </c:catAx>
      <c:valAx>
        <c:axId val="81250560"/>
        <c:scaling>
          <c:orientation val="minMax"/>
        </c:scaling>
        <c:delete val="0"/>
        <c:axPos val="l"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700"/>
            </a:pPr>
            <a:endParaRPr lang="it-IT"/>
          </a:p>
        </c:txPr>
        <c:crossAx val="80914944"/>
        <c:crosses val="autoZero"/>
        <c:crossBetween val="between"/>
        <c:majorUnit val="0.2"/>
      </c:valAx>
      <c:spPr>
        <a:ln>
          <a:noFill/>
        </a:ln>
      </c:spPr>
    </c:plotArea>
    <c:legend>
      <c:legendPos val="t"/>
      <c:layout>
        <c:manualLayout>
          <c:xMode val="edge"/>
          <c:yMode val="edge"/>
          <c:x val="0.1470074574011582"/>
          <c:y val="0"/>
          <c:w val="0.70800316143432773"/>
          <c:h val="8.9573816599322037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1.8259028494353791</c:v>
                </c:pt>
                <c:pt idx="1">
                  <c:v>-0.85928256388660973</c:v>
                </c:pt>
                <c:pt idx="2">
                  <c:v>2.0036778495507335</c:v>
                </c:pt>
                <c:pt idx="3">
                  <c:v>-9.1111315470415732E-2</c:v>
                </c:pt>
                <c:pt idx="4">
                  <c:v>6.8120193957769803</c:v>
                </c:pt>
                <c:pt idx="5">
                  <c:v>4.0143029150767839</c:v>
                </c:pt>
                <c:pt idx="6">
                  <c:v>-3.4070284016499586</c:v>
                </c:pt>
                <c:pt idx="7">
                  <c:v>-18.100103109264019</c:v>
                </c:pt>
                <c:pt idx="8">
                  <c:v>11.898385986293025</c:v>
                </c:pt>
                <c:pt idx="9">
                  <c:v>5.6540032823709341</c:v>
                </c:pt>
                <c:pt idx="10">
                  <c:v>-4.0361280767230774</c:v>
                </c:pt>
                <c:pt idx="11">
                  <c:v>-3.3508454607727334</c:v>
                </c:pt>
                <c:pt idx="12">
                  <c:v>8.2716033420981994E-2</c:v>
                </c:pt>
                <c:pt idx="13">
                  <c:v>1.2391168120558183</c:v>
                </c:pt>
                <c:pt idx="14">
                  <c:v>1.6428456941343095</c:v>
                </c:pt>
              </c:numCache>
            </c:numRef>
          </c:val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-1.324081934761856</c:v>
                </c:pt>
                <c:pt idx="1">
                  <c:v>4.8181421858412676</c:v>
                </c:pt>
                <c:pt idx="2">
                  <c:v>10.80484613659458</c:v>
                </c:pt>
                <c:pt idx="3">
                  <c:v>6.508130800905465</c:v>
                </c:pt>
                <c:pt idx="4">
                  <c:v>5.0210603721452474</c:v>
                </c:pt>
                <c:pt idx="5">
                  <c:v>1.6269909818041217</c:v>
                </c:pt>
                <c:pt idx="6">
                  <c:v>-5.9279716916781684</c:v>
                </c:pt>
                <c:pt idx="7">
                  <c:v>-7.475209383947556</c:v>
                </c:pt>
                <c:pt idx="8">
                  <c:v>-8.1320445028401185</c:v>
                </c:pt>
                <c:pt idx="9">
                  <c:v>-7.5652449566150466</c:v>
                </c:pt>
                <c:pt idx="10">
                  <c:v>0.2353484005218176</c:v>
                </c:pt>
                <c:pt idx="11">
                  <c:v>4.3442455078390507</c:v>
                </c:pt>
                <c:pt idx="12">
                  <c:v>-2.4732910150497389</c:v>
                </c:pt>
                <c:pt idx="13">
                  <c:v>-0.88285688160839593</c:v>
                </c:pt>
                <c:pt idx="14">
                  <c:v>2.0204296779166242</c:v>
                </c:pt>
              </c:numCache>
            </c:numRef>
          </c:val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-0.38270764383107059</c:v>
                </c:pt>
                <c:pt idx="1">
                  <c:v>-8.0645485495745017E-2</c:v>
                </c:pt>
                <c:pt idx="2">
                  <c:v>0.39797003091859295</c:v>
                </c:pt>
                <c:pt idx="3">
                  <c:v>1.3373605561607604</c:v>
                </c:pt>
                <c:pt idx="4">
                  <c:v>2.7851182428143106</c:v>
                </c:pt>
                <c:pt idx="5">
                  <c:v>1.8272624995899323</c:v>
                </c:pt>
                <c:pt idx="6">
                  <c:v>0.61203593760950081</c:v>
                </c:pt>
                <c:pt idx="7">
                  <c:v>-2.7862152529817941</c:v>
                </c:pt>
                <c:pt idx="8">
                  <c:v>-0.39680924187845967</c:v>
                </c:pt>
                <c:pt idx="9">
                  <c:v>2.2854996025121643</c:v>
                </c:pt>
                <c:pt idx="10">
                  <c:v>-1.0530210230293768</c:v>
                </c:pt>
                <c:pt idx="11">
                  <c:v>-1.3344091177382333</c:v>
                </c:pt>
                <c:pt idx="12">
                  <c:v>0.54647360839445991</c:v>
                </c:pt>
                <c:pt idx="13">
                  <c:v>1.2127846082233384</c:v>
                </c:pt>
                <c:pt idx="14">
                  <c:v>1.8708813411293823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1385472"/>
        <c:axId val="112173056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824716973301942E-2"/>
                  <c:y val="-4.0176070257160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038142013468068E-2"/>
                  <c:y val="8.4654323229949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100.03557944637053</c:v>
                </c:pt>
                <c:pt idx="1">
                  <c:v>99.175991154504942</c:v>
                </c:pt>
                <c:pt idx="2">
                  <c:v>101.16315852134015</c:v>
                </c:pt>
                <c:pt idx="3">
                  <c:v>101.07098743683993</c:v>
                </c:pt>
                <c:pt idx="4">
                  <c:v>107.95596270454078</c:v>
                </c:pt>
                <c:pt idx="5">
                  <c:v>112.28964206238837</c:v>
                </c:pt>
                <c:pt idx="6">
                  <c:v>108.46390206521171</c:v>
                </c:pt>
                <c:pt idx="7">
                  <c:v>88.831823955077255</c:v>
                </c:pt>
                <c:pt idx="8">
                  <c:v>99.401377247916642</c:v>
                </c:pt>
                <c:pt idx="9">
                  <c:v>105.02153438023576</c:v>
                </c:pt>
                <c:pt idx="10">
                  <c:v>100.78273074450969</c:v>
                </c:pt>
                <c:pt idx="11">
                  <c:v>97.405657186114482</c:v>
                </c:pt>
                <c:pt idx="12">
                  <c:v>97.486227282066466</c:v>
                </c:pt>
                <c:pt idx="13">
                  <c:v>98.694195513757492</c:v>
                </c:pt>
                <c:pt idx="14">
                  <c:v>100.31558885511576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673485393222343E-2"/>
                  <c:y val="-1.9524994925159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821985094850999E-2"/>
                  <c:y val="-4.6649377726319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821985094851006E-2"/>
                  <c:y val="0.110702765518390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108.69064886916586</c:v>
                </c:pt>
                <c:pt idx="1">
                  <c:v>113.92751887439574</c:v>
                </c:pt>
                <c:pt idx="2">
                  <c:v>126.23721199601394</c:v>
                </c:pt>
                <c:pt idx="3">
                  <c:v>134.45289487213086</c:v>
                </c:pt>
                <c:pt idx="4">
                  <c:v>141.20385589575753</c:v>
                </c:pt>
                <c:pt idx="5">
                  <c:v>143.5012298971412</c:v>
                </c:pt>
                <c:pt idx="6">
                  <c:v>134.99451761162868</c:v>
                </c:pt>
                <c:pt idx="7">
                  <c:v>124.90339476330946</c:v>
                </c:pt>
                <c:pt idx="8">
                  <c:v>114.74619511559905</c:v>
                </c:pt>
                <c:pt idx="9">
                  <c:v>106.06536437670854</c:v>
                </c:pt>
                <c:pt idx="10">
                  <c:v>106.31498751527677</c:v>
                </c:pt>
                <c:pt idx="11">
                  <c:v>110.93357158456881</c:v>
                </c:pt>
                <c:pt idx="12">
                  <c:v>108.1898615258939</c:v>
                </c:pt>
                <c:pt idx="13">
                  <c:v>107.23469988820996</c:v>
                </c:pt>
                <c:pt idx="14">
                  <c:v>109.40130158977617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cat>
            <c:numRef>
              <c:f>Foglio1!$A$2:$A$16</c:f>
              <c:numCache>
                <c:formatCode>General</c:formatCode>
                <c:ptCount val="15"/>
                <c:pt idx="0">
                  <c:v>2002</c:v>
                </c:pt>
                <c:pt idx="1">
                  <c:v>2003</c:v>
                </c:pt>
                <c:pt idx="2">
                  <c:v>2004</c:v>
                </c:pt>
                <c:pt idx="3">
                  <c:v>2005</c:v>
                </c:pt>
                <c:pt idx="4">
                  <c:v>2006</c:v>
                </c:pt>
                <c:pt idx="5">
                  <c:v>2007</c:v>
                </c:pt>
                <c:pt idx="6">
                  <c:v>2008</c:v>
                </c:pt>
                <c:pt idx="7">
                  <c:v>2009</c:v>
                </c:pt>
                <c:pt idx="8">
                  <c:v>2010</c:v>
                </c:pt>
                <c:pt idx="9">
                  <c:v>2011</c:v>
                </c:pt>
                <c:pt idx="10">
                  <c:v>2012</c:v>
                </c:pt>
                <c:pt idx="11">
                  <c:v>2013</c:v>
                </c:pt>
                <c:pt idx="12">
                  <c:v>2014</c:v>
                </c:pt>
                <c:pt idx="13">
                  <c:v>2015</c:v>
                </c:pt>
                <c:pt idx="14">
                  <c:v>2016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101.66329048887471</c:v>
                </c:pt>
                <c:pt idx="1">
                  <c:v>101.58130363468901</c:v>
                </c:pt>
                <c:pt idx="2">
                  <c:v>101.98556678017148</c:v>
                </c:pt>
                <c:pt idx="3">
                  <c:v>103.34948152326649</c:v>
                </c:pt>
                <c:pt idx="4">
                  <c:v>106.22788678702499</c:v>
                </c:pt>
                <c:pt idx="5">
                  <c:v>108.16894912639114</c:v>
                </c:pt>
                <c:pt idx="6">
                  <c:v>108.83098196837919</c:v>
                </c:pt>
                <c:pt idx="7">
                  <c:v>105.79871654880634</c:v>
                </c:pt>
                <c:pt idx="8">
                  <c:v>105.37889746375188</c:v>
                </c:pt>
                <c:pt idx="9">
                  <c:v>107.78733174641762</c:v>
                </c:pt>
                <c:pt idx="10">
                  <c:v>106.65230848296544</c:v>
                </c:pt>
                <c:pt idx="11">
                  <c:v>105.22913035429045</c:v>
                </c:pt>
                <c:pt idx="12">
                  <c:v>105.80417978001964</c:v>
                </c:pt>
                <c:pt idx="13">
                  <c:v>107.08735658724866</c:v>
                </c:pt>
                <c:pt idx="14">
                  <c:v>109.09083396034818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1384448"/>
        <c:axId val="81254592"/>
      </c:lineChart>
      <c:catAx>
        <c:axId val="8138444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low"/>
        <c:spPr>
          <a:ln>
            <a:noFill/>
          </a:ln>
        </c:spPr>
        <c:crossAx val="81254592"/>
        <c:crosses val="autoZero"/>
        <c:auto val="1"/>
        <c:lblAlgn val="ctr"/>
        <c:lblOffset val="100"/>
        <c:noMultiLvlLbl val="0"/>
      </c:catAx>
      <c:valAx>
        <c:axId val="81254592"/>
        <c:scaling>
          <c:orientation val="minMax"/>
          <c:max val="150"/>
          <c:min val="80"/>
        </c:scaling>
        <c:delete val="0"/>
        <c:axPos val="l"/>
        <c:numFmt formatCode="0" sourceLinked="0"/>
        <c:majorTickMark val="out"/>
        <c:minorTickMark val="none"/>
        <c:tickLblPos val="nextTo"/>
        <c:crossAx val="81384448"/>
        <c:crossesAt val="1"/>
        <c:crossBetween val="between"/>
        <c:majorUnit val="10"/>
        <c:minorUnit val="5"/>
      </c:valAx>
      <c:valAx>
        <c:axId val="112173056"/>
        <c:scaling>
          <c:orientation val="minMax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81385472"/>
        <c:crosses val="max"/>
        <c:crossBetween val="between"/>
      </c:valAx>
      <c:catAx>
        <c:axId val="81385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112173056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1069290830417737"/>
          <c:y val="0.77050524044060298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70011-8E85-4F90-9D44-F28AFBFC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Guaitoli</dc:creator>
  <cp:lastModifiedBy>Mauro Guaitoli</cp:lastModifiedBy>
  <cp:revision>9</cp:revision>
  <cp:lastPrinted>2012-03-30T09:15:00Z</cp:lastPrinted>
  <dcterms:created xsi:type="dcterms:W3CDTF">2015-03-05T13:56:00Z</dcterms:created>
  <dcterms:modified xsi:type="dcterms:W3CDTF">2015-03-05T17:09:00Z</dcterms:modified>
</cp:coreProperties>
</file>