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1FB1" w:rsidRDefault="00BD7C77" w:rsidP="00072096">
      <w:pPr>
        <w:pStyle w:val="Titolo1"/>
      </w:pPr>
      <w:r>
        <w:t>X</w:t>
      </w:r>
      <w:r w:rsidR="00FF4238">
        <w:t>.</w:t>
      </w:r>
      <w:r w:rsidR="00072096">
        <w:tab/>
        <w:t>Scenario economico</w:t>
      </w:r>
    </w:p>
    <w:p w:rsidR="008B2D4A" w:rsidRPr="00B9650C" w:rsidRDefault="008B2D4A" w:rsidP="00B9650C">
      <w:pPr>
        <w:pStyle w:val="Titolo2"/>
      </w:pPr>
      <w:bookmarkStart w:id="0" w:name="_Toc473905058"/>
      <w:r>
        <w:t>X.1.</w:t>
      </w:r>
      <w:r>
        <w:tab/>
        <w:t>Il quadro internazionale</w:t>
      </w:r>
      <w:bookmarkEnd w:id="0"/>
    </w:p>
    <w:p w:rsidR="008B2D4A" w:rsidRPr="00B9650C" w:rsidRDefault="008B2D4A" w:rsidP="00432351">
      <w:pPr>
        <w:pStyle w:val="Titolo4"/>
      </w:pPr>
      <w:r w:rsidRPr="00B9650C">
        <w:t>L’economia mondiale</w:t>
      </w:r>
    </w:p>
    <w:tbl>
      <w:tblPr>
        <w:tblpPr w:topFromText="425" w:bottomFromText="425" w:horzAnchor="margin" w:tblpXSpec="center" w:tblpYSpec="bottom"/>
        <w:tblOverlap w:val="never"/>
        <w:tblW w:w="0" w:type="auto"/>
        <w:tblLayout w:type="fixed"/>
        <w:tblCellMar>
          <w:left w:w="0" w:type="dxa"/>
          <w:right w:w="0" w:type="dxa"/>
        </w:tblCellMar>
        <w:tblLook w:val="04A0" w:firstRow="1" w:lastRow="0" w:firstColumn="1" w:lastColumn="0" w:noHBand="0" w:noVBand="1"/>
      </w:tblPr>
      <w:tblGrid>
        <w:gridCol w:w="9356"/>
      </w:tblGrid>
      <w:tr w:rsidR="00566C64" w:rsidRPr="002B550F" w:rsidTr="00EE7CE2">
        <w:tc>
          <w:tcPr>
            <w:tcW w:w="9356" w:type="dxa"/>
            <w:shd w:val="clear" w:color="auto" w:fill="auto"/>
          </w:tcPr>
          <w:p w:rsidR="00A8353A" w:rsidRPr="002B550F" w:rsidRDefault="00A8353A" w:rsidP="00EE7CE2">
            <w:pPr>
              <w:pStyle w:val="FigTitolo"/>
            </w:pPr>
            <w:r w:rsidRPr="002B550F">
              <w:t xml:space="preserve">La previsione del Fondo Monetario Internazionale, tasso di variazione del </w:t>
            </w:r>
            <w:r>
              <w:t>p</w:t>
            </w:r>
            <w:r w:rsidRPr="002B550F">
              <w:t>rodotto interno lordo</w:t>
            </w:r>
          </w:p>
        </w:tc>
      </w:tr>
      <w:tr w:rsidR="00566C64" w:rsidRPr="002B550F" w:rsidTr="00EE7CE2">
        <w:tc>
          <w:tcPr>
            <w:tcW w:w="9356" w:type="dxa"/>
            <w:shd w:val="clear" w:color="auto" w:fill="auto"/>
          </w:tcPr>
          <w:p w:rsidR="00A8353A" w:rsidRPr="00674C12" w:rsidRDefault="00E65941" w:rsidP="00EE7CE2">
            <w:pPr>
              <w:pStyle w:val="Figure"/>
            </w:pPr>
            <w:r>
              <w:rPr>
                <w:noProof/>
              </w:rPr>
              <w:drawing>
                <wp:inline distT="0" distB="0" distL="0" distR="0">
                  <wp:extent cx="5897880" cy="2167255"/>
                  <wp:effectExtent l="0" t="0" r="7620" b="4445"/>
                  <wp:docPr id="39"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97880" cy="2167255"/>
                          </a:xfrm>
                          <a:prstGeom prst="rect">
                            <a:avLst/>
                          </a:prstGeom>
                          <a:noFill/>
                          <a:ln>
                            <a:noFill/>
                          </a:ln>
                        </pic:spPr>
                      </pic:pic>
                    </a:graphicData>
                  </a:graphic>
                </wp:inline>
              </w:drawing>
            </w:r>
          </w:p>
        </w:tc>
      </w:tr>
      <w:tr w:rsidR="00566C64" w:rsidRPr="00EE7CE2" w:rsidTr="00EE7CE2">
        <w:tc>
          <w:tcPr>
            <w:tcW w:w="9356" w:type="dxa"/>
            <w:shd w:val="clear" w:color="auto" w:fill="auto"/>
          </w:tcPr>
          <w:p w:rsidR="00A8353A" w:rsidRPr="00F43471" w:rsidRDefault="00A8353A" w:rsidP="00EE7CE2">
            <w:pPr>
              <w:pStyle w:val="TabNoteSuperiori"/>
            </w:pPr>
            <w:r>
              <w:t xml:space="preserve">Adv. Eco. : Economie sviluppate. </w:t>
            </w:r>
            <w:r w:rsidRPr="00F43471">
              <w:t>Em.Dev. : economie emergent e in sviluppo.</w:t>
            </w:r>
          </w:p>
          <w:p w:rsidR="00A8353A" w:rsidRPr="00EE7CE2" w:rsidRDefault="00A8353A" w:rsidP="00EE7CE2">
            <w:pPr>
              <w:pStyle w:val="TabNoteInferiori"/>
              <w:rPr>
                <w:lang w:val="en-US"/>
              </w:rPr>
            </w:pPr>
            <w:r w:rsidRPr="00EE7CE2">
              <w:rPr>
                <w:lang w:val="en-US"/>
              </w:rPr>
              <w:t>IMF, World Economic Outlook Update, 16</w:t>
            </w:r>
            <w:r w:rsidRPr="00762F0B">
              <w:rPr>
                <w:lang w:val="en-US"/>
              </w:rPr>
              <w:t xml:space="preserve"> </w:t>
            </w:r>
            <w:proofErr w:type="spellStart"/>
            <w:r w:rsidRPr="00762F0B">
              <w:rPr>
                <w:lang w:val="en-US"/>
              </w:rPr>
              <w:t>gennaio</w:t>
            </w:r>
            <w:proofErr w:type="spellEnd"/>
            <w:r w:rsidRPr="00EE7CE2">
              <w:rPr>
                <w:lang w:val="en-US"/>
              </w:rPr>
              <w:t xml:space="preserve"> </w:t>
            </w:r>
            <w:r w:rsidRPr="00EE7CE2">
              <w:rPr>
                <w:lang w:val="en-US"/>
              </w:rPr>
              <w:fldChar w:fldCharType="begin"/>
            </w:r>
            <w:r w:rsidRPr="00EE7CE2">
              <w:rPr>
                <w:lang w:val="en-US"/>
              </w:rPr>
              <w:instrText xml:space="preserve"> DATE  \@ "yyyy"  \* MERGEFORMAT </w:instrText>
            </w:r>
            <w:r w:rsidRPr="00EE7CE2">
              <w:rPr>
                <w:lang w:val="en-US"/>
              </w:rPr>
              <w:fldChar w:fldCharType="separate"/>
            </w:r>
            <w:r w:rsidR="00762F0B">
              <w:rPr>
                <w:noProof/>
                <w:lang w:val="en-US"/>
              </w:rPr>
              <w:t>2017</w:t>
            </w:r>
            <w:r w:rsidRPr="00EE7CE2">
              <w:rPr>
                <w:lang w:val="en-US"/>
              </w:rPr>
              <w:fldChar w:fldCharType="end"/>
            </w:r>
          </w:p>
        </w:tc>
      </w:tr>
    </w:tbl>
    <w:p w:rsidR="008B2D4A" w:rsidRPr="008B2D4A" w:rsidRDefault="008B2D4A" w:rsidP="00644ADF">
      <w:r w:rsidRPr="008B2D4A">
        <w:t>Le prospettive dell’economia mondiale si presentano circondate da un grado di incertezza eccezionalmente elevato, con un notevole aumento della componente geopolitica. Negli ultimi cinque anni la crescita mondiale è rimasta bloccata poco al di sopra del 3 per cento. La mancata crescita ha ridotto sia la spesa corrente, sia le aspettative di crescita futura. L’andamento degli investimenti privati è stato debole, gli investimenti pubblici sono stati rallentati. La crescita del commercio mondiale si è ridotta a un lumicino. Ne sono risultati un minore aumento dell’occupazione, della produttività e dei salari, che hanno frenato la domanda. Per ridare fiato alla crescita, affrontare le diverse questioni sociali e ridurre la diseguaglianza, è opportuno impiegare in modo coordinato la politica fiscale a fianco di quella monetaria e attuare riforme strutturali. La fase di politiche monetarie accomodanti e tassi di interesse eccezionalmente bassi che tende a chiudersi offre ancora una finestra di opportunità per politiche fiscali espansive che permettano di riavviare la crescita e di mantenere invariato il rapporto tra debito e prodotto interno lordo, che si è andato stabilizzando negli ultimi anni.</w:t>
      </w:r>
    </w:p>
    <w:p w:rsidR="008B2D4A" w:rsidRPr="008B2D4A" w:rsidRDefault="008B2D4A" w:rsidP="00B4057B">
      <w:r w:rsidRPr="008B2D4A">
        <w:t>In particolare, nel 2016, la crescita globale si è ulteriormente ridotta e dovrebbe risultare tra il 3,0 e il 3,1 per cento, la più bassa dal 2009. Le attese sono per una sua più solida ripresa nel 2017.</w:t>
      </w:r>
    </w:p>
    <w:p w:rsidR="008B2D4A" w:rsidRPr="008B2D4A" w:rsidRDefault="008B2D4A" w:rsidP="003B33B2">
      <w:r w:rsidRPr="008B2D4A">
        <w:t>La crescita delle economie avanzate è rallentata nel 2016, ma dovrebbe riprendersi parzialmente nel 2017, in particolare grazie alle attese di uno stimolo di politica fiscale negli Stati Uniti. Al contrario si è interrotta tra il 2015 e il 2016 la pluriennale tendenza a una riduzione della crescita per le economie emergenti, giunte al termine di un ciclo negativo per le materie prime, e il 2016 ha aperto una fase di lieve accelerazione, che si manifesterà nel 2017, ma che dovrebbe restare al di sotto del trend degli anni precedenti. La crescita resta fragile, sostenuta dalla ripresa delle materie prime e della domanda delle economie avanzate. Le differenze tra gli andamenti del ciclo economico nei singoli paesi, avanzati o emergenti, restano ampie. Una stabilizzazione dell’espansione delle economie avanzate al 2 per cento e la graduale accelerazione della crescita delle economie emergenti dovrebbe portare la crescita globale attorno al 3,4 per cento nel 2017.</w:t>
      </w:r>
    </w:p>
    <w:p w:rsidR="008B2D4A" w:rsidRPr="008B2D4A" w:rsidRDefault="008B2D4A" w:rsidP="00B4057B">
      <w:r w:rsidRPr="008B2D4A">
        <w:t xml:space="preserve">Lo sviluppo del commercio mondiale è apparso estremamente debole nel 2016, ultimo risultato di una fase negativa, che ci si attende possa essere giunta al termine, cui hanno contribuito il rallentamento della crescita economica, la riduzione dei prezzi delle materie prime e degli investimenti a queste connessi. La ripresa della crescita delle economie avanzate, delle quotazioni delle materie prime e del commercio estero cinese in corso dovrebbe contribuire a un deciso rilancio del commercio mondiale nel </w:t>
      </w:r>
      <w:r w:rsidRPr="008B2D4A">
        <w:lastRenderedPageBreak/>
        <w:t>2017.</w:t>
      </w:r>
    </w:p>
    <w:p w:rsidR="008B2D4A" w:rsidRPr="008B2D4A" w:rsidRDefault="008B2D4A" w:rsidP="00B4057B">
      <w:r w:rsidRPr="008B2D4A">
        <w:t>Al di là di ampie oscillazioni di breve termine, i mercati finanziari hanno mostrato capacità di resistenza a fronte di una serie di shock “inattesi”, dalla Brexit, all’esito delle elezioni Statunitensi, e hanno ritrovato un deciso slancio positivo dallo scorso novembre. I mercati azionari ne sono stati trascinati al rialzo e l’aumento dei rendimenti delle obbligazioni statali ha permesso un recupero della profittabilità del sistema bancario.</w:t>
      </w:r>
    </w:p>
    <w:p w:rsidR="008B2D4A" w:rsidRPr="008B2D4A" w:rsidRDefault="008B2D4A" w:rsidP="00B4057B">
      <w:r w:rsidRPr="008B2D4A">
        <w:t xml:space="preserve">Le politiche monetarie delle principali banche centrali delle economie avanzate sono rimaste accomodanti lo scorso anno. Dopo l’intervento di marzo 2016, la Bce ha annunciato un’ulteriore estensione del programma di acquisti di titoli, da aprile fino a dicembre 2017, con una riduzione dell’importo mensile da 80 a 60 miliardi di euro. La banca centrale del Giappone si è impegnata a aumentare le aspettative di inflazione di lungo termine, portando l’inflazione oltre il suo obbiettivo di breve e pilotando la curva dei rendimenti per fissare a zero i tassi decennali. Nel breve termine, però, la traiettoria della politica monetaria statunitense è destinata a divergere. Dopo il rialzo del dicembre 2015, la Fed ha atteso fino a dicembre 2016, prima di riavviare la fase di normalizzazione dei tassi di intervento, che si prospetta proseguirà con tre ulteriori rialzi nel 2017, processo che risulta rafforzato dall’attesa di un intervento di politica fiscale. Nel corso del 2016, i tassi sui titoli di stato decennali a rating più elevato sono divenuti negativi in Giappone e in Europa e solo nella fase finale dell’anno sono tornati positivi per l’effetto dell’attesa ripresa dei tassi di intervento statunitensi. </w:t>
      </w:r>
    </w:p>
    <w:tbl>
      <w:tblPr>
        <w:tblpPr w:topFromText="425" w:bottomFromText="425" w:horzAnchor="margin" w:tblpXSpec="center" w:tblpYSpec="top"/>
        <w:tblOverlap w:val="never"/>
        <w:tblW w:w="9358" w:type="dxa"/>
        <w:tblInd w:w="8" w:type="dxa"/>
        <w:tblLayout w:type="fixed"/>
        <w:tblCellMar>
          <w:left w:w="0" w:type="dxa"/>
          <w:right w:w="0" w:type="dxa"/>
        </w:tblCellMar>
        <w:tblLook w:val="0000" w:firstRow="0" w:lastRow="0" w:firstColumn="0" w:lastColumn="0" w:noHBand="0" w:noVBand="0"/>
      </w:tblPr>
      <w:tblGrid>
        <w:gridCol w:w="2552"/>
        <w:gridCol w:w="510"/>
        <w:gridCol w:w="510"/>
        <w:gridCol w:w="510"/>
        <w:gridCol w:w="510"/>
        <w:gridCol w:w="170"/>
        <w:gridCol w:w="2552"/>
        <w:gridCol w:w="510"/>
        <w:gridCol w:w="510"/>
        <w:gridCol w:w="510"/>
        <w:gridCol w:w="514"/>
      </w:tblGrid>
      <w:tr w:rsidR="005207AD" w:rsidRPr="00BC2A0C" w:rsidTr="00FE6F3C">
        <w:trPr>
          <w:cantSplit/>
        </w:trPr>
        <w:tc>
          <w:tcPr>
            <w:tcW w:w="9358" w:type="dxa"/>
            <w:gridSpan w:val="11"/>
            <w:tcBorders>
              <w:bottom w:val="single" w:sz="4" w:space="0" w:color="800000"/>
            </w:tcBorders>
          </w:tcPr>
          <w:p w:rsidR="005207AD" w:rsidRPr="00BC2A0C" w:rsidRDefault="005207AD" w:rsidP="00FE6F3C">
            <w:pPr>
              <w:pStyle w:val="TabTitolo"/>
            </w:pPr>
            <w:r w:rsidRPr="00BC2A0C">
              <w:t xml:space="preserve">La previsione del Fondo Monetario Internazionale </w:t>
            </w:r>
            <w:r>
              <w:t xml:space="preserve">prodotto e commercio mondiale, tassi e prezzi </w:t>
            </w:r>
            <w:r w:rsidRPr="00BC2A0C">
              <w:t>(a)(b)</w:t>
            </w:r>
          </w:p>
        </w:tc>
      </w:tr>
      <w:tr w:rsidR="005207AD" w:rsidRPr="00BC2A0C" w:rsidTr="00FE6F3C">
        <w:trPr>
          <w:cantSplit/>
        </w:trPr>
        <w:tc>
          <w:tcPr>
            <w:tcW w:w="2552" w:type="dxa"/>
            <w:tcBorders>
              <w:top w:val="single" w:sz="4" w:space="0" w:color="800000"/>
              <w:bottom w:val="single" w:sz="4" w:space="0" w:color="800000"/>
            </w:tcBorders>
          </w:tcPr>
          <w:p w:rsidR="005207AD" w:rsidRPr="00BC2A0C" w:rsidRDefault="005207AD" w:rsidP="00FE6F3C">
            <w:pPr>
              <w:pStyle w:val="TabIntestazioni"/>
            </w:pPr>
          </w:p>
        </w:tc>
        <w:tc>
          <w:tcPr>
            <w:tcW w:w="510" w:type="dxa"/>
            <w:tcBorders>
              <w:top w:val="single" w:sz="4" w:space="0" w:color="800000"/>
              <w:bottom w:val="single" w:sz="4" w:space="0" w:color="800000"/>
            </w:tcBorders>
          </w:tcPr>
          <w:p w:rsidR="005207AD" w:rsidRPr="003234B1" w:rsidRDefault="005207AD" w:rsidP="00FE6F3C">
            <w:pPr>
              <w:pStyle w:val="TabIntestazioni"/>
            </w:pPr>
            <w:r w:rsidRPr="003234B1">
              <w:t>2015</w:t>
            </w:r>
          </w:p>
        </w:tc>
        <w:tc>
          <w:tcPr>
            <w:tcW w:w="510" w:type="dxa"/>
            <w:tcBorders>
              <w:top w:val="single" w:sz="4" w:space="0" w:color="800000"/>
              <w:bottom w:val="single" w:sz="4" w:space="0" w:color="800000"/>
            </w:tcBorders>
          </w:tcPr>
          <w:p w:rsidR="005207AD" w:rsidRPr="003234B1" w:rsidRDefault="005207AD" w:rsidP="00FE6F3C">
            <w:pPr>
              <w:pStyle w:val="TabIntestazioni"/>
            </w:pPr>
            <w:r w:rsidRPr="003234B1">
              <w:t>2016</w:t>
            </w:r>
          </w:p>
        </w:tc>
        <w:tc>
          <w:tcPr>
            <w:tcW w:w="510" w:type="dxa"/>
            <w:tcBorders>
              <w:top w:val="single" w:sz="4" w:space="0" w:color="800000"/>
              <w:bottom w:val="single" w:sz="4" w:space="0" w:color="800000"/>
            </w:tcBorders>
          </w:tcPr>
          <w:p w:rsidR="005207AD" w:rsidRPr="003234B1" w:rsidRDefault="005207AD" w:rsidP="00FE6F3C">
            <w:pPr>
              <w:pStyle w:val="TabIntestazioni"/>
            </w:pPr>
            <w:r w:rsidRPr="003234B1">
              <w:t>2017</w:t>
            </w:r>
          </w:p>
        </w:tc>
        <w:tc>
          <w:tcPr>
            <w:tcW w:w="510" w:type="dxa"/>
            <w:tcBorders>
              <w:top w:val="single" w:sz="4" w:space="0" w:color="800000"/>
              <w:bottom w:val="single" w:sz="4" w:space="0" w:color="800000"/>
            </w:tcBorders>
          </w:tcPr>
          <w:p w:rsidR="005207AD" w:rsidRPr="003234B1" w:rsidRDefault="005207AD" w:rsidP="00FE6F3C">
            <w:pPr>
              <w:pStyle w:val="TabIntestazioni"/>
            </w:pPr>
            <w:r w:rsidRPr="003234B1">
              <w:t>2018</w:t>
            </w:r>
          </w:p>
        </w:tc>
        <w:tc>
          <w:tcPr>
            <w:tcW w:w="170" w:type="dxa"/>
            <w:tcBorders>
              <w:top w:val="single" w:sz="4" w:space="0" w:color="800000"/>
              <w:bottom w:val="single" w:sz="4" w:space="0" w:color="800000"/>
            </w:tcBorders>
          </w:tcPr>
          <w:p w:rsidR="005207AD" w:rsidRPr="00BC2A0C" w:rsidRDefault="005207AD" w:rsidP="00FE6F3C">
            <w:pPr>
              <w:pStyle w:val="TabIntestazioni"/>
            </w:pPr>
          </w:p>
        </w:tc>
        <w:tc>
          <w:tcPr>
            <w:tcW w:w="2552" w:type="dxa"/>
            <w:tcBorders>
              <w:top w:val="single" w:sz="4" w:space="0" w:color="800000"/>
              <w:bottom w:val="single" w:sz="4" w:space="0" w:color="800000"/>
            </w:tcBorders>
          </w:tcPr>
          <w:p w:rsidR="005207AD" w:rsidRPr="00BC2A0C" w:rsidRDefault="005207AD" w:rsidP="00FE6F3C">
            <w:pPr>
              <w:pStyle w:val="TabIntestazioni"/>
            </w:pPr>
          </w:p>
        </w:tc>
        <w:tc>
          <w:tcPr>
            <w:tcW w:w="510" w:type="dxa"/>
            <w:tcBorders>
              <w:top w:val="single" w:sz="4" w:space="0" w:color="800000"/>
              <w:bottom w:val="single" w:sz="4" w:space="0" w:color="800000"/>
            </w:tcBorders>
          </w:tcPr>
          <w:p w:rsidR="005207AD" w:rsidRPr="003234B1" w:rsidRDefault="005207AD" w:rsidP="00FE6F3C">
            <w:pPr>
              <w:pStyle w:val="TabIntestazioni"/>
            </w:pPr>
            <w:r w:rsidRPr="003234B1">
              <w:t>2015</w:t>
            </w:r>
          </w:p>
        </w:tc>
        <w:tc>
          <w:tcPr>
            <w:tcW w:w="510" w:type="dxa"/>
            <w:tcBorders>
              <w:top w:val="single" w:sz="4" w:space="0" w:color="800000"/>
              <w:bottom w:val="single" w:sz="4" w:space="0" w:color="800000"/>
            </w:tcBorders>
          </w:tcPr>
          <w:p w:rsidR="005207AD" w:rsidRPr="003234B1" w:rsidRDefault="005207AD" w:rsidP="00FE6F3C">
            <w:pPr>
              <w:pStyle w:val="TabIntestazioni"/>
            </w:pPr>
            <w:r w:rsidRPr="003234B1">
              <w:t>2016</w:t>
            </w:r>
          </w:p>
        </w:tc>
        <w:tc>
          <w:tcPr>
            <w:tcW w:w="510" w:type="dxa"/>
            <w:tcBorders>
              <w:top w:val="single" w:sz="4" w:space="0" w:color="800000"/>
              <w:bottom w:val="single" w:sz="4" w:space="0" w:color="800000"/>
            </w:tcBorders>
          </w:tcPr>
          <w:p w:rsidR="005207AD" w:rsidRPr="003234B1" w:rsidRDefault="005207AD" w:rsidP="00FE6F3C">
            <w:pPr>
              <w:pStyle w:val="TabIntestazioni"/>
            </w:pPr>
            <w:r w:rsidRPr="003234B1">
              <w:t>2017</w:t>
            </w:r>
          </w:p>
        </w:tc>
        <w:tc>
          <w:tcPr>
            <w:tcW w:w="514" w:type="dxa"/>
            <w:tcBorders>
              <w:top w:val="single" w:sz="4" w:space="0" w:color="800000"/>
              <w:bottom w:val="single" w:sz="4" w:space="0" w:color="800000"/>
            </w:tcBorders>
          </w:tcPr>
          <w:p w:rsidR="005207AD" w:rsidRPr="003234B1" w:rsidRDefault="005207AD" w:rsidP="00FE6F3C">
            <w:pPr>
              <w:pStyle w:val="TabIntestazioni"/>
            </w:pPr>
            <w:r w:rsidRPr="003234B1">
              <w:t>2018</w:t>
            </w:r>
          </w:p>
        </w:tc>
      </w:tr>
      <w:tr w:rsidR="005207AD" w:rsidRPr="00BC2A0C" w:rsidTr="00FE6F3C">
        <w:trPr>
          <w:cantSplit/>
          <w:trHeight w:hRule="exact" w:val="113"/>
        </w:trPr>
        <w:tc>
          <w:tcPr>
            <w:tcW w:w="2552" w:type="dxa"/>
            <w:tcBorders>
              <w:top w:val="single" w:sz="4" w:space="0" w:color="800000"/>
            </w:tcBorders>
          </w:tcPr>
          <w:p w:rsidR="005207AD" w:rsidRPr="00BC2A0C" w:rsidRDefault="005207AD" w:rsidP="00FE6F3C">
            <w:pPr>
              <w:pStyle w:val="TabEtichette"/>
            </w:pPr>
          </w:p>
        </w:tc>
        <w:tc>
          <w:tcPr>
            <w:tcW w:w="510" w:type="dxa"/>
            <w:tcBorders>
              <w:top w:val="single" w:sz="4" w:space="0" w:color="800000"/>
            </w:tcBorders>
          </w:tcPr>
          <w:p w:rsidR="005207AD" w:rsidRPr="003234B1" w:rsidRDefault="005207AD" w:rsidP="00FE6F3C">
            <w:pPr>
              <w:pStyle w:val="TabNumeri"/>
            </w:pPr>
          </w:p>
        </w:tc>
        <w:tc>
          <w:tcPr>
            <w:tcW w:w="510" w:type="dxa"/>
            <w:tcBorders>
              <w:top w:val="single" w:sz="4" w:space="0" w:color="800000"/>
            </w:tcBorders>
          </w:tcPr>
          <w:p w:rsidR="005207AD" w:rsidRPr="003234B1" w:rsidRDefault="005207AD" w:rsidP="00FE6F3C">
            <w:pPr>
              <w:pStyle w:val="TabNumeri"/>
            </w:pPr>
          </w:p>
        </w:tc>
        <w:tc>
          <w:tcPr>
            <w:tcW w:w="510" w:type="dxa"/>
            <w:tcBorders>
              <w:top w:val="single" w:sz="4" w:space="0" w:color="800000"/>
            </w:tcBorders>
          </w:tcPr>
          <w:p w:rsidR="005207AD" w:rsidRPr="003234B1" w:rsidRDefault="005207AD" w:rsidP="00FE6F3C">
            <w:pPr>
              <w:pStyle w:val="TabNumeri"/>
            </w:pPr>
          </w:p>
        </w:tc>
        <w:tc>
          <w:tcPr>
            <w:tcW w:w="510" w:type="dxa"/>
            <w:tcBorders>
              <w:top w:val="single" w:sz="4" w:space="0" w:color="800000"/>
            </w:tcBorders>
          </w:tcPr>
          <w:p w:rsidR="005207AD" w:rsidRPr="003234B1" w:rsidRDefault="005207AD" w:rsidP="00FE6F3C">
            <w:pPr>
              <w:pStyle w:val="TabNumeri"/>
            </w:pPr>
          </w:p>
        </w:tc>
        <w:tc>
          <w:tcPr>
            <w:tcW w:w="170" w:type="dxa"/>
            <w:tcBorders>
              <w:top w:val="single" w:sz="4" w:space="0" w:color="800000"/>
            </w:tcBorders>
          </w:tcPr>
          <w:p w:rsidR="005207AD" w:rsidRPr="00BC2A0C" w:rsidRDefault="005207AD" w:rsidP="00FE6F3C">
            <w:pPr>
              <w:pStyle w:val="TabEtichette"/>
            </w:pPr>
          </w:p>
        </w:tc>
        <w:tc>
          <w:tcPr>
            <w:tcW w:w="2552" w:type="dxa"/>
            <w:tcBorders>
              <w:top w:val="single" w:sz="4" w:space="0" w:color="800000"/>
            </w:tcBorders>
          </w:tcPr>
          <w:p w:rsidR="005207AD" w:rsidRPr="00BC2A0C" w:rsidRDefault="005207AD" w:rsidP="00FE6F3C">
            <w:pPr>
              <w:pStyle w:val="TabEtichette"/>
            </w:pPr>
          </w:p>
        </w:tc>
        <w:tc>
          <w:tcPr>
            <w:tcW w:w="510" w:type="dxa"/>
            <w:tcBorders>
              <w:top w:val="single" w:sz="4" w:space="0" w:color="800000"/>
            </w:tcBorders>
          </w:tcPr>
          <w:p w:rsidR="005207AD" w:rsidRPr="00BC2A0C" w:rsidRDefault="005207AD" w:rsidP="00FE6F3C">
            <w:pPr>
              <w:pStyle w:val="TabEtichette"/>
            </w:pPr>
          </w:p>
        </w:tc>
        <w:tc>
          <w:tcPr>
            <w:tcW w:w="510" w:type="dxa"/>
            <w:tcBorders>
              <w:top w:val="single" w:sz="4" w:space="0" w:color="800000"/>
            </w:tcBorders>
          </w:tcPr>
          <w:p w:rsidR="005207AD" w:rsidRPr="00BC2A0C" w:rsidRDefault="005207AD" w:rsidP="00FE6F3C">
            <w:pPr>
              <w:pStyle w:val="TabEtichette"/>
            </w:pPr>
          </w:p>
        </w:tc>
        <w:tc>
          <w:tcPr>
            <w:tcW w:w="510" w:type="dxa"/>
            <w:tcBorders>
              <w:top w:val="single" w:sz="4" w:space="0" w:color="800000"/>
            </w:tcBorders>
          </w:tcPr>
          <w:p w:rsidR="005207AD" w:rsidRPr="00BC2A0C" w:rsidRDefault="005207AD" w:rsidP="00FE6F3C">
            <w:pPr>
              <w:pStyle w:val="TabEtichette"/>
            </w:pPr>
          </w:p>
        </w:tc>
        <w:tc>
          <w:tcPr>
            <w:tcW w:w="514" w:type="dxa"/>
            <w:tcBorders>
              <w:top w:val="single" w:sz="4" w:space="0" w:color="800000"/>
            </w:tcBorders>
          </w:tcPr>
          <w:p w:rsidR="005207AD" w:rsidRPr="00BC2A0C" w:rsidRDefault="005207AD" w:rsidP="00FE6F3C">
            <w:pPr>
              <w:pStyle w:val="TabEtichette"/>
            </w:pPr>
          </w:p>
        </w:tc>
      </w:tr>
      <w:tr w:rsidR="00566C64" w:rsidRPr="00BC2A0C" w:rsidTr="00EE7CE2">
        <w:trPr>
          <w:cantSplit/>
          <w:trHeight w:val="255"/>
        </w:trPr>
        <w:tc>
          <w:tcPr>
            <w:tcW w:w="2552" w:type="dxa"/>
            <w:shd w:val="clear" w:color="auto" w:fill="F2F2F2"/>
          </w:tcPr>
          <w:p w:rsidR="005207AD" w:rsidRPr="007C2916" w:rsidRDefault="005207AD" w:rsidP="00FE6F3C">
            <w:pPr>
              <w:pStyle w:val="TabEtichette"/>
            </w:pPr>
            <w:r w:rsidRPr="007C2916">
              <w:t>Prodotto mondiale</w:t>
            </w:r>
          </w:p>
        </w:tc>
        <w:tc>
          <w:tcPr>
            <w:tcW w:w="510" w:type="dxa"/>
            <w:shd w:val="clear" w:color="auto" w:fill="F2F2F2"/>
          </w:tcPr>
          <w:p w:rsidR="005207AD" w:rsidRPr="003234B1" w:rsidRDefault="005207AD" w:rsidP="00FE6F3C">
            <w:pPr>
              <w:pStyle w:val="TabNumeri"/>
            </w:pPr>
            <w:r w:rsidRPr="003234B1">
              <w:t>3,2</w:t>
            </w:r>
          </w:p>
        </w:tc>
        <w:tc>
          <w:tcPr>
            <w:tcW w:w="510" w:type="dxa"/>
            <w:shd w:val="clear" w:color="auto" w:fill="F2F2F2"/>
          </w:tcPr>
          <w:p w:rsidR="005207AD" w:rsidRPr="003234B1" w:rsidRDefault="005207AD" w:rsidP="00FE6F3C">
            <w:pPr>
              <w:pStyle w:val="TabNumeri"/>
            </w:pPr>
            <w:r w:rsidRPr="003234B1">
              <w:t>3,1</w:t>
            </w:r>
          </w:p>
        </w:tc>
        <w:tc>
          <w:tcPr>
            <w:tcW w:w="510" w:type="dxa"/>
            <w:shd w:val="clear" w:color="auto" w:fill="F2F2F2"/>
          </w:tcPr>
          <w:p w:rsidR="005207AD" w:rsidRPr="003234B1" w:rsidRDefault="005207AD" w:rsidP="00FE6F3C">
            <w:pPr>
              <w:pStyle w:val="TabNumeri"/>
            </w:pPr>
            <w:r w:rsidRPr="003234B1">
              <w:t>3,4</w:t>
            </w:r>
          </w:p>
        </w:tc>
        <w:tc>
          <w:tcPr>
            <w:tcW w:w="510" w:type="dxa"/>
            <w:shd w:val="clear" w:color="auto" w:fill="F2F2F2"/>
          </w:tcPr>
          <w:p w:rsidR="005207AD" w:rsidRPr="003234B1" w:rsidRDefault="005207AD" w:rsidP="00FE6F3C">
            <w:pPr>
              <w:pStyle w:val="TabNumeri"/>
            </w:pPr>
            <w:r w:rsidRPr="003234B1">
              <w:t>3,6</w:t>
            </w:r>
          </w:p>
        </w:tc>
        <w:tc>
          <w:tcPr>
            <w:tcW w:w="170" w:type="dxa"/>
            <w:shd w:val="clear" w:color="auto" w:fill="F2F2F2"/>
          </w:tcPr>
          <w:p w:rsidR="005207AD" w:rsidRPr="00BC2A0C" w:rsidRDefault="005207AD" w:rsidP="00FE6F3C">
            <w:pPr>
              <w:pStyle w:val="TabEtichette"/>
            </w:pPr>
          </w:p>
        </w:tc>
        <w:tc>
          <w:tcPr>
            <w:tcW w:w="2552" w:type="dxa"/>
            <w:shd w:val="clear" w:color="auto" w:fill="F2F2F2"/>
          </w:tcPr>
          <w:p w:rsidR="005207AD" w:rsidRPr="00BC2A0C" w:rsidRDefault="005207AD" w:rsidP="00FE6F3C">
            <w:pPr>
              <w:pStyle w:val="TabEtichette"/>
            </w:pPr>
            <w:r w:rsidRPr="00BC2A0C">
              <w:t>Prezzi materie prime (in Usd)</w:t>
            </w:r>
          </w:p>
        </w:tc>
        <w:tc>
          <w:tcPr>
            <w:tcW w:w="510" w:type="dxa"/>
            <w:shd w:val="clear" w:color="auto" w:fill="F2F2F2"/>
          </w:tcPr>
          <w:p w:rsidR="005207AD" w:rsidRPr="00997C5D" w:rsidRDefault="005207AD" w:rsidP="00FE6F3C">
            <w:pPr>
              <w:pStyle w:val="TabNumeri"/>
            </w:pPr>
          </w:p>
        </w:tc>
        <w:tc>
          <w:tcPr>
            <w:tcW w:w="510" w:type="dxa"/>
            <w:shd w:val="clear" w:color="auto" w:fill="F2F2F2"/>
          </w:tcPr>
          <w:p w:rsidR="005207AD" w:rsidRPr="00997C5D" w:rsidRDefault="005207AD" w:rsidP="00FE6F3C">
            <w:pPr>
              <w:pStyle w:val="TabNumeri"/>
            </w:pPr>
          </w:p>
        </w:tc>
        <w:tc>
          <w:tcPr>
            <w:tcW w:w="510" w:type="dxa"/>
            <w:shd w:val="clear" w:color="auto" w:fill="F2F2F2"/>
          </w:tcPr>
          <w:p w:rsidR="005207AD" w:rsidRPr="00997C5D" w:rsidRDefault="005207AD" w:rsidP="00FE6F3C">
            <w:pPr>
              <w:pStyle w:val="TabNumeri"/>
            </w:pPr>
          </w:p>
        </w:tc>
        <w:tc>
          <w:tcPr>
            <w:tcW w:w="514" w:type="dxa"/>
            <w:shd w:val="clear" w:color="auto" w:fill="F2F2F2"/>
          </w:tcPr>
          <w:p w:rsidR="005207AD" w:rsidRPr="00997C5D" w:rsidRDefault="005207AD" w:rsidP="00FE6F3C">
            <w:pPr>
              <w:pStyle w:val="TabNumeri"/>
            </w:pPr>
          </w:p>
        </w:tc>
      </w:tr>
      <w:tr w:rsidR="005207AD" w:rsidRPr="00BC2A0C" w:rsidTr="00FE6F3C">
        <w:trPr>
          <w:cantSplit/>
          <w:trHeight w:val="255"/>
        </w:trPr>
        <w:tc>
          <w:tcPr>
            <w:tcW w:w="2552" w:type="dxa"/>
          </w:tcPr>
          <w:p w:rsidR="005207AD" w:rsidRPr="007C2916" w:rsidRDefault="005207AD" w:rsidP="00FE6F3C">
            <w:pPr>
              <w:pStyle w:val="TabEtichette"/>
            </w:pPr>
            <w:r w:rsidRPr="007C2916">
              <w:t>Commercio mondiale(c)</w:t>
            </w:r>
          </w:p>
        </w:tc>
        <w:tc>
          <w:tcPr>
            <w:tcW w:w="510" w:type="dxa"/>
          </w:tcPr>
          <w:p w:rsidR="005207AD" w:rsidRPr="003234B1" w:rsidRDefault="005207AD" w:rsidP="00FE6F3C">
            <w:pPr>
              <w:pStyle w:val="TabNumeri"/>
            </w:pPr>
            <w:r w:rsidRPr="003234B1">
              <w:t>2,7</w:t>
            </w:r>
          </w:p>
        </w:tc>
        <w:tc>
          <w:tcPr>
            <w:tcW w:w="510" w:type="dxa"/>
          </w:tcPr>
          <w:p w:rsidR="005207AD" w:rsidRPr="003234B1" w:rsidRDefault="005207AD" w:rsidP="00FE6F3C">
            <w:pPr>
              <w:pStyle w:val="TabNumeri"/>
            </w:pPr>
            <w:r w:rsidRPr="003234B1">
              <w:t>1,9</w:t>
            </w:r>
          </w:p>
        </w:tc>
        <w:tc>
          <w:tcPr>
            <w:tcW w:w="510" w:type="dxa"/>
          </w:tcPr>
          <w:p w:rsidR="005207AD" w:rsidRPr="003234B1" w:rsidRDefault="005207AD" w:rsidP="00FE6F3C">
            <w:pPr>
              <w:pStyle w:val="TabNumeri"/>
            </w:pPr>
            <w:r w:rsidRPr="003234B1">
              <w:t>3,8</w:t>
            </w:r>
          </w:p>
        </w:tc>
        <w:tc>
          <w:tcPr>
            <w:tcW w:w="510" w:type="dxa"/>
          </w:tcPr>
          <w:p w:rsidR="005207AD" w:rsidRPr="003234B1" w:rsidRDefault="005207AD" w:rsidP="00FE6F3C">
            <w:pPr>
              <w:pStyle w:val="TabNumeri"/>
            </w:pPr>
            <w:r w:rsidRPr="003234B1">
              <w:t>4,1</w:t>
            </w:r>
          </w:p>
        </w:tc>
        <w:tc>
          <w:tcPr>
            <w:tcW w:w="170" w:type="dxa"/>
          </w:tcPr>
          <w:p w:rsidR="005207AD" w:rsidRPr="00BC2A0C" w:rsidRDefault="005207AD" w:rsidP="00FE6F3C">
            <w:pPr>
              <w:pStyle w:val="TabEtichette"/>
            </w:pPr>
          </w:p>
        </w:tc>
        <w:tc>
          <w:tcPr>
            <w:tcW w:w="2552" w:type="dxa"/>
          </w:tcPr>
          <w:p w:rsidR="005207AD" w:rsidRPr="00BC2A0C" w:rsidRDefault="005207AD" w:rsidP="00FE6F3C">
            <w:pPr>
              <w:pStyle w:val="TabEtichette"/>
            </w:pPr>
            <w:r w:rsidRPr="00BC2A0C">
              <w:t xml:space="preserve"> - Petrolio (d)</w:t>
            </w:r>
          </w:p>
        </w:tc>
        <w:tc>
          <w:tcPr>
            <w:tcW w:w="510" w:type="dxa"/>
          </w:tcPr>
          <w:p w:rsidR="005207AD" w:rsidRPr="009100D8" w:rsidRDefault="005207AD" w:rsidP="00FE6F3C">
            <w:pPr>
              <w:pStyle w:val="TabNumeri"/>
            </w:pPr>
            <w:r w:rsidRPr="009100D8">
              <w:t>-47,2</w:t>
            </w:r>
          </w:p>
        </w:tc>
        <w:tc>
          <w:tcPr>
            <w:tcW w:w="510" w:type="dxa"/>
          </w:tcPr>
          <w:p w:rsidR="005207AD" w:rsidRPr="009100D8" w:rsidRDefault="005207AD" w:rsidP="00FE6F3C">
            <w:pPr>
              <w:pStyle w:val="TabNumeri"/>
            </w:pPr>
            <w:r w:rsidRPr="009100D8">
              <w:t>-15,9</w:t>
            </w:r>
          </w:p>
        </w:tc>
        <w:tc>
          <w:tcPr>
            <w:tcW w:w="510" w:type="dxa"/>
          </w:tcPr>
          <w:p w:rsidR="005207AD" w:rsidRPr="009100D8" w:rsidRDefault="005207AD" w:rsidP="00FE6F3C">
            <w:pPr>
              <w:pStyle w:val="TabNumeri"/>
            </w:pPr>
            <w:r w:rsidRPr="009100D8">
              <w:t>19,9</w:t>
            </w:r>
          </w:p>
        </w:tc>
        <w:tc>
          <w:tcPr>
            <w:tcW w:w="514" w:type="dxa"/>
          </w:tcPr>
          <w:p w:rsidR="005207AD" w:rsidRPr="009100D8" w:rsidRDefault="005207AD" w:rsidP="00FE6F3C">
            <w:pPr>
              <w:pStyle w:val="TabNumeri"/>
            </w:pPr>
            <w:r w:rsidRPr="009100D8">
              <w:t>3,6</w:t>
            </w:r>
          </w:p>
        </w:tc>
      </w:tr>
      <w:tr w:rsidR="00566C64" w:rsidRPr="00BC2A0C" w:rsidTr="00EE7CE2">
        <w:trPr>
          <w:cantSplit/>
          <w:trHeight w:val="255"/>
        </w:trPr>
        <w:tc>
          <w:tcPr>
            <w:tcW w:w="2552" w:type="dxa"/>
            <w:shd w:val="clear" w:color="auto" w:fill="F2F2F2"/>
          </w:tcPr>
          <w:p w:rsidR="005207AD" w:rsidRPr="007C2916" w:rsidRDefault="005207AD" w:rsidP="00FE6F3C">
            <w:pPr>
              <w:pStyle w:val="TabEtichette"/>
            </w:pPr>
            <w:r w:rsidRPr="007C2916">
              <w:t>Libor su depositi in (f)</w:t>
            </w:r>
          </w:p>
        </w:tc>
        <w:tc>
          <w:tcPr>
            <w:tcW w:w="510" w:type="dxa"/>
            <w:shd w:val="clear" w:color="auto" w:fill="F2F2F2"/>
          </w:tcPr>
          <w:p w:rsidR="005207AD" w:rsidRPr="003234B1" w:rsidRDefault="005207AD" w:rsidP="00FE6F3C">
            <w:pPr>
              <w:pStyle w:val="TabNumeri"/>
            </w:pPr>
          </w:p>
        </w:tc>
        <w:tc>
          <w:tcPr>
            <w:tcW w:w="510" w:type="dxa"/>
            <w:shd w:val="clear" w:color="auto" w:fill="F2F2F2"/>
          </w:tcPr>
          <w:p w:rsidR="005207AD" w:rsidRPr="003234B1" w:rsidRDefault="005207AD" w:rsidP="00FE6F3C">
            <w:pPr>
              <w:pStyle w:val="TabNumeri"/>
            </w:pPr>
          </w:p>
        </w:tc>
        <w:tc>
          <w:tcPr>
            <w:tcW w:w="510" w:type="dxa"/>
            <w:shd w:val="clear" w:color="auto" w:fill="F2F2F2"/>
          </w:tcPr>
          <w:p w:rsidR="005207AD" w:rsidRPr="003234B1" w:rsidRDefault="005207AD" w:rsidP="00FE6F3C">
            <w:pPr>
              <w:pStyle w:val="TabNumeri"/>
            </w:pPr>
          </w:p>
        </w:tc>
        <w:tc>
          <w:tcPr>
            <w:tcW w:w="510" w:type="dxa"/>
            <w:shd w:val="clear" w:color="auto" w:fill="F2F2F2"/>
          </w:tcPr>
          <w:p w:rsidR="005207AD" w:rsidRPr="003234B1" w:rsidRDefault="005207AD" w:rsidP="00FE6F3C">
            <w:pPr>
              <w:pStyle w:val="TabNumeri"/>
            </w:pPr>
          </w:p>
        </w:tc>
        <w:tc>
          <w:tcPr>
            <w:tcW w:w="170" w:type="dxa"/>
            <w:shd w:val="clear" w:color="auto" w:fill="F2F2F2"/>
          </w:tcPr>
          <w:p w:rsidR="005207AD" w:rsidRPr="00BC2A0C" w:rsidRDefault="005207AD" w:rsidP="00FE6F3C">
            <w:pPr>
              <w:pStyle w:val="TabEtichette"/>
            </w:pPr>
          </w:p>
        </w:tc>
        <w:tc>
          <w:tcPr>
            <w:tcW w:w="2552" w:type="dxa"/>
            <w:shd w:val="clear" w:color="auto" w:fill="F2F2F2"/>
          </w:tcPr>
          <w:p w:rsidR="005207AD" w:rsidRPr="00BC2A0C" w:rsidRDefault="005207AD" w:rsidP="00FE6F3C">
            <w:pPr>
              <w:pStyle w:val="TabEtichette"/>
            </w:pPr>
            <w:r w:rsidRPr="00BC2A0C">
              <w:t xml:space="preserve"> - Materie prime non energetiche(e)</w:t>
            </w:r>
          </w:p>
        </w:tc>
        <w:tc>
          <w:tcPr>
            <w:tcW w:w="510" w:type="dxa"/>
            <w:shd w:val="clear" w:color="auto" w:fill="F2F2F2"/>
          </w:tcPr>
          <w:p w:rsidR="005207AD" w:rsidRPr="009100D8" w:rsidRDefault="005207AD" w:rsidP="00FE6F3C">
            <w:pPr>
              <w:pStyle w:val="TabNumeri"/>
            </w:pPr>
            <w:r w:rsidRPr="009100D8">
              <w:t>-17,4</w:t>
            </w:r>
          </w:p>
        </w:tc>
        <w:tc>
          <w:tcPr>
            <w:tcW w:w="510" w:type="dxa"/>
            <w:shd w:val="clear" w:color="auto" w:fill="F2F2F2"/>
          </w:tcPr>
          <w:p w:rsidR="005207AD" w:rsidRPr="009100D8" w:rsidRDefault="005207AD" w:rsidP="00FE6F3C">
            <w:pPr>
              <w:pStyle w:val="TabNumeri"/>
            </w:pPr>
            <w:r w:rsidRPr="009100D8">
              <w:t>-2,7</w:t>
            </w:r>
          </w:p>
        </w:tc>
        <w:tc>
          <w:tcPr>
            <w:tcW w:w="510" w:type="dxa"/>
            <w:shd w:val="clear" w:color="auto" w:fill="F2F2F2"/>
          </w:tcPr>
          <w:p w:rsidR="005207AD" w:rsidRPr="009100D8" w:rsidRDefault="005207AD" w:rsidP="00FE6F3C">
            <w:pPr>
              <w:pStyle w:val="TabNumeri"/>
            </w:pPr>
            <w:r w:rsidRPr="009100D8">
              <w:t>2,1</w:t>
            </w:r>
          </w:p>
        </w:tc>
        <w:tc>
          <w:tcPr>
            <w:tcW w:w="514" w:type="dxa"/>
            <w:shd w:val="clear" w:color="auto" w:fill="F2F2F2"/>
          </w:tcPr>
          <w:p w:rsidR="005207AD" w:rsidRPr="009100D8" w:rsidRDefault="005207AD" w:rsidP="00FE6F3C">
            <w:pPr>
              <w:pStyle w:val="TabNumeri"/>
            </w:pPr>
            <w:r w:rsidRPr="009100D8">
              <w:t>-0,9</w:t>
            </w:r>
          </w:p>
        </w:tc>
      </w:tr>
      <w:tr w:rsidR="005207AD" w:rsidRPr="00BC2A0C" w:rsidTr="00FE6F3C">
        <w:trPr>
          <w:cantSplit/>
          <w:trHeight w:val="255"/>
        </w:trPr>
        <w:tc>
          <w:tcPr>
            <w:tcW w:w="2552" w:type="dxa"/>
          </w:tcPr>
          <w:p w:rsidR="005207AD" w:rsidRPr="007C2916" w:rsidRDefault="005207AD" w:rsidP="00FE6F3C">
            <w:pPr>
              <w:pStyle w:val="TabEtichette"/>
            </w:pPr>
            <w:r w:rsidRPr="007C2916">
              <w:t xml:space="preserve">  Dollari Usa</w:t>
            </w:r>
          </w:p>
        </w:tc>
        <w:tc>
          <w:tcPr>
            <w:tcW w:w="510" w:type="dxa"/>
          </w:tcPr>
          <w:p w:rsidR="005207AD" w:rsidRPr="003234B1" w:rsidRDefault="005207AD" w:rsidP="00FE6F3C">
            <w:pPr>
              <w:pStyle w:val="TabNumeri"/>
            </w:pPr>
            <w:r w:rsidRPr="003234B1">
              <w:t>0,5</w:t>
            </w:r>
          </w:p>
        </w:tc>
        <w:tc>
          <w:tcPr>
            <w:tcW w:w="510" w:type="dxa"/>
          </w:tcPr>
          <w:p w:rsidR="005207AD" w:rsidRPr="003234B1" w:rsidRDefault="005207AD" w:rsidP="00FE6F3C">
            <w:pPr>
              <w:pStyle w:val="TabNumeri"/>
            </w:pPr>
            <w:r w:rsidRPr="003234B1">
              <w:t>1,0</w:t>
            </w:r>
          </w:p>
        </w:tc>
        <w:tc>
          <w:tcPr>
            <w:tcW w:w="510" w:type="dxa"/>
          </w:tcPr>
          <w:p w:rsidR="005207AD" w:rsidRPr="003234B1" w:rsidRDefault="005207AD" w:rsidP="00FE6F3C">
            <w:pPr>
              <w:pStyle w:val="TabNumeri"/>
            </w:pPr>
            <w:r w:rsidRPr="003234B1">
              <w:t>1,7</w:t>
            </w:r>
          </w:p>
        </w:tc>
        <w:tc>
          <w:tcPr>
            <w:tcW w:w="510" w:type="dxa"/>
          </w:tcPr>
          <w:p w:rsidR="005207AD" w:rsidRPr="003234B1" w:rsidRDefault="005207AD" w:rsidP="00FE6F3C">
            <w:pPr>
              <w:pStyle w:val="TabNumeri"/>
            </w:pPr>
            <w:r w:rsidRPr="003234B1">
              <w:t>2,8</w:t>
            </w:r>
          </w:p>
        </w:tc>
        <w:tc>
          <w:tcPr>
            <w:tcW w:w="170" w:type="dxa"/>
          </w:tcPr>
          <w:p w:rsidR="005207AD" w:rsidRPr="00BC2A0C" w:rsidRDefault="005207AD" w:rsidP="00FE6F3C">
            <w:pPr>
              <w:pStyle w:val="TabEtichette"/>
            </w:pPr>
          </w:p>
        </w:tc>
        <w:tc>
          <w:tcPr>
            <w:tcW w:w="2552" w:type="dxa"/>
          </w:tcPr>
          <w:p w:rsidR="005207AD" w:rsidRPr="00BC2A0C" w:rsidRDefault="005207AD" w:rsidP="00FE6F3C">
            <w:pPr>
              <w:pStyle w:val="TabEtichette"/>
            </w:pPr>
            <w:r w:rsidRPr="00BC2A0C">
              <w:t>Prezzi al consumo</w:t>
            </w:r>
          </w:p>
        </w:tc>
        <w:tc>
          <w:tcPr>
            <w:tcW w:w="510" w:type="dxa"/>
          </w:tcPr>
          <w:p w:rsidR="005207AD" w:rsidRPr="009100D8" w:rsidRDefault="005207AD" w:rsidP="00FE6F3C">
            <w:pPr>
              <w:pStyle w:val="TabNumeri"/>
            </w:pPr>
          </w:p>
        </w:tc>
        <w:tc>
          <w:tcPr>
            <w:tcW w:w="510" w:type="dxa"/>
          </w:tcPr>
          <w:p w:rsidR="005207AD" w:rsidRPr="009100D8" w:rsidRDefault="005207AD" w:rsidP="00FE6F3C">
            <w:pPr>
              <w:pStyle w:val="TabNumeri"/>
            </w:pPr>
          </w:p>
        </w:tc>
        <w:tc>
          <w:tcPr>
            <w:tcW w:w="510" w:type="dxa"/>
          </w:tcPr>
          <w:p w:rsidR="005207AD" w:rsidRPr="009100D8" w:rsidRDefault="005207AD" w:rsidP="00FE6F3C">
            <w:pPr>
              <w:pStyle w:val="TabNumeri"/>
            </w:pPr>
          </w:p>
        </w:tc>
        <w:tc>
          <w:tcPr>
            <w:tcW w:w="514" w:type="dxa"/>
          </w:tcPr>
          <w:p w:rsidR="005207AD" w:rsidRPr="009100D8" w:rsidRDefault="005207AD" w:rsidP="00FE6F3C">
            <w:pPr>
              <w:pStyle w:val="TabNumeri"/>
            </w:pPr>
          </w:p>
        </w:tc>
      </w:tr>
      <w:tr w:rsidR="00566C64" w:rsidRPr="00BC2A0C" w:rsidTr="00EE7CE2">
        <w:trPr>
          <w:cantSplit/>
          <w:trHeight w:val="255"/>
        </w:trPr>
        <w:tc>
          <w:tcPr>
            <w:tcW w:w="2552" w:type="dxa"/>
            <w:shd w:val="clear" w:color="auto" w:fill="F2F2F2"/>
          </w:tcPr>
          <w:p w:rsidR="005207AD" w:rsidRPr="007C2916" w:rsidRDefault="005207AD" w:rsidP="00FE6F3C">
            <w:pPr>
              <w:pStyle w:val="TabEtichette"/>
            </w:pPr>
            <w:r w:rsidRPr="007C2916">
              <w:t xml:space="preserve">  Euro</w:t>
            </w:r>
          </w:p>
        </w:tc>
        <w:tc>
          <w:tcPr>
            <w:tcW w:w="510" w:type="dxa"/>
            <w:shd w:val="clear" w:color="auto" w:fill="F2F2F2"/>
          </w:tcPr>
          <w:p w:rsidR="005207AD" w:rsidRPr="003234B1" w:rsidRDefault="005207AD" w:rsidP="00FE6F3C">
            <w:pPr>
              <w:pStyle w:val="TabNumeri"/>
            </w:pPr>
            <w:r w:rsidRPr="003234B1">
              <w:t>0,0</w:t>
            </w:r>
          </w:p>
        </w:tc>
        <w:tc>
          <w:tcPr>
            <w:tcW w:w="510" w:type="dxa"/>
            <w:shd w:val="clear" w:color="auto" w:fill="F2F2F2"/>
          </w:tcPr>
          <w:p w:rsidR="005207AD" w:rsidRPr="003234B1" w:rsidRDefault="005207AD" w:rsidP="00FE6F3C">
            <w:pPr>
              <w:pStyle w:val="TabNumeri"/>
            </w:pPr>
            <w:r w:rsidRPr="003234B1">
              <w:t>-0,3</w:t>
            </w:r>
          </w:p>
        </w:tc>
        <w:tc>
          <w:tcPr>
            <w:tcW w:w="510" w:type="dxa"/>
            <w:shd w:val="clear" w:color="auto" w:fill="F2F2F2"/>
          </w:tcPr>
          <w:p w:rsidR="005207AD" w:rsidRPr="003234B1" w:rsidRDefault="005207AD" w:rsidP="00FE6F3C">
            <w:pPr>
              <w:pStyle w:val="TabNumeri"/>
            </w:pPr>
            <w:r w:rsidRPr="003234B1">
              <w:t>-0,3</w:t>
            </w:r>
          </w:p>
        </w:tc>
        <w:tc>
          <w:tcPr>
            <w:tcW w:w="510" w:type="dxa"/>
            <w:shd w:val="clear" w:color="auto" w:fill="F2F2F2"/>
          </w:tcPr>
          <w:p w:rsidR="005207AD" w:rsidRPr="003234B1" w:rsidRDefault="005207AD" w:rsidP="00FE6F3C">
            <w:pPr>
              <w:pStyle w:val="TabNumeri"/>
            </w:pPr>
            <w:r w:rsidRPr="003234B1">
              <w:t>-0,2</w:t>
            </w:r>
          </w:p>
        </w:tc>
        <w:tc>
          <w:tcPr>
            <w:tcW w:w="170" w:type="dxa"/>
            <w:shd w:val="clear" w:color="auto" w:fill="F2F2F2"/>
          </w:tcPr>
          <w:p w:rsidR="005207AD" w:rsidRPr="00BC2A0C" w:rsidRDefault="005207AD" w:rsidP="00FE6F3C">
            <w:pPr>
              <w:pStyle w:val="TabEtichette"/>
            </w:pPr>
          </w:p>
        </w:tc>
        <w:tc>
          <w:tcPr>
            <w:tcW w:w="2552" w:type="dxa"/>
            <w:shd w:val="clear" w:color="auto" w:fill="F2F2F2"/>
          </w:tcPr>
          <w:p w:rsidR="005207AD" w:rsidRPr="00BC2A0C" w:rsidRDefault="005207AD" w:rsidP="00FE6F3C">
            <w:pPr>
              <w:pStyle w:val="TabEtichette"/>
            </w:pPr>
            <w:r w:rsidRPr="00BC2A0C">
              <w:t xml:space="preserve">  Economie avanzate</w:t>
            </w:r>
          </w:p>
        </w:tc>
        <w:tc>
          <w:tcPr>
            <w:tcW w:w="510" w:type="dxa"/>
            <w:shd w:val="clear" w:color="auto" w:fill="F2F2F2"/>
          </w:tcPr>
          <w:p w:rsidR="005207AD" w:rsidRPr="009100D8" w:rsidRDefault="005207AD" w:rsidP="00FE6F3C">
            <w:pPr>
              <w:pStyle w:val="TabNumeri"/>
            </w:pPr>
            <w:r w:rsidRPr="009100D8">
              <w:t>0,3</w:t>
            </w:r>
          </w:p>
        </w:tc>
        <w:tc>
          <w:tcPr>
            <w:tcW w:w="510" w:type="dxa"/>
            <w:shd w:val="clear" w:color="auto" w:fill="F2F2F2"/>
          </w:tcPr>
          <w:p w:rsidR="005207AD" w:rsidRPr="009100D8" w:rsidRDefault="005207AD" w:rsidP="00FE6F3C">
            <w:pPr>
              <w:pStyle w:val="TabNumeri"/>
            </w:pPr>
            <w:r w:rsidRPr="009100D8">
              <w:t>0,7</w:t>
            </w:r>
          </w:p>
        </w:tc>
        <w:tc>
          <w:tcPr>
            <w:tcW w:w="510" w:type="dxa"/>
            <w:shd w:val="clear" w:color="auto" w:fill="F2F2F2"/>
          </w:tcPr>
          <w:p w:rsidR="005207AD" w:rsidRPr="009100D8" w:rsidRDefault="005207AD" w:rsidP="00FE6F3C">
            <w:pPr>
              <w:pStyle w:val="TabNumeri"/>
            </w:pPr>
            <w:r w:rsidRPr="009100D8">
              <w:t>1,7</w:t>
            </w:r>
          </w:p>
        </w:tc>
        <w:tc>
          <w:tcPr>
            <w:tcW w:w="514" w:type="dxa"/>
            <w:shd w:val="clear" w:color="auto" w:fill="F2F2F2"/>
          </w:tcPr>
          <w:p w:rsidR="005207AD" w:rsidRPr="009100D8" w:rsidRDefault="005207AD" w:rsidP="00FE6F3C">
            <w:pPr>
              <w:pStyle w:val="TabNumeri"/>
            </w:pPr>
            <w:r w:rsidRPr="009100D8">
              <w:t>1,9</w:t>
            </w:r>
          </w:p>
        </w:tc>
      </w:tr>
      <w:tr w:rsidR="005207AD" w:rsidRPr="00BC2A0C" w:rsidTr="00FE6F3C">
        <w:trPr>
          <w:cantSplit/>
          <w:trHeight w:val="255"/>
        </w:trPr>
        <w:tc>
          <w:tcPr>
            <w:tcW w:w="2552" w:type="dxa"/>
          </w:tcPr>
          <w:p w:rsidR="005207AD" w:rsidRPr="007C2916" w:rsidRDefault="005207AD" w:rsidP="00FE6F3C">
            <w:pPr>
              <w:pStyle w:val="TabEtichette"/>
            </w:pPr>
            <w:r w:rsidRPr="007C2916">
              <w:t xml:space="preserve">  Yen giapponese</w:t>
            </w:r>
          </w:p>
        </w:tc>
        <w:tc>
          <w:tcPr>
            <w:tcW w:w="510" w:type="dxa"/>
          </w:tcPr>
          <w:p w:rsidR="005207AD" w:rsidRPr="003234B1" w:rsidRDefault="005207AD" w:rsidP="00FE6F3C">
            <w:pPr>
              <w:pStyle w:val="TabNumeri"/>
            </w:pPr>
            <w:r w:rsidRPr="003234B1">
              <w:t>0,1</w:t>
            </w:r>
          </w:p>
        </w:tc>
        <w:tc>
          <w:tcPr>
            <w:tcW w:w="510" w:type="dxa"/>
          </w:tcPr>
          <w:p w:rsidR="005207AD" w:rsidRPr="003234B1" w:rsidRDefault="005207AD" w:rsidP="00FE6F3C">
            <w:pPr>
              <w:pStyle w:val="TabNumeri"/>
            </w:pPr>
            <w:r w:rsidRPr="003234B1">
              <w:t>0,0</w:t>
            </w:r>
          </w:p>
        </w:tc>
        <w:tc>
          <w:tcPr>
            <w:tcW w:w="510" w:type="dxa"/>
          </w:tcPr>
          <w:p w:rsidR="005207AD" w:rsidRPr="003234B1" w:rsidRDefault="005207AD" w:rsidP="00FE6F3C">
            <w:pPr>
              <w:pStyle w:val="TabNumeri"/>
            </w:pPr>
            <w:r w:rsidRPr="003234B1">
              <w:t>0,0</w:t>
            </w:r>
          </w:p>
        </w:tc>
        <w:tc>
          <w:tcPr>
            <w:tcW w:w="510" w:type="dxa"/>
          </w:tcPr>
          <w:p w:rsidR="005207AD" w:rsidRDefault="005207AD" w:rsidP="00FE6F3C">
            <w:pPr>
              <w:pStyle w:val="TabNumeri"/>
            </w:pPr>
            <w:r w:rsidRPr="003234B1">
              <w:t>0,0</w:t>
            </w:r>
          </w:p>
        </w:tc>
        <w:tc>
          <w:tcPr>
            <w:tcW w:w="170" w:type="dxa"/>
          </w:tcPr>
          <w:p w:rsidR="005207AD" w:rsidRPr="00BC2A0C" w:rsidRDefault="005207AD" w:rsidP="00FE6F3C">
            <w:pPr>
              <w:pStyle w:val="TabEtichette"/>
            </w:pPr>
          </w:p>
        </w:tc>
        <w:tc>
          <w:tcPr>
            <w:tcW w:w="2552" w:type="dxa"/>
          </w:tcPr>
          <w:p w:rsidR="005207AD" w:rsidRPr="00BC2A0C" w:rsidRDefault="005207AD" w:rsidP="00FE6F3C">
            <w:pPr>
              <w:pStyle w:val="TabEtichette"/>
            </w:pPr>
            <w:r w:rsidRPr="00BC2A0C">
              <w:t xml:space="preserve">  Economie emergenti e in sviluppo</w:t>
            </w:r>
          </w:p>
        </w:tc>
        <w:tc>
          <w:tcPr>
            <w:tcW w:w="510" w:type="dxa"/>
          </w:tcPr>
          <w:p w:rsidR="005207AD" w:rsidRPr="009100D8" w:rsidRDefault="005207AD" w:rsidP="00FE6F3C">
            <w:pPr>
              <w:pStyle w:val="TabNumeri"/>
            </w:pPr>
            <w:r w:rsidRPr="009100D8">
              <w:t>4,7</w:t>
            </w:r>
          </w:p>
        </w:tc>
        <w:tc>
          <w:tcPr>
            <w:tcW w:w="510" w:type="dxa"/>
          </w:tcPr>
          <w:p w:rsidR="005207AD" w:rsidRPr="009100D8" w:rsidRDefault="005207AD" w:rsidP="00FE6F3C">
            <w:pPr>
              <w:pStyle w:val="TabNumeri"/>
            </w:pPr>
            <w:r w:rsidRPr="009100D8">
              <w:t>4,5</w:t>
            </w:r>
          </w:p>
        </w:tc>
        <w:tc>
          <w:tcPr>
            <w:tcW w:w="510" w:type="dxa"/>
          </w:tcPr>
          <w:p w:rsidR="005207AD" w:rsidRPr="009100D8" w:rsidRDefault="005207AD" w:rsidP="00FE6F3C">
            <w:pPr>
              <w:pStyle w:val="TabNumeri"/>
            </w:pPr>
            <w:r w:rsidRPr="009100D8">
              <w:t>4,5</w:t>
            </w:r>
          </w:p>
        </w:tc>
        <w:tc>
          <w:tcPr>
            <w:tcW w:w="514" w:type="dxa"/>
          </w:tcPr>
          <w:p w:rsidR="005207AD" w:rsidRDefault="005207AD" w:rsidP="00FE6F3C">
            <w:pPr>
              <w:pStyle w:val="TabNumeri"/>
            </w:pPr>
            <w:r w:rsidRPr="009100D8">
              <w:t>4,4</w:t>
            </w:r>
          </w:p>
        </w:tc>
      </w:tr>
      <w:tr w:rsidR="005207AD" w:rsidRPr="00204CFD" w:rsidTr="00FE6F3C">
        <w:trPr>
          <w:cantSplit/>
        </w:trPr>
        <w:tc>
          <w:tcPr>
            <w:tcW w:w="9358" w:type="dxa"/>
            <w:gridSpan w:val="11"/>
            <w:tcBorders>
              <w:top w:val="single" w:sz="4" w:space="0" w:color="800000"/>
            </w:tcBorders>
          </w:tcPr>
          <w:p w:rsidR="005207AD" w:rsidRPr="002A4A23" w:rsidRDefault="005207AD" w:rsidP="00FE6F3C">
            <w:pPr>
              <w:pStyle w:val="TabNoteSuperiori"/>
            </w:pPr>
            <w:r>
              <w:t>(</w:t>
            </w:r>
            <w:r w:rsidRPr="00BC2A0C">
              <w:t xml:space="preserve">a) </w:t>
            </w:r>
            <w:r>
              <w:t xml:space="preserve">In merito alle </w:t>
            </w:r>
            <w:r w:rsidRPr="00BC2A0C">
              <w:t>assunzioni alla base della previsione economica</w:t>
            </w:r>
            <w:r>
              <w:t xml:space="preserve"> si veda la sezione Assumption and Conventions.</w:t>
            </w:r>
            <w:r w:rsidRPr="00BC2A0C">
              <w:t xml:space="preserve"> (b) Tasso di variazione percentuale sul periodo precedente. (c) Beni e servizi in volume. (d) Media dei prezzi spot del petrolio greggio U.K. Brent, Dubai e West texas Intermediate. (e) Media dei prezzi mondiali delle materie prime non fuel (energia) pesata per la loro quota media delle esportazioni di materie prime. (f) LIBOR (London interbank offered rate), tasso di interesse percentuale: a) sui depositi a 6 mesi in U.S.$; sui depositi a 6 mesi in yen; sui depositi a 3 mesi in euro. </w:t>
            </w:r>
          </w:p>
          <w:p w:rsidR="005207AD" w:rsidRPr="00BC2A0C" w:rsidRDefault="005207AD" w:rsidP="00FE6F3C">
            <w:pPr>
              <w:pStyle w:val="TabNoteSuperiori"/>
              <w:rPr>
                <w:lang w:val="en-US"/>
              </w:rPr>
            </w:pPr>
            <w:r w:rsidRPr="00BC2A0C">
              <w:rPr>
                <w:lang w:val="en-GB"/>
              </w:rPr>
              <w:t>IMF, World Economic Outl</w:t>
            </w:r>
            <w:r>
              <w:rPr>
                <w:lang w:val="en-GB"/>
              </w:rPr>
              <w:t xml:space="preserve">ook Update, 16 </w:t>
            </w:r>
            <w:r w:rsidRPr="00920B2B">
              <w:rPr>
                <w:lang w:val="en-GB"/>
              </w:rPr>
              <w:t xml:space="preserve">gennaio </w:t>
            </w:r>
            <w:r w:rsidRPr="00920B2B">
              <w:rPr>
                <w:lang w:val="en-GB"/>
              </w:rPr>
              <w:fldChar w:fldCharType="begin"/>
            </w:r>
            <w:r w:rsidRPr="00920B2B">
              <w:rPr>
                <w:lang w:val="en-GB"/>
              </w:rPr>
              <w:instrText xml:space="preserve"> DATE  \@ "yyyy"  \* MERGEFORMAT </w:instrText>
            </w:r>
            <w:r w:rsidRPr="00920B2B">
              <w:rPr>
                <w:lang w:val="en-GB"/>
              </w:rPr>
              <w:fldChar w:fldCharType="separate"/>
            </w:r>
            <w:r w:rsidR="00762F0B">
              <w:rPr>
                <w:noProof/>
                <w:lang w:val="en-GB"/>
              </w:rPr>
              <w:t>2017</w:t>
            </w:r>
            <w:r w:rsidRPr="00920B2B">
              <w:rPr>
                <w:lang w:val="en-GB"/>
              </w:rPr>
              <w:fldChar w:fldCharType="end"/>
            </w:r>
          </w:p>
        </w:tc>
      </w:tr>
    </w:tbl>
    <w:p w:rsidR="008B2D4A" w:rsidRPr="008B2D4A" w:rsidRDefault="008B2D4A" w:rsidP="00B4057B">
      <w:r w:rsidRPr="008B2D4A">
        <w:t>Sul fronte dei cambi, dopo una fase iniziale di indebolimento del dollaro rispetto a euro e yen, nell’ultima parte del 2016, la prospettiva, prima, e l’avvio, poi, di un’ulteriore fase di divergenza nelle politiche monetarie tra le principali economie mondiali, Stati Uniti da una parte, area dell’euro, Cina e Giappone dall’altra, ha determinato una nuova fase di rivalutazione del cambio del dollaro, sia nei confronti dell’euro e dello yen, sia delle valute dei paesi emergenti, e ha condotto anche a un graduale riallineamento del cambio dello yuan.</w:t>
      </w:r>
    </w:p>
    <w:p w:rsidR="008B2D4A" w:rsidRPr="008B2D4A" w:rsidRDefault="008B2D4A" w:rsidP="00E81BC4">
      <w:r w:rsidRPr="008B2D4A">
        <w:t xml:space="preserve">Sul fronte dei rischi, una crescente divergenza nell’orientamento delle politiche monetarie delle maggiori aree economiche mondiali potrebbe costituire una nuova fonte di tensioni per i mercati finanziari nel corso dei prossimi anni. </w:t>
      </w:r>
    </w:p>
    <w:p w:rsidR="008B2D4A" w:rsidRPr="008B2D4A" w:rsidRDefault="008B2D4A" w:rsidP="00E81BC4">
      <w:r w:rsidRPr="008B2D4A">
        <w:t>Inoltre si affaccia sulla scena mondiale il rischio di un’ondata di protezionismo e di revisione delle relazioni commerciali internazionali. Il rallentamento, o l’inversione, del processo di globalizzazione paiono offrire l’opportunità di moderare il peso degli aggiustamenti necessari per le imprese e i lavoratori. Ma la crescita globale dipende dalla globalizzazione e meglio sarebbe attuare politiche che ne permettano una maggiore condivisione dei vantaggi.</w:t>
      </w:r>
    </w:p>
    <w:p w:rsidR="008B2D4A" w:rsidRPr="00A01856" w:rsidRDefault="008B2D4A" w:rsidP="005A094F">
      <w:pPr>
        <w:pStyle w:val="Titolo4"/>
      </w:pPr>
      <w:r w:rsidRPr="00A01856">
        <w:t>Stati Uniti</w:t>
      </w:r>
    </w:p>
    <w:p w:rsidR="008B2D4A" w:rsidRPr="008B2D4A" w:rsidRDefault="008B2D4A" w:rsidP="00822DEA">
      <w:r w:rsidRPr="008B2D4A">
        <w:t>La crescita economica statunitense è risultata inferiore alle aspettative nella prima metà dell’anno, rallentata da un indebolimento degli investimenti, in particolare nel settore dell’energia, da una riduzione delle scorte e dagli effetti del precedente rafforzamento del dollaro, e non è andata oltre l’1,6 per cento nel 2016, un dato in linea con la tendenza del complesso delle economie sviluppate. I consumi privati costituiscono l’elemento trainante dell’economia statunitense nel periodo considerato e mostrano una buona crescita, sostenuti dalla condizione favorevole del mercato del lavoro, da un atteso taglio delle tasse e in prospettiva da una maggiore crescita salariale. Le esportazioni hanno sofferto per la perdita di competitività derivante dal rafforzamento del dollaro e per una debole domanda estera. La ripresa dell’attività dovrebbe sostenere le importazioni e ampliare il deficit commerciale.</w:t>
      </w:r>
    </w:p>
    <w:p w:rsidR="008B2D4A" w:rsidRPr="008B2D4A" w:rsidRDefault="008B2D4A" w:rsidP="00822DEA">
      <w:r w:rsidRPr="008B2D4A">
        <w:lastRenderedPageBreak/>
        <w:t>La condizione del mercato del lavoro è positiva. Prosegue la creazione di nuovi posti di lavoro, l’occupazione cresce stabilmente a ritmo sostenuto, la disoccupazione si approssima a minimi storici e aumenta per la prima volta da anni il tasso di partecipazione, anche per il reingresso dei lavoratori scoraggiati, ciò genera pressioni salariali, per ora moderate, ma destinate a crescere sensibilmente, che si trasferiscono sui prezzi. L’inflazione è rimasta molto contenuta e al di sotto dell’obiettivo. Ci si attende una sua ripresa a seguito dell’aumento dell’attività, con un mercato del lavoro prossimo alla piena occupazione, e della crescita dei prezzi dei prodotti energetici, tanto da portare l’aumento dei prezzi al consumo attorno al 2,5 per cento.</w:t>
      </w:r>
    </w:p>
    <w:p w:rsidR="008B2D4A" w:rsidRPr="008B2D4A" w:rsidRDefault="008B2D4A" w:rsidP="00822DEA">
      <w:r w:rsidRPr="008B2D4A">
        <w:t>La politica monetaria è rimasta molto accomodante. La Federal Reserve ha atteso dicembre 2016 per riprendere a aumentare i tassi e proseguire nella tendenza alla normalizzazione dei tassi di intervento nel corso del 2017, anche per evitare rischi finanziari. Le attese sono ora però orientate verso tre ulteriori incrementi sia nel 2017, sia nel 2018.</w:t>
      </w:r>
    </w:p>
    <w:p w:rsidR="008B2D4A" w:rsidRPr="008B2D4A" w:rsidRDefault="008B2D4A" w:rsidP="00822DEA">
      <w:r w:rsidRPr="008B2D4A">
        <w:t xml:space="preserve">La politica fiscale è rimasta neutrale nel 2016. La nuova amministrazione intende utilizzarla per favorire l’espansione attraverso un aumento della spesa, degli investimenti pubblici e una riduzione dell’imposizione. Si prospetta quindi un crescente stimolo alla crescita derivante dalla politica fiscale, una maggiore domanda, una più elevata pressione inflazionistica e un </w:t>
      </w:r>
      <w:r w:rsidR="00566C64" w:rsidRPr="008B2D4A">
        <w:t>processo</w:t>
      </w:r>
      <w:r w:rsidRPr="008B2D4A">
        <w:t xml:space="preserve"> di normalizzazione della politica monetaria meno graduale. L’impatto della manovra dovrebbe risultare però contenuto dall’avanzato stato del ciclo economico statunitense, che a inizio 2017 presenta un mercato del lavoro prossimo al pieno impiego, con limitate sacche di sotto occupazione. </w:t>
      </w:r>
    </w:p>
    <w:tbl>
      <w:tblPr>
        <w:tblpPr w:topFromText="425" w:bottomFromText="425" w:horzAnchor="margin" w:tblpXSpec="center" w:tblpYSpec="bottom"/>
        <w:tblOverlap w:val="never"/>
        <w:tblW w:w="9358" w:type="dxa"/>
        <w:tblInd w:w="8" w:type="dxa"/>
        <w:tblLayout w:type="fixed"/>
        <w:tblCellMar>
          <w:left w:w="0" w:type="dxa"/>
          <w:right w:w="0" w:type="dxa"/>
        </w:tblCellMar>
        <w:tblLook w:val="0000" w:firstRow="0" w:lastRow="0" w:firstColumn="0" w:lastColumn="0" w:noHBand="0" w:noVBand="0"/>
      </w:tblPr>
      <w:tblGrid>
        <w:gridCol w:w="2722"/>
        <w:gridCol w:w="510"/>
        <w:gridCol w:w="510"/>
        <w:gridCol w:w="510"/>
        <w:gridCol w:w="510"/>
        <w:gridCol w:w="567"/>
        <w:gridCol w:w="1985"/>
        <w:gridCol w:w="510"/>
        <w:gridCol w:w="510"/>
        <w:gridCol w:w="510"/>
        <w:gridCol w:w="514"/>
      </w:tblGrid>
      <w:tr w:rsidR="007E1ECE" w:rsidRPr="00BC2A0C" w:rsidTr="00FE6F3C">
        <w:trPr>
          <w:cantSplit/>
        </w:trPr>
        <w:tc>
          <w:tcPr>
            <w:tcW w:w="9358" w:type="dxa"/>
            <w:gridSpan w:val="11"/>
            <w:tcBorders>
              <w:bottom w:val="single" w:sz="4" w:space="0" w:color="800000"/>
            </w:tcBorders>
          </w:tcPr>
          <w:p w:rsidR="007E1ECE" w:rsidRPr="00BC2A0C" w:rsidRDefault="007E1ECE" w:rsidP="00FE6F3C">
            <w:pPr>
              <w:pStyle w:val="TabTitolo"/>
            </w:pPr>
            <w:r w:rsidRPr="00BC2A0C">
              <w:t>La previsione del</w:t>
            </w:r>
            <w:r>
              <w:t xml:space="preserve"> Fondo Monetario Internazionale. Il prodotto interno lordo, principali aree e paesi </w:t>
            </w:r>
            <w:r w:rsidRPr="00BC2A0C">
              <w:t>(</w:t>
            </w:r>
            <w:r>
              <w:t>a</w:t>
            </w:r>
            <w:r w:rsidRPr="00BC2A0C">
              <w:t>)</w:t>
            </w:r>
            <w:r>
              <w:t>(b)</w:t>
            </w:r>
          </w:p>
        </w:tc>
      </w:tr>
      <w:tr w:rsidR="007E1ECE" w:rsidRPr="00BC2A0C" w:rsidTr="00FE6F3C">
        <w:trPr>
          <w:cantSplit/>
        </w:trPr>
        <w:tc>
          <w:tcPr>
            <w:tcW w:w="2722" w:type="dxa"/>
            <w:tcBorders>
              <w:top w:val="single" w:sz="4" w:space="0" w:color="800000"/>
              <w:bottom w:val="single" w:sz="4" w:space="0" w:color="800000"/>
            </w:tcBorders>
          </w:tcPr>
          <w:p w:rsidR="007E1ECE" w:rsidRPr="00BC2A0C" w:rsidRDefault="007E1ECE" w:rsidP="00FE6F3C">
            <w:pPr>
              <w:pStyle w:val="TabIntestazioni"/>
            </w:pPr>
          </w:p>
        </w:tc>
        <w:tc>
          <w:tcPr>
            <w:tcW w:w="510" w:type="dxa"/>
            <w:tcBorders>
              <w:top w:val="single" w:sz="4" w:space="0" w:color="800000"/>
              <w:bottom w:val="single" w:sz="4" w:space="0" w:color="800000"/>
            </w:tcBorders>
          </w:tcPr>
          <w:p w:rsidR="007E1ECE" w:rsidRPr="003234B1" w:rsidRDefault="007E1ECE" w:rsidP="00FE6F3C">
            <w:pPr>
              <w:pStyle w:val="TabIntestazioni"/>
            </w:pPr>
            <w:r w:rsidRPr="003234B1">
              <w:t>2015</w:t>
            </w:r>
          </w:p>
        </w:tc>
        <w:tc>
          <w:tcPr>
            <w:tcW w:w="510" w:type="dxa"/>
            <w:tcBorders>
              <w:top w:val="single" w:sz="4" w:space="0" w:color="800000"/>
              <w:bottom w:val="single" w:sz="4" w:space="0" w:color="800000"/>
            </w:tcBorders>
          </w:tcPr>
          <w:p w:rsidR="007E1ECE" w:rsidRPr="003234B1" w:rsidRDefault="007E1ECE" w:rsidP="00FE6F3C">
            <w:pPr>
              <w:pStyle w:val="TabIntestazioni"/>
            </w:pPr>
            <w:r w:rsidRPr="003234B1">
              <w:t>2016</w:t>
            </w:r>
          </w:p>
        </w:tc>
        <w:tc>
          <w:tcPr>
            <w:tcW w:w="510" w:type="dxa"/>
            <w:tcBorders>
              <w:top w:val="single" w:sz="4" w:space="0" w:color="800000"/>
              <w:bottom w:val="single" w:sz="4" w:space="0" w:color="800000"/>
            </w:tcBorders>
          </w:tcPr>
          <w:p w:rsidR="007E1ECE" w:rsidRPr="003234B1" w:rsidRDefault="007E1ECE" w:rsidP="00FE6F3C">
            <w:pPr>
              <w:pStyle w:val="TabIntestazioni"/>
            </w:pPr>
            <w:r w:rsidRPr="003234B1">
              <w:t>2017</w:t>
            </w:r>
          </w:p>
        </w:tc>
        <w:tc>
          <w:tcPr>
            <w:tcW w:w="510" w:type="dxa"/>
            <w:tcBorders>
              <w:top w:val="single" w:sz="4" w:space="0" w:color="800000"/>
              <w:bottom w:val="single" w:sz="4" w:space="0" w:color="800000"/>
            </w:tcBorders>
          </w:tcPr>
          <w:p w:rsidR="007E1ECE" w:rsidRPr="003234B1" w:rsidRDefault="007E1ECE" w:rsidP="00FE6F3C">
            <w:pPr>
              <w:pStyle w:val="TabIntestazioni"/>
            </w:pPr>
            <w:r w:rsidRPr="003234B1">
              <w:t>2018</w:t>
            </w:r>
          </w:p>
        </w:tc>
        <w:tc>
          <w:tcPr>
            <w:tcW w:w="567" w:type="dxa"/>
            <w:tcBorders>
              <w:top w:val="single" w:sz="4" w:space="0" w:color="800000"/>
              <w:bottom w:val="single" w:sz="4" w:space="0" w:color="800000"/>
            </w:tcBorders>
          </w:tcPr>
          <w:p w:rsidR="007E1ECE" w:rsidRPr="00BC2A0C" w:rsidRDefault="007E1ECE" w:rsidP="00FE6F3C">
            <w:pPr>
              <w:pStyle w:val="TabIntestazioni"/>
            </w:pPr>
          </w:p>
        </w:tc>
        <w:tc>
          <w:tcPr>
            <w:tcW w:w="1985" w:type="dxa"/>
            <w:tcBorders>
              <w:top w:val="single" w:sz="4" w:space="0" w:color="800000"/>
              <w:bottom w:val="single" w:sz="4" w:space="0" w:color="800000"/>
            </w:tcBorders>
          </w:tcPr>
          <w:p w:rsidR="007E1ECE" w:rsidRPr="00BC2A0C" w:rsidRDefault="007E1ECE" w:rsidP="00FE6F3C">
            <w:pPr>
              <w:pStyle w:val="TabIntestazioni"/>
            </w:pPr>
          </w:p>
        </w:tc>
        <w:tc>
          <w:tcPr>
            <w:tcW w:w="510" w:type="dxa"/>
            <w:tcBorders>
              <w:top w:val="single" w:sz="4" w:space="0" w:color="800000"/>
              <w:bottom w:val="single" w:sz="4" w:space="0" w:color="800000"/>
            </w:tcBorders>
          </w:tcPr>
          <w:p w:rsidR="007E1ECE" w:rsidRPr="003234B1" w:rsidRDefault="007E1ECE" w:rsidP="00FE6F3C">
            <w:pPr>
              <w:pStyle w:val="TabIntestazioni"/>
            </w:pPr>
            <w:r w:rsidRPr="003234B1">
              <w:t>2015</w:t>
            </w:r>
          </w:p>
        </w:tc>
        <w:tc>
          <w:tcPr>
            <w:tcW w:w="510" w:type="dxa"/>
            <w:tcBorders>
              <w:top w:val="single" w:sz="4" w:space="0" w:color="800000"/>
              <w:bottom w:val="single" w:sz="4" w:space="0" w:color="800000"/>
            </w:tcBorders>
          </w:tcPr>
          <w:p w:rsidR="007E1ECE" w:rsidRPr="003234B1" w:rsidRDefault="007E1ECE" w:rsidP="00FE6F3C">
            <w:pPr>
              <w:pStyle w:val="TabIntestazioni"/>
            </w:pPr>
            <w:r w:rsidRPr="003234B1">
              <w:t>2016</w:t>
            </w:r>
          </w:p>
        </w:tc>
        <w:tc>
          <w:tcPr>
            <w:tcW w:w="510" w:type="dxa"/>
            <w:tcBorders>
              <w:top w:val="single" w:sz="4" w:space="0" w:color="800000"/>
              <w:bottom w:val="single" w:sz="4" w:space="0" w:color="800000"/>
            </w:tcBorders>
          </w:tcPr>
          <w:p w:rsidR="007E1ECE" w:rsidRPr="003234B1" w:rsidRDefault="007E1ECE" w:rsidP="00FE6F3C">
            <w:pPr>
              <w:pStyle w:val="TabIntestazioni"/>
            </w:pPr>
            <w:r w:rsidRPr="003234B1">
              <w:t>2017</w:t>
            </w:r>
          </w:p>
        </w:tc>
        <w:tc>
          <w:tcPr>
            <w:tcW w:w="514" w:type="dxa"/>
            <w:tcBorders>
              <w:top w:val="single" w:sz="4" w:space="0" w:color="800000"/>
              <w:bottom w:val="single" w:sz="4" w:space="0" w:color="800000"/>
            </w:tcBorders>
          </w:tcPr>
          <w:p w:rsidR="007E1ECE" w:rsidRPr="003234B1" w:rsidRDefault="007E1ECE" w:rsidP="00FE6F3C">
            <w:pPr>
              <w:pStyle w:val="TabIntestazioni"/>
            </w:pPr>
            <w:r w:rsidRPr="003234B1">
              <w:t>2018</w:t>
            </w:r>
          </w:p>
        </w:tc>
      </w:tr>
      <w:tr w:rsidR="007E1ECE" w:rsidRPr="00BC2A0C" w:rsidTr="00FE6F3C">
        <w:trPr>
          <w:cantSplit/>
          <w:trHeight w:hRule="exact" w:val="113"/>
        </w:trPr>
        <w:tc>
          <w:tcPr>
            <w:tcW w:w="2722" w:type="dxa"/>
            <w:tcBorders>
              <w:top w:val="single" w:sz="4" w:space="0" w:color="800000"/>
            </w:tcBorders>
          </w:tcPr>
          <w:p w:rsidR="007E1ECE" w:rsidRPr="00BC2A0C" w:rsidRDefault="007E1ECE" w:rsidP="00FE6F3C">
            <w:pPr>
              <w:pStyle w:val="TabEtichette"/>
            </w:pPr>
          </w:p>
        </w:tc>
        <w:tc>
          <w:tcPr>
            <w:tcW w:w="510" w:type="dxa"/>
            <w:tcBorders>
              <w:top w:val="single" w:sz="4" w:space="0" w:color="800000"/>
            </w:tcBorders>
          </w:tcPr>
          <w:p w:rsidR="007E1ECE" w:rsidRPr="00BC2A0C" w:rsidRDefault="007E1ECE" w:rsidP="00FE6F3C">
            <w:pPr>
              <w:pStyle w:val="TabNumeri"/>
            </w:pPr>
          </w:p>
        </w:tc>
        <w:tc>
          <w:tcPr>
            <w:tcW w:w="510" w:type="dxa"/>
            <w:tcBorders>
              <w:top w:val="single" w:sz="4" w:space="0" w:color="800000"/>
            </w:tcBorders>
          </w:tcPr>
          <w:p w:rsidR="007E1ECE" w:rsidRPr="00BC2A0C" w:rsidRDefault="007E1ECE" w:rsidP="00FE6F3C">
            <w:pPr>
              <w:pStyle w:val="TabNumeri"/>
            </w:pPr>
          </w:p>
        </w:tc>
        <w:tc>
          <w:tcPr>
            <w:tcW w:w="510" w:type="dxa"/>
            <w:tcBorders>
              <w:top w:val="single" w:sz="4" w:space="0" w:color="800000"/>
            </w:tcBorders>
          </w:tcPr>
          <w:p w:rsidR="007E1ECE" w:rsidRPr="00BC2A0C" w:rsidRDefault="007E1ECE" w:rsidP="00FE6F3C">
            <w:pPr>
              <w:pStyle w:val="TabNumeri"/>
            </w:pPr>
          </w:p>
        </w:tc>
        <w:tc>
          <w:tcPr>
            <w:tcW w:w="510" w:type="dxa"/>
            <w:tcBorders>
              <w:top w:val="single" w:sz="4" w:space="0" w:color="800000"/>
            </w:tcBorders>
          </w:tcPr>
          <w:p w:rsidR="007E1ECE" w:rsidRPr="00BC2A0C" w:rsidRDefault="007E1ECE" w:rsidP="00FE6F3C">
            <w:pPr>
              <w:pStyle w:val="TabNumeri"/>
            </w:pPr>
          </w:p>
        </w:tc>
        <w:tc>
          <w:tcPr>
            <w:tcW w:w="567" w:type="dxa"/>
            <w:tcBorders>
              <w:top w:val="single" w:sz="4" w:space="0" w:color="800000"/>
            </w:tcBorders>
          </w:tcPr>
          <w:p w:rsidR="007E1ECE" w:rsidRPr="00BC2A0C" w:rsidRDefault="007E1ECE" w:rsidP="00FE6F3C">
            <w:pPr>
              <w:pStyle w:val="TabEtichette"/>
            </w:pPr>
          </w:p>
        </w:tc>
        <w:tc>
          <w:tcPr>
            <w:tcW w:w="1985" w:type="dxa"/>
            <w:tcBorders>
              <w:top w:val="single" w:sz="4" w:space="0" w:color="800000"/>
            </w:tcBorders>
          </w:tcPr>
          <w:p w:rsidR="007E1ECE" w:rsidRPr="00BC2A0C" w:rsidRDefault="007E1ECE" w:rsidP="00FE6F3C">
            <w:pPr>
              <w:pStyle w:val="TabEtichette"/>
            </w:pPr>
          </w:p>
        </w:tc>
        <w:tc>
          <w:tcPr>
            <w:tcW w:w="510" w:type="dxa"/>
            <w:tcBorders>
              <w:top w:val="single" w:sz="4" w:space="0" w:color="800000"/>
            </w:tcBorders>
          </w:tcPr>
          <w:p w:rsidR="007E1ECE" w:rsidRPr="00BC2A0C" w:rsidRDefault="007E1ECE" w:rsidP="00FE6F3C">
            <w:pPr>
              <w:pStyle w:val="TabNumeri"/>
            </w:pPr>
          </w:p>
        </w:tc>
        <w:tc>
          <w:tcPr>
            <w:tcW w:w="510" w:type="dxa"/>
            <w:tcBorders>
              <w:top w:val="single" w:sz="4" w:space="0" w:color="800000"/>
            </w:tcBorders>
          </w:tcPr>
          <w:p w:rsidR="007E1ECE" w:rsidRPr="00BC2A0C" w:rsidRDefault="007E1ECE" w:rsidP="00FE6F3C">
            <w:pPr>
              <w:pStyle w:val="TabNumeri"/>
            </w:pPr>
          </w:p>
        </w:tc>
        <w:tc>
          <w:tcPr>
            <w:tcW w:w="510" w:type="dxa"/>
            <w:tcBorders>
              <w:top w:val="single" w:sz="4" w:space="0" w:color="800000"/>
            </w:tcBorders>
          </w:tcPr>
          <w:p w:rsidR="007E1ECE" w:rsidRPr="00BC2A0C" w:rsidRDefault="007E1ECE" w:rsidP="00FE6F3C">
            <w:pPr>
              <w:pStyle w:val="TabNumeri"/>
            </w:pPr>
          </w:p>
        </w:tc>
        <w:tc>
          <w:tcPr>
            <w:tcW w:w="514" w:type="dxa"/>
            <w:tcBorders>
              <w:top w:val="single" w:sz="4" w:space="0" w:color="800000"/>
            </w:tcBorders>
          </w:tcPr>
          <w:p w:rsidR="007E1ECE" w:rsidRPr="00BC2A0C" w:rsidRDefault="007E1ECE" w:rsidP="00FE6F3C">
            <w:pPr>
              <w:pStyle w:val="TabNumeri"/>
            </w:pPr>
          </w:p>
        </w:tc>
      </w:tr>
      <w:tr w:rsidR="007E1ECE" w:rsidRPr="00BC2A0C" w:rsidTr="00FE6F3C">
        <w:trPr>
          <w:cantSplit/>
          <w:trHeight w:val="255"/>
        </w:trPr>
        <w:tc>
          <w:tcPr>
            <w:tcW w:w="2722" w:type="dxa"/>
          </w:tcPr>
          <w:p w:rsidR="007E1ECE" w:rsidRPr="00BC2A0C" w:rsidRDefault="007E1ECE" w:rsidP="00FE6F3C">
            <w:pPr>
              <w:pStyle w:val="TabEtichette"/>
            </w:pPr>
            <w:r w:rsidRPr="00BC2A0C">
              <w:t>Economie avanzate</w:t>
            </w:r>
          </w:p>
        </w:tc>
        <w:tc>
          <w:tcPr>
            <w:tcW w:w="510" w:type="dxa"/>
          </w:tcPr>
          <w:p w:rsidR="007E1ECE" w:rsidRPr="00CF7718" w:rsidRDefault="007E1ECE" w:rsidP="00FE6F3C">
            <w:pPr>
              <w:pStyle w:val="TabNumeri"/>
            </w:pPr>
            <w:r w:rsidRPr="00CF7718">
              <w:t>2,1</w:t>
            </w:r>
          </w:p>
        </w:tc>
        <w:tc>
          <w:tcPr>
            <w:tcW w:w="510" w:type="dxa"/>
          </w:tcPr>
          <w:p w:rsidR="007E1ECE" w:rsidRPr="00CF7718" w:rsidRDefault="007E1ECE" w:rsidP="00FE6F3C">
            <w:pPr>
              <w:pStyle w:val="TabNumeri"/>
            </w:pPr>
            <w:r w:rsidRPr="00CF7718">
              <w:t>1,6</w:t>
            </w:r>
          </w:p>
        </w:tc>
        <w:tc>
          <w:tcPr>
            <w:tcW w:w="510" w:type="dxa"/>
          </w:tcPr>
          <w:p w:rsidR="007E1ECE" w:rsidRPr="00CF7718" w:rsidRDefault="007E1ECE" w:rsidP="00FE6F3C">
            <w:pPr>
              <w:pStyle w:val="TabNumeri"/>
            </w:pPr>
            <w:r w:rsidRPr="00CF7718">
              <w:t>1,9</w:t>
            </w:r>
          </w:p>
        </w:tc>
        <w:tc>
          <w:tcPr>
            <w:tcW w:w="510" w:type="dxa"/>
          </w:tcPr>
          <w:p w:rsidR="007E1ECE" w:rsidRPr="00CF7718" w:rsidRDefault="007E1ECE" w:rsidP="00FE6F3C">
            <w:pPr>
              <w:pStyle w:val="TabNumeri"/>
            </w:pPr>
            <w:r w:rsidRPr="00CF7718">
              <w:t>2,0</w:t>
            </w:r>
          </w:p>
        </w:tc>
        <w:tc>
          <w:tcPr>
            <w:tcW w:w="567" w:type="dxa"/>
          </w:tcPr>
          <w:p w:rsidR="007E1ECE" w:rsidRPr="00BC2A0C" w:rsidRDefault="007E1ECE" w:rsidP="00FE6F3C">
            <w:pPr>
              <w:pStyle w:val="TabEtichette"/>
            </w:pPr>
          </w:p>
        </w:tc>
        <w:tc>
          <w:tcPr>
            <w:tcW w:w="1985" w:type="dxa"/>
          </w:tcPr>
          <w:p w:rsidR="007E1ECE" w:rsidRPr="00BC2A0C" w:rsidRDefault="007E1ECE" w:rsidP="00FE6F3C">
            <w:pPr>
              <w:pStyle w:val="TabEtichette"/>
            </w:pPr>
            <w:r w:rsidRPr="00BC2A0C">
              <w:t>Germania</w:t>
            </w:r>
          </w:p>
        </w:tc>
        <w:tc>
          <w:tcPr>
            <w:tcW w:w="510" w:type="dxa"/>
          </w:tcPr>
          <w:p w:rsidR="007E1ECE" w:rsidRPr="00D030BD" w:rsidRDefault="007E1ECE" w:rsidP="00FE6F3C">
            <w:pPr>
              <w:pStyle w:val="TabNumeri"/>
            </w:pPr>
            <w:r w:rsidRPr="00D030BD">
              <w:t>1,5</w:t>
            </w:r>
          </w:p>
        </w:tc>
        <w:tc>
          <w:tcPr>
            <w:tcW w:w="510" w:type="dxa"/>
          </w:tcPr>
          <w:p w:rsidR="007E1ECE" w:rsidRPr="00D030BD" w:rsidRDefault="007E1ECE" w:rsidP="00FE6F3C">
            <w:pPr>
              <w:pStyle w:val="TabNumeri"/>
            </w:pPr>
            <w:r w:rsidRPr="00D030BD">
              <w:t>1,7</w:t>
            </w:r>
          </w:p>
        </w:tc>
        <w:tc>
          <w:tcPr>
            <w:tcW w:w="510" w:type="dxa"/>
          </w:tcPr>
          <w:p w:rsidR="007E1ECE" w:rsidRPr="00D030BD" w:rsidRDefault="007E1ECE" w:rsidP="00FE6F3C">
            <w:pPr>
              <w:pStyle w:val="TabNumeri"/>
            </w:pPr>
            <w:r w:rsidRPr="00D030BD">
              <w:t>1,5</w:t>
            </w:r>
          </w:p>
        </w:tc>
        <w:tc>
          <w:tcPr>
            <w:tcW w:w="514" w:type="dxa"/>
          </w:tcPr>
          <w:p w:rsidR="007E1ECE" w:rsidRPr="00D030BD" w:rsidRDefault="007E1ECE" w:rsidP="00FE6F3C">
            <w:pPr>
              <w:pStyle w:val="TabNumeri"/>
            </w:pPr>
            <w:r w:rsidRPr="00D030BD">
              <w:t>1,5</w:t>
            </w:r>
          </w:p>
        </w:tc>
      </w:tr>
      <w:tr w:rsidR="00566C64" w:rsidRPr="00BC2A0C" w:rsidTr="00EE7CE2">
        <w:trPr>
          <w:cantSplit/>
          <w:trHeight w:val="255"/>
        </w:trPr>
        <w:tc>
          <w:tcPr>
            <w:tcW w:w="2722" w:type="dxa"/>
            <w:shd w:val="clear" w:color="auto" w:fill="F2F2F2"/>
          </w:tcPr>
          <w:p w:rsidR="007E1ECE" w:rsidRPr="00BC2A0C" w:rsidRDefault="007E1ECE" w:rsidP="00FE6F3C">
            <w:pPr>
              <w:pStyle w:val="TabEtichette"/>
            </w:pPr>
            <w:r w:rsidRPr="00BC2A0C">
              <w:t xml:space="preserve">  Stati Uniti</w:t>
            </w:r>
          </w:p>
        </w:tc>
        <w:tc>
          <w:tcPr>
            <w:tcW w:w="510" w:type="dxa"/>
            <w:shd w:val="clear" w:color="auto" w:fill="F2F2F2"/>
          </w:tcPr>
          <w:p w:rsidR="007E1ECE" w:rsidRPr="00CF7718" w:rsidRDefault="007E1ECE" w:rsidP="00FE6F3C">
            <w:pPr>
              <w:pStyle w:val="TabNumeri"/>
            </w:pPr>
            <w:r w:rsidRPr="00CF7718">
              <w:t>2,6</w:t>
            </w:r>
          </w:p>
        </w:tc>
        <w:tc>
          <w:tcPr>
            <w:tcW w:w="510" w:type="dxa"/>
            <w:shd w:val="clear" w:color="auto" w:fill="F2F2F2"/>
          </w:tcPr>
          <w:p w:rsidR="007E1ECE" w:rsidRPr="00CF7718" w:rsidRDefault="007E1ECE" w:rsidP="00FE6F3C">
            <w:pPr>
              <w:pStyle w:val="TabNumeri"/>
            </w:pPr>
            <w:r w:rsidRPr="00CF7718">
              <w:t>1,6</w:t>
            </w:r>
          </w:p>
        </w:tc>
        <w:tc>
          <w:tcPr>
            <w:tcW w:w="510" w:type="dxa"/>
            <w:shd w:val="clear" w:color="auto" w:fill="F2F2F2"/>
          </w:tcPr>
          <w:p w:rsidR="007E1ECE" w:rsidRPr="00CF7718" w:rsidRDefault="007E1ECE" w:rsidP="00FE6F3C">
            <w:pPr>
              <w:pStyle w:val="TabNumeri"/>
            </w:pPr>
            <w:r w:rsidRPr="00CF7718">
              <w:t>2,3</w:t>
            </w:r>
          </w:p>
        </w:tc>
        <w:tc>
          <w:tcPr>
            <w:tcW w:w="510" w:type="dxa"/>
            <w:shd w:val="clear" w:color="auto" w:fill="F2F2F2"/>
          </w:tcPr>
          <w:p w:rsidR="007E1ECE" w:rsidRPr="00CF7718" w:rsidRDefault="007E1ECE" w:rsidP="00FE6F3C">
            <w:pPr>
              <w:pStyle w:val="TabNumeri"/>
            </w:pPr>
            <w:r w:rsidRPr="00CF7718">
              <w:t>2,5</w:t>
            </w:r>
          </w:p>
        </w:tc>
        <w:tc>
          <w:tcPr>
            <w:tcW w:w="567" w:type="dxa"/>
          </w:tcPr>
          <w:p w:rsidR="007E1ECE" w:rsidRPr="00BC2A0C" w:rsidRDefault="007E1ECE" w:rsidP="00FE6F3C">
            <w:pPr>
              <w:pStyle w:val="TabEtichette"/>
            </w:pPr>
          </w:p>
        </w:tc>
        <w:tc>
          <w:tcPr>
            <w:tcW w:w="1985" w:type="dxa"/>
            <w:shd w:val="clear" w:color="auto" w:fill="F2F2F2"/>
          </w:tcPr>
          <w:p w:rsidR="007E1ECE" w:rsidRPr="00BC2A0C" w:rsidRDefault="007E1ECE" w:rsidP="00FE6F3C">
            <w:pPr>
              <w:pStyle w:val="TabEtichette"/>
            </w:pPr>
            <w:r w:rsidRPr="00BC2A0C">
              <w:t>Francia</w:t>
            </w:r>
          </w:p>
        </w:tc>
        <w:tc>
          <w:tcPr>
            <w:tcW w:w="510" w:type="dxa"/>
            <w:shd w:val="clear" w:color="auto" w:fill="F2F2F2"/>
          </w:tcPr>
          <w:p w:rsidR="007E1ECE" w:rsidRPr="00D030BD" w:rsidRDefault="007E1ECE" w:rsidP="00FE6F3C">
            <w:pPr>
              <w:pStyle w:val="TabNumeri"/>
            </w:pPr>
            <w:r w:rsidRPr="00D030BD">
              <w:t>1,3</w:t>
            </w:r>
          </w:p>
        </w:tc>
        <w:tc>
          <w:tcPr>
            <w:tcW w:w="510" w:type="dxa"/>
            <w:shd w:val="clear" w:color="auto" w:fill="F2F2F2"/>
          </w:tcPr>
          <w:p w:rsidR="007E1ECE" w:rsidRPr="00D030BD" w:rsidRDefault="007E1ECE" w:rsidP="00FE6F3C">
            <w:pPr>
              <w:pStyle w:val="TabNumeri"/>
            </w:pPr>
            <w:r w:rsidRPr="00D030BD">
              <w:t>1,3</w:t>
            </w:r>
          </w:p>
        </w:tc>
        <w:tc>
          <w:tcPr>
            <w:tcW w:w="510" w:type="dxa"/>
            <w:shd w:val="clear" w:color="auto" w:fill="F2F2F2"/>
          </w:tcPr>
          <w:p w:rsidR="007E1ECE" w:rsidRPr="00D030BD" w:rsidRDefault="007E1ECE" w:rsidP="00FE6F3C">
            <w:pPr>
              <w:pStyle w:val="TabNumeri"/>
            </w:pPr>
            <w:r w:rsidRPr="00D030BD">
              <w:t>1,3</w:t>
            </w:r>
          </w:p>
        </w:tc>
        <w:tc>
          <w:tcPr>
            <w:tcW w:w="514" w:type="dxa"/>
            <w:shd w:val="clear" w:color="auto" w:fill="F2F2F2"/>
          </w:tcPr>
          <w:p w:rsidR="007E1ECE" w:rsidRPr="00D030BD" w:rsidRDefault="007E1ECE" w:rsidP="00FE6F3C">
            <w:pPr>
              <w:pStyle w:val="TabNumeri"/>
            </w:pPr>
            <w:r w:rsidRPr="00D030BD">
              <w:t>1,6</w:t>
            </w:r>
          </w:p>
        </w:tc>
      </w:tr>
      <w:tr w:rsidR="007E1ECE" w:rsidRPr="00BC2A0C" w:rsidTr="00FE6F3C">
        <w:trPr>
          <w:cantSplit/>
          <w:trHeight w:val="255"/>
        </w:trPr>
        <w:tc>
          <w:tcPr>
            <w:tcW w:w="2722" w:type="dxa"/>
          </w:tcPr>
          <w:p w:rsidR="007E1ECE" w:rsidRPr="00BC2A0C" w:rsidRDefault="007E1ECE" w:rsidP="00FE6F3C">
            <w:pPr>
              <w:pStyle w:val="TabEtichette"/>
            </w:pPr>
            <w:r w:rsidRPr="00BC2A0C">
              <w:t xml:space="preserve">  Giappone</w:t>
            </w:r>
          </w:p>
        </w:tc>
        <w:tc>
          <w:tcPr>
            <w:tcW w:w="510" w:type="dxa"/>
          </w:tcPr>
          <w:p w:rsidR="007E1ECE" w:rsidRPr="00CF7718" w:rsidRDefault="007E1ECE" w:rsidP="00FE6F3C">
            <w:pPr>
              <w:pStyle w:val="TabNumeri"/>
            </w:pPr>
            <w:r w:rsidRPr="00CF7718">
              <w:t>1,2</w:t>
            </w:r>
          </w:p>
        </w:tc>
        <w:tc>
          <w:tcPr>
            <w:tcW w:w="510" w:type="dxa"/>
          </w:tcPr>
          <w:p w:rsidR="007E1ECE" w:rsidRPr="00CF7718" w:rsidRDefault="007E1ECE" w:rsidP="00FE6F3C">
            <w:pPr>
              <w:pStyle w:val="TabNumeri"/>
            </w:pPr>
            <w:r w:rsidRPr="00CF7718">
              <w:t>0,9</w:t>
            </w:r>
          </w:p>
        </w:tc>
        <w:tc>
          <w:tcPr>
            <w:tcW w:w="510" w:type="dxa"/>
          </w:tcPr>
          <w:p w:rsidR="007E1ECE" w:rsidRPr="00CF7718" w:rsidRDefault="007E1ECE" w:rsidP="00FE6F3C">
            <w:pPr>
              <w:pStyle w:val="TabNumeri"/>
            </w:pPr>
            <w:r w:rsidRPr="00CF7718">
              <w:t>0,8</w:t>
            </w:r>
          </w:p>
        </w:tc>
        <w:tc>
          <w:tcPr>
            <w:tcW w:w="510" w:type="dxa"/>
          </w:tcPr>
          <w:p w:rsidR="007E1ECE" w:rsidRPr="00CF7718" w:rsidRDefault="007E1ECE" w:rsidP="00FE6F3C">
            <w:pPr>
              <w:pStyle w:val="TabNumeri"/>
            </w:pPr>
            <w:r w:rsidRPr="00CF7718">
              <w:t>0,5</w:t>
            </w:r>
          </w:p>
        </w:tc>
        <w:tc>
          <w:tcPr>
            <w:tcW w:w="567" w:type="dxa"/>
          </w:tcPr>
          <w:p w:rsidR="007E1ECE" w:rsidRPr="00BC2A0C" w:rsidRDefault="007E1ECE" w:rsidP="00FE6F3C">
            <w:pPr>
              <w:pStyle w:val="TabEtichette"/>
            </w:pPr>
          </w:p>
        </w:tc>
        <w:tc>
          <w:tcPr>
            <w:tcW w:w="1985" w:type="dxa"/>
          </w:tcPr>
          <w:p w:rsidR="007E1ECE" w:rsidRPr="00BC2A0C" w:rsidRDefault="007E1ECE" w:rsidP="00FE6F3C">
            <w:pPr>
              <w:pStyle w:val="TabEtichette"/>
            </w:pPr>
            <w:r w:rsidRPr="00BC2A0C">
              <w:t>Italia</w:t>
            </w:r>
          </w:p>
        </w:tc>
        <w:tc>
          <w:tcPr>
            <w:tcW w:w="510" w:type="dxa"/>
          </w:tcPr>
          <w:p w:rsidR="007E1ECE" w:rsidRPr="00D030BD" w:rsidRDefault="007E1ECE" w:rsidP="00FE6F3C">
            <w:pPr>
              <w:pStyle w:val="TabNumeri"/>
            </w:pPr>
            <w:r w:rsidRPr="00D030BD">
              <w:t>0,7</w:t>
            </w:r>
          </w:p>
        </w:tc>
        <w:tc>
          <w:tcPr>
            <w:tcW w:w="510" w:type="dxa"/>
          </w:tcPr>
          <w:p w:rsidR="007E1ECE" w:rsidRPr="00D030BD" w:rsidRDefault="007E1ECE" w:rsidP="00FE6F3C">
            <w:pPr>
              <w:pStyle w:val="TabNumeri"/>
            </w:pPr>
            <w:r w:rsidRPr="00D030BD">
              <w:t>0,9</w:t>
            </w:r>
          </w:p>
        </w:tc>
        <w:tc>
          <w:tcPr>
            <w:tcW w:w="510" w:type="dxa"/>
          </w:tcPr>
          <w:p w:rsidR="007E1ECE" w:rsidRPr="00D030BD" w:rsidRDefault="007E1ECE" w:rsidP="00FE6F3C">
            <w:pPr>
              <w:pStyle w:val="TabNumeri"/>
            </w:pPr>
            <w:r w:rsidRPr="00D030BD">
              <w:t>0,7</w:t>
            </w:r>
          </w:p>
        </w:tc>
        <w:tc>
          <w:tcPr>
            <w:tcW w:w="514" w:type="dxa"/>
          </w:tcPr>
          <w:p w:rsidR="007E1ECE" w:rsidRPr="00D030BD" w:rsidRDefault="007E1ECE" w:rsidP="00FE6F3C">
            <w:pPr>
              <w:pStyle w:val="TabNumeri"/>
            </w:pPr>
            <w:r w:rsidRPr="00D030BD">
              <w:t>0,8</w:t>
            </w:r>
          </w:p>
        </w:tc>
      </w:tr>
      <w:tr w:rsidR="00566C64" w:rsidRPr="00BC2A0C" w:rsidTr="00EE7CE2">
        <w:trPr>
          <w:cantSplit/>
          <w:trHeight w:val="255"/>
        </w:trPr>
        <w:tc>
          <w:tcPr>
            <w:tcW w:w="2722" w:type="dxa"/>
            <w:shd w:val="clear" w:color="auto" w:fill="F2F2F2"/>
          </w:tcPr>
          <w:p w:rsidR="007E1ECE" w:rsidRPr="00BC2A0C" w:rsidRDefault="007E1ECE" w:rsidP="00FE6F3C">
            <w:pPr>
              <w:pStyle w:val="TabEtichette"/>
            </w:pPr>
            <w:r w:rsidRPr="00BC2A0C">
              <w:t xml:space="preserve">  Area dell'euro</w:t>
            </w:r>
          </w:p>
        </w:tc>
        <w:tc>
          <w:tcPr>
            <w:tcW w:w="510" w:type="dxa"/>
            <w:shd w:val="clear" w:color="auto" w:fill="F2F2F2"/>
          </w:tcPr>
          <w:p w:rsidR="007E1ECE" w:rsidRPr="00CF7718" w:rsidRDefault="007E1ECE" w:rsidP="00FE6F3C">
            <w:pPr>
              <w:pStyle w:val="TabNumeri"/>
            </w:pPr>
            <w:r w:rsidRPr="00CF7718">
              <w:t>2,0</w:t>
            </w:r>
          </w:p>
        </w:tc>
        <w:tc>
          <w:tcPr>
            <w:tcW w:w="510" w:type="dxa"/>
            <w:shd w:val="clear" w:color="auto" w:fill="F2F2F2"/>
          </w:tcPr>
          <w:p w:rsidR="007E1ECE" w:rsidRPr="00CF7718" w:rsidRDefault="007E1ECE" w:rsidP="00FE6F3C">
            <w:pPr>
              <w:pStyle w:val="TabNumeri"/>
            </w:pPr>
            <w:r w:rsidRPr="00CF7718">
              <w:t>1,7</w:t>
            </w:r>
          </w:p>
        </w:tc>
        <w:tc>
          <w:tcPr>
            <w:tcW w:w="510" w:type="dxa"/>
            <w:shd w:val="clear" w:color="auto" w:fill="F2F2F2"/>
          </w:tcPr>
          <w:p w:rsidR="007E1ECE" w:rsidRPr="00CF7718" w:rsidRDefault="007E1ECE" w:rsidP="00FE6F3C">
            <w:pPr>
              <w:pStyle w:val="TabNumeri"/>
            </w:pPr>
            <w:r w:rsidRPr="00CF7718">
              <w:t>1,6</w:t>
            </w:r>
          </w:p>
        </w:tc>
        <w:tc>
          <w:tcPr>
            <w:tcW w:w="510" w:type="dxa"/>
            <w:shd w:val="clear" w:color="auto" w:fill="F2F2F2"/>
          </w:tcPr>
          <w:p w:rsidR="007E1ECE" w:rsidRPr="00CF7718" w:rsidRDefault="007E1ECE" w:rsidP="00FE6F3C">
            <w:pPr>
              <w:pStyle w:val="TabNumeri"/>
            </w:pPr>
            <w:r w:rsidRPr="00CF7718">
              <w:t>1,6</w:t>
            </w:r>
          </w:p>
        </w:tc>
        <w:tc>
          <w:tcPr>
            <w:tcW w:w="567" w:type="dxa"/>
          </w:tcPr>
          <w:p w:rsidR="007E1ECE" w:rsidRPr="00BC2A0C" w:rsidRDefault="007E1ECE" w:rsidP="00FE6F3C">
            <w:pPr>
              <w:pStyle w:val="TabEtichette"/>
            </w:pPr>
          </w:p>
        </w:tc>
        <w:tc>
          <w:tcPr>
            <w:tcW w:w="1985" w:type="dxa"/>
            <w:shd w:val="clear" w:color="auto" w:fill="F2F2F2"/>
          </w:tcPr>
          <w:p w:rsidR="007E1ECE" w:rsidRPr="00BC2A0C" w:rsidRDefault="007E1ECE" w:rsidP="00FE6F3C">
            <w:pPr>
              <w:pStyle w:val="TabEtichette"/>
            </w:pPr>
            <w:r w:rsidRPr="00BC2A0C">
              <w:t>Spagna</w:t>
            </w:r>
          </w:p>
        </w:tc>
        <w:tc>
          <w:tcPr>
            <w:tcW w:w="510" w:type="dxa"/>
            <w:shd w:val="clear" w:color="auto" w:fill="F2F2F2"/>
          </w:tcPr>
          <w:p w:rsidR="007E1ECE" w:rsidRPr="00D030BD" w:rsidRDefault="007E1ECE" w:rsidP="00FE6F3C">
            <w:pPr>
              <w:pStyle w:val="TabNumeri"/>
            </w:pPr>
            <w:r w:rsidRPr="00D030BD">
              <w:t>3,2</w:t>
            </w:r>
          </w:p>
        </w:tc>
        <w:tc>
          <w:tcPr>
            <w:tcW w:w="510" w:type="dxa"/>
            <w:shd w:val="clear" w:color="auto" w:fill="F2F2F2"/>
          </w:tcPr>
          <w:p w:rsidR="007E1ECE" w:rsidRPr="00D030BD" w:rsidRDefault="007E1ECE" w:rsidP="00FE6F3C">
            <w:pPr>
              <w:pStyle w:val="TabNumeri"/>
            </w:pPr>
            <w:r w:rsidRPr="00D030BD">
              <w:t>3,2</w:t>
            </w:r>
          </w:p>
        </w:tc>
        <w:tc>
          <w:tcPr>
            <w:tcW w:w="510" w:type="dxa"/>
            <w:shd w:val="clear" w:color="auto" w:fill="F2F2F2"/>
          </w:tcPr>
          <w:p w:rsidR="007E1ECE" w:rsidRPr="00D030BD" w:rsidRDefault="007E1ECE" w:rsidP="00FE6F3C">
            <w:pPr>
              <w:pStyle w:val="TabNumeri"/>
            </w:pPr>
            <w:r w:rsidRPr="00D030BD">
              <w:t>2,3</w:t>
            </w:r>
          </w:p>
        </w:tc>
        <w:tc>
          <w:tcPr>
            <w:tcW w:w="514" w:type="dxa"/>
            <w:shd w:val="clear" w:color="auto" w:fill="F2F2F2"/>
          </w:tcPr>
          <w:p w:rsidR="007E1ECE" w:rsidRPr="00D030BD" w:rsidRDefault="007E1ECE" w:rsidP="00FE6F3C">
            <w:pPr>
              <w:pStyle w:val="TabNumeri"/>
            </w:pPr>
            <w:r w:rsidRPr="00D030BD">
              <w:t>2,1</w:t>
            </w:r>
          </w:p>
        </w:tc>
      </w:tr>
      <w:tr w:rsidR="007E1ECE" w:rsidRPr="00BC2A0C" w:rsidTr="00FE6F3C">
        <w:trPr>
          <w:cantSplit/>
          <w:trHeight w:val="255"/>
        </w:trPr>
        <w:tc>
          <w:tcPr>
            <w:tcW w:w="2722" w:type="dxa"/>
          </w:tcPr>
          <w:p w:rsidR="007E1ECE" w:rsidRPr="00BC2A0C" w:rsidRDefault="007E1ECE" w:rsidP="00FE6F3C">
            <w:pPr>
              <w:pStyle w:val="TabEtichette"/>
            </w:pPr>
          </w:p>
        </w:tc>
        <w:tc>
          <w:tcPr>
            <w:tcW w:w="510" w:type="dxa"/>
          </w:tcPr>
          <w:p w:rsidR="007E1ECE" w:rsidRPr="00CF7718" w:rsidRDefault="007E1ECE" w:rsidP="00FE6F3C">
            <w:pPr>
              <w:pStyle w:val="TabNumeri"/>
            </w:pPr>
          </w:p>
        </w:tc>
        <w:tc>
          <w:tcPr>
            <w:tcW w:w="510" w:type="dxa"/>
          </w:tcPr>
          <w:p w:rsidR="007E1ECE" w:rsidRPr="00CF7718" w:rsidRDefault="007E1ECE" w:rsidP="00FE6F3C">
            <w:pPr>
              <w:pStyle w:val="TabNumeri"/>
            </w:pPr>
          </w:p>
        </w:tc>
        <w:tc>
          <w:tcPr>
            <w:tcW w:w="510" w:type="dxa"/>
          </w:tcPr>
          <w:p w:rsidR="007E1ECE" w:rsidRPr="00CF7718" w:rsidRDefault="007E1ECE" w:rsidP="00FE6F3C">
            <w:pPr>
              <w:pStyle w:val="TabNumeri"/>
            </w:pPr>
          </w:p>
        </w:tc>
        <w:tc>
          <w:tcPr>
            <w:tcW w:w="510" w:type="dxa"/>
          </w:tcPr>
          <w:p w:rsidR="007E1ECE" w:rsidRPr="00CF7718" w:rsidRDefault="007E1ECE" w:rsidP="00FE6F3C">
            <w:pPr>
              <w:pStyle w:val="TabNumeri"/>
            </w:pPr>
          </w:p>
        </w:tc>
        <w:tc>
          <w:tcPr>
            <w:tcW w:w="567" w:type="dxa"/>
          </w:tcPr>
          <w:p w:rsidR="007E1ECE" w:rsidRPr="00BC2A0C" w:rsidRDefault="007E1ECE" w:rsidP="00FE6F3C">
            <w:pPr>
              <w:pStyle w:val="TabEtichette"/>
            </w:pPr>
          </w:p>
        </w:tc>
        <w:tc>
          <w:tcPr>
            <w:tcW w:w="1985" w:type="dxa"/>
          </w:tcPr>
          <w:p w:rsidR="007E1ECE" w:rsidRPr="00BC2A0C" w:rsidRDefault="007E1ECE" w:rsidP="00FE6F3C">
            <w:pPr>
              <w:pStyle w:val="TabEtichette"/>
            </w:pPr>
            <w:r w:rsidRPr="00BC2A0C">
              <w:t>Regno Unito</w:t>
            </w:r>
          </w:p>
        </w:tc>
        <w:tc>
          <w:tcPr>
            <w:tcW w:w="510" w:type="dxa"/>
          </w:tcPr>
          <w:p w:rsidR="007E1ECE" w:rsidRPr="00D030BD" w:rsidRDefault="007E1ECE" w:rsidP="00FE6F3C">
            <w:pPr>
              <w:pStyle w:val="TabNumeri"/>
            </w:pPr>
            <w:r w:rsidRPr="00D030BD">
              <w:t>2,2</w:t>
            </w:r>
          </w:p>
        </w:tc>
        <w:tc>
          <w:tcPr>
            <w:tcW w:w="510" w:type="dxa"/>
          </w:tcPr>
          <w:p w:rsidR="007E1ECE" w:rsidRPr="00D030BD" w:rsidRDefault="007E1ECE" w:rsidP="00FE6F3C">
            <w:pPr>
              <w:pStyle w:val="TabNumeri"/>
            </w:pPr>
            <w:r w:rsidRPr="00D030BD">
              <w:t>2,0</w:t>
            </w:r>
          </w:p>
        </w:tc>
        <w:tc>
          <w:tcPr>
            <w:tcW w:w="510" w:type="dxa"/>
          </w:tcPr>
          <w:p w:rsidR="007E1ECE" w:rsidRPr="00D030BD" w:rsidRDefault="007E1ECE" w:rsidP="00FE6F3C">
            <w:pPr>
              <w:pStyle w:val="TabNumeri"/>
            </w:pPr>
            <w:r w:rsidRPr="00D030BD">
              <w:t>1,5</w:t>
            </w:r>
          </w:p>
        </w:tc>
        <w:tc>
          <w:tcPr>
            <w:tcW w:w="514" w:type="dxa"/>
          </w:tcPr>
          <w:p w:rsidR="007E1ECE" w:rsidRPr="00D030BD" w:rsidRDefault="007E1ECE" w:rsidP="00FE6F3C">
            <w:pPr>
              <w:pStyle w:val="TabNumeri"/>
            </w:pPr>
            <w:r w:rsidRPr="00D030BD">
              <w:t>1,4</w:t>
            </w:r>
          </w:p>
        </w:tc>
      </w:tr>
      <w:tr w:rsidR="00566C64" w:rsidRPr="00BC2A0C" w:rsidTr="00EE7CE2">
        <w:trPr>
          <w:cantSplit/>
          <w:trHeight w:val="255"/>
        </w:trPr>
        <w:tc>
          <w:tcPr>
            <w:tcW w:w="2722" w:type="dxa"/>
            <w:shd w:val="clear" w:color="auto" w:fill="F2F2F2"/>
          </w:tcPr>
          <w:p w:rsidR="007E1ECE" w:rsidRPr="00BC2A0C" w:rsidRDefault="007E1ECE" w:rsidP="00FE6F3C">
            <w:pPr>
              <w:pStyle w:val="TabEtichette"/>
            </w:pPr>
            <w:r w:rsidRPr="00BC2A0C">
              <w:t>Economie emergenti e in sviluppo</w:t>
            </w:r>
          </w:p>
        </w:tc>
        <w:tc>
          <w:tcPr>
            <w:tcW w:w="510" w:type="dxa"/>
            <w:shd w:val="clear" w:color="auto" w:fill="F2F2F2"/>
          </w:tcPr>
          <w:p w:rsidR="007E1ECE" w:rsidRPr="00CF7718" w:rsidRDefault="007E1ECE" w:rsidP="00FE6F3C">
            <w:pPr>
              <w:pStyle w:val="TabNumeri"/>
            </w:pPr>
            <w:r w:rsidRPr="00CF7718">
              <w:t>4,1</w:t>
            </w:r>
          </w:p>
        </w:tc>
        <w:tc>
          <w:tcPr>
            <w:tcW w:w="510" w:type="dxa"/>
            <w:shd w:val="clear" w:color="auto" w:fill="F2F2F2"/>
          </w:tcPr>
          <w:p w:rsidR="007E1ECE" w:rsidRPr="00CF7718" w:rsidRDefault="007E1ECE" w:rsidP="00FE6F3C">
            <w:pPr>
              <w:pStyle w:val="TabNumeri"/>
            </w:pPr>
            <w:r w:rsidRPr="00CF7718">
              <w:t>4,1</w:t>
            </w:r>
          </w:p>
        </w:tc>
        <w:tc>
          <w:tcPr>
            <w:tcW w:w="510" w:type="dxa"/>
            <w:shd w:val="clear" w:color="auto" w:fill="F2F2F2"/>
          </w:tcPr>
          <w:p w:rsidR="007E1ECE" w:rsidRPr="00CF7718" w:rsidRDefault="007E1ECE" w:rsidP="00FE6F3C">
            <w:pPr>
              <w:pStyle w:val="TabNumeri"/>
            </w:pPr>
            <w:r w:rsidRPr="00CF7718">
              <w:t>4,5</w:t>
            </w:r>
          </w:p>
        </w:tc>
        <w:tc>
          <w:tcPr>
            <w:tcW w:w="510" w:type="dxa"/>
            <w:shd w:val="clear" w:color="auto" w:fill="F2F2F2"/>
          </w:tcPr>
          <w:p w:rsidR="007E1ECE" w:rsidRPr="00CF7718" w:rsidRDefault="007E1ECE" w:rsidP="00FE6F3C">
            <w:pPr>
              <w:pStyle w:val="TabNumeri"/>
            </w:pPr>
            <w:r w:rsidRPr="00CF7718">
              <w:t>4,8</w:t>
            </w:r>
          </w:p>
        </w:tc>
        <w:tc>
          <w:tcPr>
            <w:tcW w:w="567" w:type="dxa"/>
          </w:tcPr>
          <w:p w:rsidR="007E1ECE" w:rsidRPr="00BC2A0C" w:rsidRDefault="007E1ECE" w:rsidP="00FE6F3C">
            <w:pPr>
              <w:pStyle w:val="TabEtichette"/>
            </w:pPr>
          </w:p>
        </w:tc>
        <w:tc>
          <w:tcPr>
            <w:tcW w:w="1985" w:type="dxa"/>
            <w:shd w:val="clear" w:color="auto" w:fill="F2F2F2"/>
          </w:tcPr>
          <w:p w:rsidR="007E1ECE" w:rsidRPr="00BC2A0C" w:rsidRDefault="007E1ECE" w:rsidP="00FE6F3C">
            <w:pPr>
              <w:pStyle w:val="TabEtichette"/>
            </w:pPr>
            <w:r w:rsidRPr="00BC2A0C">
              <w:t>Russia</w:t>
            </w:r>
          </w:p>
        </w:tc>
        <w:tc>
          <w:tcPr>
            <w:tcW w:w="510" w:type="dxa"/>
            <w:shd w:val="clear" w:color="auto" w:fill="F2F2F2"/>
          </w:tcPr>
          <w:p w:rsidR="007E1ECE" w:rsidRPr="00D030BD" w:rsidRDefault="007E1ECE" w:rsidP="00FE6F3C">
            <w:pPr>
              <w:pStyle w:val="TabNumeri"/>
            </w:pPr>
            <w:r w:rsidRPr="00D030BD">
              <w:t>-3,7</w:t>
            </w:r>
          </w:p>
        </w:tc>
        <w:tc>
          <w:tcPr>
            <w:tcW w:w="510" w:type="dxa"/>
            <w:shd w:val="clear" w:color="auto" w:fill="F2F2F2"/>
          </w:tcPr>
          <w:p w:rsidR="007E1ECE" w:rsidRPr="00D030BD" w:rsidRDefault="007E1ECE" w:rsidP="00FE6F3C">
            <w:pPr>
              <w:pStyle w:val="TabNumeri"/>
            </w:pPr>
            <w:r w:rsidRPr="00D030BD">
              <w:t>-0,6</w:t>
            </w:r>
          </w:p>
        </w:tc>
        <w:tc>
          <w:tcPr>
            <w:tcW w:w="510" w:type="dxa"/>
            <w:shd w:val="clear" w:color="auto" w:fill="F2F2F2"/>
          </w:tcPr>
          <w:p w:rsidR="007E1ECE" w:rsidRPr="00D030BD" w:rsidRDefault="007E1ECE" w:rsidP="00FE6F3C">
            <w:pPr>
              <w:pStyle w:val="TabNumeri"/>
            </w:pPr>
            <w:r w:rsidRPr="00D030BD">
              <w:t>1,1</w:t>
            </w:r>
          </w:p>
        </w:tc>
        <w:tc>
          <w:tcPr>
            <w:tcW w:w="514" w:type="dxa"/>
            <w:shd w:val="clear" w:color="auto" w:fill="F2F2F2"/>
          </w:tcPr>
          <w:p w:rsidR="007E1ECE" w:rsidRPr="00D030BD" w:rsidRDefault="007E1ECE" w:rsidP="00FE6F3C">
            <w:pPr>
              <w:pStyle w:val="TabNumeri"/>
            </w:pPr>
            <w:r w:rsidRPr="00D030BD">
              <w:t>1,2</w:t>
            </w:r>
          </w:p>
        </w:tc>
      </w:tr>
      <w:tr w:rsidR="007E1ECE" w:rsidRPr="00BC2A0C" w:rsidTr="00FE6F3C">
        <w:trPr>
          <w:cantSplit/>
          <w:trHeight w:val="255"/>
        </w:trPr>
        <w:tc>
          <w:tcPr>
            <w:tcW w:w="2722" w:type="dxa"/>
          </w:tcPr>
          <w:p w:rsidR="007E1ECE" w:rsidRPr="00BC2A0C" w:rsidRDefault="007E1ECE" w:rsidP="00FE6F3C">
            <w:pPr>
              <w:pStyle w:val="TabEtichette"/>
            </w:pPr>
            <w:r w:rsidRPr="00BC2A0C">
              <w:t xml:space="preserve">  Europa </w:t>
            </w:r>
            <w:r>
              <w:t>Emergente e in sviluppo</w:t>
            </w:r>
          </w:p>
        </w:tc>
        <w:tc>
          <w:tcPr>
            <w:tcW w:w="510" w:type="dxa"/>
          </w:tcPr>
          <w:p w:rsidR="007E1ECE" w:rsidRPr="00CF7718" w:rsidRDefault="007E1ECE" w:rsidP="00FE6F3C">
            <w:pPr>
              <w:pStyle w:val="TabNumeri"/>
            </w:pPr>
            <w:r w:rsidRPr="00CF7718">
              <w:t>3,7</w:t>
            </w:r>
          </w:p>
        </w:tc>
        <w:tc>
          <w:tcPr>
            <w:tcW w:w="510" w:type="dxa"/>
          </w:tcPr>
          <w:p w:rsidR="007E1ECE" w:rsidRPr="00CF7718" w:rsidRDefault="007E1ECE" w:rsidP="00FE6F3C">
            <w:pPr>
              <w:pStyle w:val="TabNumeri"/>
            </w:pPr>
            <w:r w:rsidRPr="00CF7718">
              <w:t>2,9</w:t>
            </w:r>
          </w:p>
        </w:tc>
        <w:tc>
          <w:tcPr>
            <w:tcW w:w="510" w:type="dxa"/>
          </w:tcPr>
          <w:p w:rsidR="007E1ECE" w:rsidRPr="00CF7718" w:rsidRDefault="007E1ECE" w:rsidP="00FE6F3C">
            <w:pPr>
              <w:pStyle w:val="TabNumeri"/>
            </w:pPr>
            <w:r w:rsidRPr="00CF7718">
              <w:t>3,1</w:t>
            </w:r>
          </w:p>
        </w:tc>
        <w:tc>
          <w:tcPr>
            <w:tcW w:w="510" w:type="dxa"/>
          </w:tcPr>
          <w:p w:rsidR="007E1ECE" w:rsidRPr="00CF7718" w:rsidRDefault="007E1ECE" w:rsidP="00FE6F3C">
            <w:pPr>
              <w:pStyle w:val="TabNumeri"/>
            </w:pPr>
            <w:r w:rsidRPr="00CF7718">
              <w:t>3,2</w:t>
            </w:r>
          </w:p>
        </w:tc>
        <w:tc>
          <w:tcPr>
            <w:tcW w:w="567" w:type="dxa"/>
          </w:tcPr>
          <w:p w:rsidR="007E1ECE" w:rsidRPr="00BC2A0C" w:rsidRDefault="007E1ECE" w:rsidP="00FE6F3C">
            <w:pPr>
              <w:pStyle w:val="TabEtichette"/>
            </w:pPr>
          </w:p>
        </w:tc>
        <w:tc>
          <w:tcPr>
            <w:tcW w:w="1985" w:type="dxa"/>
          </w:tcPr>
          <w:p w:rsidR="007E1ECE" w:rsidRPr="00BC2A0C" w:rsidRDefault="007E1ECE" w:rsidP="00FE6F3C">
            <w:pPr>
              <w:pStyle w:val="TabEtichette"/>
            </w:pPr>
            <w:r w:rsidRPr="00BC2A0C">
              <w:t>Cina</w:t>
            </w:r>
          </w:p>
        </w:tc>
        <w:tc>
          <w:tcPr>
            <w:tcW w:w="510" w:type="dxa"/>
          </w:tcPr>
          <w:p w:rsidR="007E1ECE" w:rsidRPr="00D030BD" w:rsidRDefault="007E1ECE" w:rsidP="00FE6F3C">
            <w:pPr>
              <w:pStyle w:val="TabNumeri"/>
            </w:pPr>
            <w:r w:rsidRPr="00D030BD">
              <w:t>6,9</w:t>
            </w:r>
          </w:p>
        </w:tc>
        <w:tc>
          <w:tcPr>
            <w:tcW w:w="510" w:type="dxa"/>
          </w:tcPr>
          <w:p w:rsidR="007E1ECE" w:rsidRPr="00D030BD" w:rsidRDefault="007E1ECE" w:rsidP="00FE6F3C">
            <w:pPr>
              <w:pStyle w:val="TabNumeri"/>
            </w:pPr>
            <w:r w:rsidRPr="00D030BD">
              <w:t>6,7</w:t>
            </w:r>
          </w:p>
        </w:tc>
        <w:tc>
          <w:tcPr>
            <w:tcW w:w="510" w:type="dxa"/>
          </w:tcPr>
          <w:p w:rsidR="007E1ECE" w:rsidRPr="00D030BD" w:rsidRDefault="007E1ECE" w:rsidP="00FE6F3C">
            <w:pPr>
              <w:pStyle w:val="TabNumeri"/>
            </w:pPr>
            <w:r w:rsidRPr="00D030BD">
              <w:t>6,5</w:t>
            </w:r>
          </w:p>
        </w:tc>
        <w:tc>
          <w:tcPr>
            <w:tcW w:w="514" w:type="dxa"/>
          </w:tcPr>
          <w:p w:rsidR="007E1ECE" w:rsidRPr="00D030BD" w:rsidRDefault="007E1ECE" w:rsidP="00FE6F3C">
            <w:pPr>
              <w:pStyle w:val="TabNumeri"/>
            </w:pPr>
            <w:r w:rsidRPr="00D030BD">
              <w:t>6,0</w:t>
            </w:r>
          </w:p>
        </w:tc>
      </w:tr>
      <w:tr w:rsidR="00566C64" w:rsidRPr="00BC2A0C" w:rsidTr="00EE7CE2">
        <w:trPr>
          <w:cantSplit/>
          <w:trHeight w:val="255"/>
        </w:trPr>
        <w:tc>
          <w:tcPr>
            <w:tcW w:w="2722" w:type="dxa"/>
            <w:shd w:val="clear" w:color="auto" w:fill="F2F2F2"/>
          </w:tcPr>
          <w:p w:rsidR="007E1ECE" w:rsidRPr="00BC2A0C" w:rsidRDefault="007E1ECE" w:rsidP="00FE6F3C">
            <w:pPr>
              <w:pStyle w:val="TabEtichette"/>
            </w:pPr>
            <w:r w:rsidRPr="00BC2A0C">
              <w:t xml:space="preserve">  Comunità di Stati Indipendenti</w:t>
            </w:r>
          </w:p>
        </w:tc>
        <w:tc>
          <w:tcPr>
            <w:tcW w:w="510" w:type="dxa"/>
            <w:shd w:val="clear" w:color="auto" w:fill="F2F2F2"/>
          </w:tcPr>
          <w:p w:rsidR="007E1ECE" w:rsidRPr="00CF7718" w:rsidRDefault="007E1ECE" w:rsidP="00FE6F3C">
            <w:pPr>
              <w:pStyle w:val="TabNumeri"/>
            </w:pPr>
            <w:r w:rsidRPr="00CF7718">
              <w:t>-2,8</w:t>
            </w:r>
          </w:p>
        </w:tc>
        <w:tc>
          <w:tcPr>
            <w:tcW w:w="510" w:type="dxa"/>
            <w:shd w:val="clear" w:color="auto" w:fill="F2F2F2"/>
          </w:tcPr>
          <w:p w:rsidR="007E1ECE" w:rsidRPr="00CF7718" w:rsidRDefault="007E1ECE" w:rsidP="00FE6F3C">
            <w:pPr>
              <w:pStyle w:val="TabNumeri"/>
            </w:pPr>
            <w:r w:rsidRPr="00CF7718">
              <w:t>-0,1</w:t>
            </w:r>
          </w:p>
        </w:tc>
        <w:tc>
          <w:tcPr>
            <w:tcW w:w="510" w:type="dxa"/>
            <w:shd w:val="clear" w:color="auto" w:fill="F2F2F2"/>
          </w:tcPr>
          <w:p w:rsidR="007E1ECE" w:rsidRPr="00CF7718" w:rsidRDefault="007E1ECE" w:rsidP="00FE6F3C">
            <w:pPr>
              <w:pStyle w:val="TabNumeri"/>
            </w:pPr>
            <w:r w:rsidRPr="00CF7718">
              <w:t>1,5</w:t>
            </w:r>
          </w:p>
        </w:tc>
        <w:tc>
          <w:tcPr>
            <w:tcW w:w="510" w:type="dxa"/>
            <w:shd w:val="clear" w:color="auto" w:fill="F2F2F2"/>
          </w:tcPr>
          <w:p w:rsidR="007E1ECE" w:rsidRPr="00CF7718" w:rsidRDefault="007E1ECE" w:rsidP="00FE6F3C">
            <w:pPr>
              <w:pStyle w:val="TabNumeri"/>
            </w:pPr>
            <w:r w:rsidRPr="00CF7718">
              <w:t>1,8</w:t>
            </w:r>
          </w:p>
        </w:tc>
        <w:tc>
          <w:tcPr>
            <w:tcW w:w="567" w:type="dxa"/>
          </w:tcPr>
          <w:p w:rsidR="007E1ECE" w:rsidRPr="00BC2A0C" w:rsidRDefault="007E1ECE" w:rsidP="00FE6F3C">
            <w:pPr>
              <w:pStyle w:val="TabEtichette"/>
            </w:pPr>
          </w:p>
        </w:tc>
        <w:tc>
          <w:tcPr>
            <w:tcW w:w="1985" w:type="dxa"/>
            <w:shd w:val="clear" w:color="auto" w:fill="F2F2F2"/>
          </w:tcPr>
          <w:p w:rsidR="007E1ECE" w:rsidRPr="00BC2A0C" w:rsidRDefault="007E1ECE" w:rsidP="00FE6F3C">
            <w:pPr>
              <w:pStyle w:val="TabEtichette"/>
            </w:pPr>
            <w:r w:rsidRPr="00BC2A0C">
              <w:t>India</w:t>
            </w:r>
          </w:p>
        </w:tc>
        <w:tc>
          <w:tcPr>
            <w:tcW w:w="510" w:type="dxa"/>
            <w:shd w:val="clear" w:color="auto" w:fill="F2F2F2"/>
          </w:tcPr>
          <w:p w:rsidR="007E1ECE" w:rsidRPr="00D030BD" w:rsidRDefault="007E1ECE" w:rsidP="00FE6F3C">
            <w:pPr>
              <w:pStyle w:val="TabNumeri"/>
            </w:pPr>
            <w:r w:rsidRPr="00D030BD">
              <w:t>7,6</w:t>
            </w:r>
          </w:p>
        </w:tc>
        <w:tc>
          <w:tcPr>
            <w:tcW w:w="510" w:type="dxa"/>
            <w:shd w:val="clear" w:color="auto" w:fill="F2F2F2"/>
          </w:tcPr>
          <w:p w:rsidR="007E1ECE" w:rsidRPr="00D030BD" w:rsidRDefault="007E1ECE" w:rsidP="00FE6F3C">
            <w:pPr>
              <w:pStyle w:val="TabNumeri"/>
            </w:pPr>
            <w:r w:rsidRPr="00D030BD">
              <w:t>6,6</w:t>
            </w:r>
          </w:p>
        </w:tc>
        <w:tc>
          <w:tcPr>
            <w:tcW w:w="510" w:type="dxa"/>
            <w:shd w:val="clear" w:color="auto" w:fill="F2F2F2"/>
          </w:tcPr>
          <w:p w:rsidR="007E1ECE" w:rsidRPr="00D030BD" w:rsidRDefault="007E1ECE" w:rsidP="00FE6F3C">
            <w:pPr>
              <w:pStyle w:val="TabNumeri"/>
            </w:pPr>
            <w:r w:rsidRPr="00D030BD">
              <w:t>7,2</w:t>
            </w:r>
          </w:p>
        </w:tc>
        <w:tc>
          <w:tcPr>
            <w:tcW w:w="514" w:type="dxa"/>
            <w:shd w:val="clear" w:color="auto" w:fill="F2F2F2"/>
          </w:tcPr>
          <w:p w:rsidR="007E1ECE" w:rsidRPr="00D030BD" w:rsidRDefault="007E1ECE" w:rsidP="00FE6F3C">
            <w:pPr>
              <w:pStyle w:val="TabNumeri"/>
            </w:pPr>
            <w:r w:rsidRPr="00D030BD">
              <w:t>7,7</w:t>
            </w:r>
          </w:p>
        </w:tc>
      </w:tr>
      <w:tr w:rsidR="007E1ECE" w:rsidRPr="00BC2A0C" w:rsidTr="00FE6F3C">
        <w:trPr>
          <w:cantSplit/>
          <w:trHeight w:val="255"/>
        </w:trPr>
        <w:tc>
          <w:tcPr>
            <w:tcW w:w="2722" w:type="dxa"/>
          </w:tcPr>
          <w:p w:rsidR="007E1ECE" w:rsidRPr="00BC2A0C" w:rsidRDefault="007E1ECE" w:rsidP="00FE6F3C">
            <w:pPr>
              <w:pStyle w:val="TabEtichette"/>
            </w:pPr>
            <w:r w:rsidRPr="00BC2A0C">
              <w:t xml:space="preserve">  Paesi Asiatici in Sviluppo</w:t>
            </w:r>
          </w:p>
        </w:tc>
        <w:tc>
          <w:tcPr>
            <w:tcW w:w="510" w:type="dxa"/>
          </w:tcPr>
          <w:p w:rsidR="007E1ECE" w:rsidRPr="00CF7718" w:rsidRDefault="007E1ECE" w:rsidP="00FE6F3C">
            <w:pPr>
              <w:pStyle w:val="TabNumeri"/>
            </w:pPr>
            <w:r w:rsidRPr="00CF7718">
              <w:t>6,7</w:t>
            </w:r>
          </w:p>
        </w:tc>
        <w:tc>
          <w:tcPr>
            <w:tcW w:w="510" w:type="dxa"/>
          </w:tcPr>
          <w:p w:rsidR="007E1ECE" w:rsidRPr="00CF7718" w:rsidRDefault="007E1ECE" w:rsidP="00FE6F3C">
            <w:pPr>
              <w:pStyle w:val="TabNumeri"/>
            </w:pPr>
            <w:r w:rsidRPr="00CF7718">
              <w:t>6,3</w:t>
            </w:r>
          </w:p>
        </w:tc>
        <w:tc>
          <w:tcPr>
            <w:tcW w:w="510" w:type="dxa"/>
          </w:tcPr>
          <w:p w:rsidR="007E1ECE" w:rsidRPr="00CF7718" w:rsidRDefault="007E1ECE" w:rsidP="00FE6F3C">
            <w:pPr>
              <w:pStyle w:val="TabNumeri"/>
            </w:pPr>
            <w:r w:rsidRPr="00CF7718">
              <w:t>6,4</w:t>
            </w:r>
          </w:p>
        </w:tc>
        <w:tc>
          <w:tcPr>
            <w:tcW w:w="510" w:type="dxa"/>
          </w:tcPr>
          <w:p w:rsidR="007E1ECE" w:rsidRPr="00CF7718" w:rsidRDefault="007E1ECE" w:rsidP="00FE6F3C">
            <w:pPr>
              <w:pStyle w:val="TabNumeri"/>
            </w:pPr>
            <w:r w:rsidRPr="00CF7718">
              <w:t>6,3</w:t>
            </w:r>
          </w:p>
        </w:tc>
        <w:tc>
          <w:tcPr>
            <w:tcW w:w="567" w:type="dxa"/>
          </w:tcPr>
          <w:p w:rsidR="007E1ECE" w:rsidRPr="00BC2A0C" w:rsidRDefault="007E1ECE" w:rsidP="00FE6F3C">
            <w:pPr>
              <w:pStyle w:val="TabEtichette"/>
            </w:pPr>
          </w:p>
        </w:tc>
        <w:tc>
          <w:tcPr>
            <w:tcW w:w="1985" w:type="dxa"/>
          </w:tcPr>
          <w:p w:rsidR="007E1ECE" w:rsidRPr="00BC2A0C" w:rsidRDefault="007E1ECE" w:rsidP="00FE6F3C">
            <w:pPr>
              <w:pStyle w:val="TabEtichette"/>
            </w:pPr>
            <w:r>
              <w:t>Asean-5 (c</w:t>
            </w:r>
            <w:r w:rsidRPr="00BC2A0C">
              <w:t>)</w:t>
            </w:r>
          </w:p>
        </w:tc>
        <w:tc>
          <w:tcPr>
            <w:tcW w:w="510" w:type="dxa"/>
          </w:tcPr>
          <w:p w:rsidR="007E1ECE" w:rsidRPr="00D030BD" w:rsidRDefault="007E1ECE" w:rsidP="00FE6F3C">
            <w:pPr>
              <w:pStyle w:val="TabNumeri"/>
            </w:pPr>
            <w:r w:rsidRPr="00D030BD">
              <w:t>4,8</w:t>
            </w:r>
          </w:p>
        </w:tc>
        <w:tc>
          <w:tcPr>
            <w:tcW w:w="510" w:type="dxa"/>
          </w:tcPr>
          <w:p w:rsidR="007E1ECE" w:rsidRPr="00D030BD" w:rsidRDefault="007E1ECE" w:rsidP="00FE6F3C">
            <w:pPr>
              <w:pStyle w:val="TabNumeri"/>
            </w:pPr>
            <w:r w:rsidRPr="00D030BD">
              <w:t>4,8</w:t>
            </w:r>
          </w:p>
        </w:tc>
        <w:tc>
          <w:tcPr>
            <w:tcW w:w="510" w:type="dxa"/>
          </w:tcPr>
          <w:p w:rsidR="007E1ECE" w:rsidRPr="00D030BD" w:rsidRDefault="007E1ECE" w:rsidP="00FE6F3C">
            <w:pPr>
              <w:pStyle w:val="TabNumeri"/>
            </w:pPr>
            <w:r w:rsidRPr="00D030BD">
              <w:t>4,9</w:t>
            </w:r>
          </w:p>
        </w:tc>
        <w:tc>
          <w:tcPr>
            <w:tcW w:w="514" w:type="dxa"/>
          </w:tcPr>
          <w:p w:rsidR="007E1ECE" w:rsidRPr="00D030BD" w:rsidRDefault="007E1ECE" w:rsidP="00FE6F3C">
            <w:pPr>
              <w:pStyle w:val="TabNumeri"/>
            </w:pPr>
            <w:r w:rsidRPr="00D030BD">
              <w:t>5,2</w:t>
            </w:r>
          </w:p>
        </w:tc>
      </w:tr>
      <w:tr w:rsidR="00566C64" w:rsidRPr="00BC2A0C" w:rsidTr="00EE7CE2">
        <w:trPr>
          <w:cantSplit/>
          <w:trHeight w:val="255"/>
        </w:trPr>
        <w:tc>
          <w:tcPr>
            <w:tcW w:w="2722" w:type="dxa"/>
            <w:shd w:val="clear" w:color="auto" w:fill="F2F2F2"/>
          </w:tcPr>
          <w:p w:rsidR="007E1ECE" w:rsidRPr="00BC2A0C" w:rsidRDefault="007E1ECE" w:rsidP="00FE6F3C">
            <w:pPr>
              <w:pStyle w:val="TabEtichette"/>
            </w:pPr>
            <w:r w:rsidRPr="00BC2A0C">
              <w:t xml:space="preserve">  M</w:t>
            </w:r>
            <w:r>
              <w:t xml:space="preserve">. </w:t>
            </w:r>
            <w:r w:rsidRPr="00BC2A0C">
              <w:t>Oriente Nord Africa</w:t>
            </w:r>
            <w:r>
              <w:t xml:space="preserve"> Afg. Pak</w:t>
            </w:r>
          </w:p>
        </w:tc>
        <w:tc>
          <w:tcPr>
            <w:tcW w:w="510" w:type="dxa"/>
            <w:shd w:val="clear" w:color="auto" w:fill="F2F2F2"/>
          </w:tcPr>
          <w:p w:rsidR="007E1ECE" w:rsidRPr="00CF7718" w:rsidRDefault="007E1ECE" w:rsidP="00FE6F3C">
            <w:pPr>
              <w:pStyle w:val="TabNumeri"/>
            </w:pPr>
            <w:r w:rsidRPr="00CF7718">
              <w:t>2,5</w:t>
            </w:r>
          </w:p>
        </w:tc>
        <w:tc>
          <w:tcPr>
            <w:tcW w:w="510" w:type="dxa"/>
            <w:shd w:val="clear" w:color="auto" w:fill="F2F2F2"/>
          </w:tcPr>
          <w:p w:rsidR="007E1ECE" w:rsidRPr="00CF7718" w:rsidRDefault="007E1ECE" w:rsidP="00FE6F3C">
            <w:pPr>
              <w:pStyle w:val="TabNumeri"/>
            </w:pPr>
            <w:r w:rsidRPr="00CF7718">
              <w:t>3,8</w:t>
            </w:r>
          </w:p>
        </w:tc>
        <w:tc>
          <w:tcPr>
            <w:tcW w:w="510" w:type="dxa"/>
            <w:shd w:val="clear" w:color="auto" w:fill="F2F2F2"/>
          </w:tcPr>
          <w:p w:rsidR="007E1ECE" w:rsidRPr="00CF7718" w:rsidRDefault="007E1ECE" w:rsidP="00FE6F3C">
            <w:pPr>
              <w:pStyle w:val="TabNumeri"/>
            </w:pPr>
            <w:r w:rsidRPr="00CF7718">
              <w:t>3,1</w:t>
            </w:r>
          </w:p>
        </w:tc>
        <w:tc>
          <w:tcPr>
            <w:tcW w:w="510" w:type="dxa"/>
            <w:shd w:val="clear" w:color="auto" w:fill="F2F2F2"/>
          </w:tcPr>
          <w:p w:rsidR="007E1ECE" w:rsidRPr="00CF7718" w:rsidRDefault="007E1ECE" w:rsidP="00FE6F3C">
            <w:pPr>
              <w:pStyle w:val="TabNumeri"/>
            </w:pPr>
            <w:r w:rsidRPr="00CF7718">
              <w:t>3,5</w:t>
            </w:r>
          </w:p>
        </w:tc>
        <w:tc>
          <w:tcPr>
            <w:tcW w:w="567" w:type="dxa"/>
          </w:tcPr>
          <w:p w:rsidR="007E1ECE" w:rsidRPr="00BC2A0C" w:rsidRDefault="007E1ECE" w:rsidP="00FE6F3C">
            <w:pPr>
              <w:pStyle w:val="TabEtichette"/>
            </w:pPr>
          </w:p>
        </w:tc>
        <w:tc>
          <w:tcPr>
            <w:tcW w:w="1985" w:type="dxa"/>
            <w:shd w:val="clear" w:color="auto" w:fill="F2F2F2"/>
          </w:tcPr>
          <w:p w:rsidR="007E1ECE" w:rsidRPr="00BC2A0C" w:rsidRDefault="007E1ECE" w:rsidP="00FE6F3C">
            <w:pPr>
              <w:pStyle w:val="TabEtichette"/>
            </w:pPr>
            <w:r w:rsidRPr="00BC2A0C">
              <w:t>Sud Africa</w:t>
            </w:r>
          </w:p>
        </w:tc>
        <w:tc>
          <w:tcPr>
            <w:tcW w:w="510" w:type="dxa"/>
            <w:shd w:val="clear" w:color="auto" w:fill="F2F2F2"/>
          </w:tcPr>
          <w:p w:rsidR="007E1ECE" w:rsidRPr="00D030BD" w:rsidRDefault="007E1ECE" w:rsidP="00FE6F3C">
            <w:pPr>
              <w:pStyle w:val="TabNumeri"/>
            </w:pPr>
            <w:r w:rsidRPr="00D030BD">
              <w:t>1,3</w:t>
            </w:r>
          </w:p>
        </w:tc>
        <w:tc>
          <w:tcPr>
            <w:tcW w:w="510" w:type="dxa"/>
            <w:shd w:val="clear" w:color="auto" w:fill="F2F2F2"/>
          </w:tcPr>
          <w:p w:rsidR="007E1ECE" w:rsidRPr="00D030BD" w:rsidRDefault="007E1ECE" w:rsidP="00FE6F3C">
            <w:pPr>
              <w:pStyle w:val="TabNumeri"/>
            </w:pPr>
            <w:r w:rsidRPr="00D030BD">
              <w:t>0,3</w:t>
            </w:r>
          </w:p>
        </w:tc>
        <w:tc>
          <w:tcPr>
            <w:tcW w:w="510" w:type="dxa"/>
            <w:shd w:val="clear" w:color="auto" w:fill="F2F2F2"/>
          </w:tcPr>
          <w:p w:rsidR="007E1ECE" w:rsidRPr="00D030BD" w:rsidRDefault="007E1ECE" w:rsidP="00FE6F3C">
            <w:pPr>
              <w:pStyle w:val="TabNumeri"/>
            </w:pPr>
            <w:r w:rsidRPr="00D030BD">
              <w:t>0,8</w:t>
            </w:r>
          </w:p>
        </w:tc>
        <w:tc>
          <w:tcPr>
            <w:tcW w:w="514" w:type="dxa"/>
            <w:shd w:val="clear" w:color="auto" w:fill="F2F2F2"/>
          </w:tcPr>
          <w:p w:rsidR="007E1ECE" w:rsidRPr="00D030BD" w:rsidRDefault="007E1ECE" w:rsidP="00FE6F3C">
            <w:pPr>
              <w:pStyle w:val="TabNumeri"/>
            </w:pPr>
            <w:r w:rsidRPr="00D030BD">
              <w:t>1,6</w:t>
            </w:r>
          </w:p>
        </w:tc>
      </w:tr>
      <w:tr w:rsidR="007E1ECE" w:rsidRPr="00BC2A0C" w:rsidTr="00FE6F3C">
        <w:trPr>
          <w:cantSplit/>
          <w:trHeight w:val="255"/>
        </w:trPr>
        <w:tc>
          <w:tcPr>
            <w:tcW w:w="2722" w:type="dxa"/>
          </w:tcPr>
          <w:p w:rsidR="007E1ECE" w:rsidRPr="00BC2A0C" w:rsidRDefault="007E1ECE" w:rsidP="00FE6F3C">
            <w:pPr>
              <w:pStyle w:val="TabEtichette"/>
            </w:pPr>
            <w:r w:rsidRPr="00BC2A0C">
              <w:t xml:space="preserve">  Africa Sub-Sahariana</w:t>
            </w:r>
          </w:p>
        </w:tc>
        <w:tc>
          <w:tcPr>
            <w:tcW w:w="510" w:type="dxa"/>
          </w:tcPr>
          <w:p w:rsidR="007E1ECE" w:rsidRPr="00CF7718" w:rsidRDefault="007E1ECE" w:rsidP="00FE6F3C">
            <w:pPr>
              <w:pStyle w:val="TabNumeri"/>
            </w:pPr>
            <w:r w:rsidRPr="00CF7718">
              <w:t>3,4</w:t>
            </w:r>
          </w:p>
        </w:tc>
        <w:tc>
          <w:tcPr>
            <w:tcW w:w="510" w:type="dxa"/>
          </w:tcPr>
          <w:p w:rsidR="007E1ECE" w:rsidRPr="00CF7718" w:rsidRDefault="007E1ECE" w:rsidP="00FE6F3C">
            <w:pPr>
              <w:pStyle w:val="TabNumeri"/>
            </w:pPr>
            <w:r w:rsidRPr="00CF7718">
              <w:t>1,6</w:t>
            </w:r>
          </w:p>
        </w:tc>
        <w:tc>
          <w:tcPr>
            <w:tcW w:w="510" w:type="dxa"/>
          </w:tcPr>
          <w:p w:rsidR="007E1ECE" w:rsidRPr="00CF7718" w:rsidRDefault="007E1ECE" w:rsidP="00FE6F3C">
            <w:pPr>
              <w:pStyle w:val="TabNumeri"/>
            </w:pPr>
            <w:r w:rsidRPr="00CF7718">
              <w:t>2,8</w:t>
            </w:r>
          </w:p>
        </w:tc>
        <w:tc>
          <w:tcPr>
            <w:tcW w:w="510" w:type="dxa"/>
          </w:tcPr>
          <w:p w:rsidR="007E1ECE" w:rsidRPr="00CF7718" w:rsidRDefault="007E1ECE" w:rsidP="00FE6F3C">
            <w:pPr>
              <w:pStyle w:val="TabNumeri"/>
            </w:pPr>
            <w:r w:rsidRPr="00CF7718">
              <w:t>3,7</w:t>
            </w:r>
          </w:p>
        </w:tc>
        <w:tc>
          <w:tcPr>
            <w:tcW w:w="567" w:type="dxa"/>
          </w:tcPr>
          <w:p w:rsidR="007E1ECE" w:rsidRPr="00BC2A0C" w:rsidRDefault="007E1ECE" w:rsidP="00FE6F3C">
            <w:pPr>
              <w:pStyle w:val="TabEtichette"/>
            </w:pPr>
          </w:p>
        </w:tc>
        <w:tc>
          <w:tcPr>
            <w:tcW w:w="1985" w:type="dxa"/>
          </w:tcPr>
          <w:p w:rsidR="007E1ECE" w:rsidRPr="00BC2A0C" w:rsidRDefault="007E1ECE" w:rsidP="00FE6F3C">
            <w:pPr>
              <w:pStyle w:val="TabEtichette"/>
            </w:pPr>
            <w:r w:rsidRPr="00BC2A0C">
              <w:t>Brasile</w:t>
            </w:r>
          </w:p>
        </w:tc>
        <w:tc>
          <w:tcPr>
            <w:tcW w:w="510" w:type="dxa"/>
          </w:tcPr>
          <w:p w:rsidR="007E1ECE" w:rsidRPr="00D030BD" w:rsidRDefault="007E1ECE" w:rsidP="00FE6F3C">
            <w:pPr>
              <w:pStyle w:val="TabNumeri"/>
            </w:pPr>
            <w:r w:rsidRPr="00D030BD">
              <w:t>-3,8</w:t>
            </w:r>
          </w:p>
        </w:tc>
        <w:tc>
          <w:tcPr>
            <w:tcW w:w="510" w:type="dxa"/>
          </w:tcPr>
          <w:p w:rsidR="007E1ECE" w:rsidRPr="00D030BD" w:rsidRDefault="007E1ECE" w:rsidP="00FE6F3C">
            <w:pPr>
              <w:pStyle w:val="TabNumeri"/>
            </w:pPr>
            <w:r w:rsidRPr="00D030BD">
              <w:t>-3,5</w:t>
            </w:r>
          </w:p>
        </w:tc>
        <w:tc>
          <w:tcPr>
            <w:tcW w:w="510" w:type="dxa"/>
          </w:tcPr>
          <w:p w:rsidR="007E1ECE" w:rsidRPr="00D030BD" w:rsidRDefault="007E1ECE" w:rsidP="00FE6F3C">
            <w:pPr>
              <w:pStyle w:val="TabNumeri"/>
            </w:pPr>
            <w:r w:rsidRPr="00D030BD">
              <w:t>0,2</w:t>
            </w:r>
          </w:p>
        </w:tc>
        <w:tc>
          <w:tcPr>
            <w:tcW w:w="514" w:type="dxa"/>
          </w:tcPr>
          <w:p w:rsidR="007E1ECE" w:rsidRPr="00D030BD" w:rsidRDefault="007E1ECE" w:rsidP="00FE6F3C">
            <w:pPr>
              <w:pStyle w:val="TabNumeri"/>
            </w:pPr>
            <w:r w:rsidRPr="00D030BD">
              <w:t>1,5</w:t>
            </w:r>
          </w:p>
        </w:tc>
      </w:tr>
      <w:tr w:rsidR="00566C64" w:rsidRPr="00BC2A0C" w:rsidTr="00EE7CE2">
        <w:trPr>
          <w:cantSplit/>
          <w:trHeight w:val="255"/>
        </w:trPr>
        <w:tc>
          <w:tcPr>
            <w:tcW w:w="2722" w:type="dxa"/>
            <w:shd w:val="clear" w:color="auto" w:fill="F2F2F2"/>
          </w:tcPr>
          <w:p w:rsidR="007E1ECE" w:rsidRPr="00BC2A0C" w:rsidRDefault="007E1ECE" w:rsidP="00FE6F3C">
            <w:pPr>
              <w:pStyle w:val="TabEtichette"/>
            </w:pPr>
            <w:r w:rsidRPr="00BC2A0C">
              <w:t xml:space="preserve">  America Latina e Caraibi</w:t>
            </w:r>
          </w:p>
        </w:tc>
        <w:tc>
          <w:tcPr>
            <w:tcW w:w="510" w:type="dxa"/>
            <w:shd w:val="clear" w:color="auto" w:fill="F2F2F2"/>
          </w:tcPr>
          <w:p w:rsidR="007E1ECE" w:rsidRPr="00CF7718" w:rsidRDefault="007E1ECE" w:rsidP="00FE6F3C">
            <w:pPr>
              <w:pStyle w:val="TabNumeri"/>
            </w:pPr>
            <w:r w:rsidRPr="00CF7718">
              <w:t>0,1</w:t>
            </w:r>
          </w:p>
        </w:tc>
        <w:tc>
          <w:tcPr>
            <w:tcW w:w="510" w:type="dxa"/>
            <w:shd w:val="clear" w:color="auto" w:fill="F2F2F2"/>
          </w:tcPr>
          <w:p w:rsidR="007E1ECE" w:rsidRPr="00CF7718" w:rsidRDefault="007E1ECE" w:rsidP="00FE6F3C">
            <w:pPr>
              <w:pStyle w:val="TabNumeri"/>
            </w:pPr>
            <w:r w:rsidRPr="00CF7718">
              <w:t>-0,7</w:t>
            </w:r>
          </w:p>
        </w:tc>
        <w:tc>
          <w:tcPr>
            <w:tcW w:w="510" w:type="dxa"/>
            <w:shd w:val="clear" w:color="auto" w:fill="F2F2F2"/>
          </w:tcPr>
          <w:p w:rsidR="007E1ECE" w:rsidRPr="00CF7718" w:rsidRDefault="007E1ECE" w:rsidP="00FE6F3C">
            <w:pPr>
              <w:pStyle w:val="TabNumeri"/>
            </w:pPr>
            <w:r w:rsidRPr="00CF7718">
              <w:t>1,2</w:t>
            </w:r>
          </w:p>
        </w:tc>
        <w:tc>
          <w:tcPr>
            <w:tcW w:w="510" w:type="dxa"/>
            <w:shd w:val="clear" w:color="auto" w:fill="F2F2F2"/>
          </w:tcPr>
          <w:p w:rsidR="007E1ECE" w:rsidRDefault="007E1ECE" w:rsidP="00FE6F3C">
            <w:pPr>
              <w:pStyle w:val="TabNumeri"/>
            </w:pPr>
            <w:r w:rsidRPr="00CF7718">
              <w:t>2,1</w:t>
            </w:r>
          </w:p>
        </w:tc>
        <w:tc>
          <w:tcPr>
            <w:tcW w:w="567" w:type="dxa"/>
          </w:tcPr>
          <w:p w:rsidR="007E1ECE" w:rsidRPr="00BC2A0C" w:rsidRDefault="007E1ECE" w:rsidP="00FE6F3C">
            <w:pPr>
              <w:pStyle w:val="TabEtichette"/>
            </w:pPr>
          </w:p>
        </w:tc>
        <w:tc>
          <w:tcPr>
            <w:tcW w:w="1985" w:type="dxa"/>
            <w:shd w:val="clear" w:color="auto" w:fill="F2F2F2"/>
          </w:tcPr>
          <w:p w:rsidR="007E1ECE" w:rsidRPr="00BC2A0C" w:rsidRDefault="007E1ECE" w:rsidP="00FE6F3C">
            <w:pPr>
              <w:pStyle w:val="TabEtichette"/>
            </w:pPr>
            <w:r w:rsidRPr="00BC2A0C">
              <w:t>Messico</w:t>
            </w:r>
          </w:p>
        </w:tc>
        <w:tc>
          <w:tcPr>
            <w:tcW w:w="510" w:type="dxa"/>
            <w:shd w:val="clear" w:color="auto" w:fill="F2F2F2"/>
          </w:tcPr>
          <w:p w:rsidR="007E1ECE" w:rsidRPr="00D030BD" w:rsidRDefault="007E1ECE" w:rsidP="00FE6F3C">
            <w:pPr>
              <w:pStyle w:val="TabNumeri"/>
            </w:pPr>
            <w:r w:rsidRPr="00D030BD">
              <w:t>2,6</w:t>
            </w:r>
          </w:p>
        </w:tc>
        <w:tc>
          <w:tcPr>
            <w:tcW w:w="510" w:type="dxa"/>
            <w:shd w:val="clear" w:color="auto" w:fill="F2F2F2"/>
          </w:tcPr>
          <w:p w:rsidR="007E1ECE" w:rsidRPr="00D030BD" w:rsidRDefault="007E1ECE" w:rsidP="00FE6F3C">
            <w:pPr>
              <w:pStyle w:val="TabNumeri"/>
            </w:pPr>
            <w:r w:rsidRPr="00D030BD">
              <w:t>2,2</w:t>
            </w:r>
          </w:p>
        </w:tc>
        <w:tc>
          <w:tcPr>
            <w:tcW w:w="510" w:type="dxa"/>
            <w:shd w:val="clear" w:color="auto" w:fill="F2F2F2"/>
          </w:tcPr>
          <w:p w:rsidR="007E1ECE" w:rsidRPr="00D030BD" w:rsidRDefault="007E1ECE" w:rsidP="00FE6F3C">
            <w:pPr>
              <w:pStyle w:val="TabNumeri"/>
            </w:pPr>
            <w:r w:rsidRPr="00D030BD">
              <w:t>1,7</w:t>
            </w:r>
          </w:p>
        </w:tc>
        <w:tc>
          <w:tcPr>
            <w:tcW w:w="514" w:type="dxa"/>
            <w:shd w:val="clear" w:color="auto" w:fill="F2F2F2"/>
          </w:tcPr>
          <w:p w:rsidR="007E1ECE" w:rsidRDefault="007E1ECE" w:rsidP="00FE6F3C">
            <w:pPr>
              <w:pStyle w:val="TabNumeri"/>
            </w:pPr>
            <w:r w:rsidRPr="00D030BD">
              <w:t>2,0</w:t>
            </w:r>
          </w:p>
        </w:tc>
      </w:tr>
      <w:tr w:rsidR="007E1ECE" w:rsidRPr="00EE7CE2" w:rsidTr="00FE6F3C">
        <w:trPr>
          <w:cantSplit/>
        </w:trPr>
        <w:tc>
          <w:tcPr>
            <w:tcW w:w="9358" w:type="dxa"/>
            <w:gridSpan w:val="11"/>
            <w:tcBorders>
              <w:top w:val="single" w:sz="4" w:space="0" w:color="800000"/>
            </w:tcBorders>
          </w:tcPr>
          <w:p w:rsidR="007E1ECE" w:rsidRPr="001E488B" w:rsidRDefault="007E1ECE" w:rsidP="00FE6F3C">
            <w:pPr>
              <w:pStyle w:val="TabNoteSuperiori"/>
            </w:pPr>
            <w:r>
              <w:t>(</w:t>
            </w:r>
            <w:r w:rsidRPr="00BC2A0C">
              <w:t xml:space="preserve">a) </w:t>
            </w:r>
            <w:r>
              <w:t xml:space="preserve">In merito alle </w:t>
            </w:r>
            <w:r w:rsidRPr="00BC2A0C">
              <w:t>assunzioni alla base della previsione economica</w:t>
            </w:r>
            <w:r>
              <w:t xml:space="preserve"> si veda la sezione Assumption and Conventions.</w:t>
            </w:r>
            <w:r w:rsidRPr="00BC2A0C">
              <w:t xml:space="preserve"> (b) Tasso di variazione percentuale sul periodo precedente</w:t>
            </w:r>
            <w:r>
              <w:t>.</w:t>
            </w:r>
            <w:r w:rsidRPr="00BC2A0C">
              <w:t xml:space="preserve"> </w:t>
            </w:r>
          </w:p>
          <w:p w:rsidR="007E1ECE" w:rsidRPr="00EE7CE2" w:rsidRDefault="007E1ECE" w:rsidP="00FE6F3C">
            <w:pPr>
              <w:pStyle w:val="TabNoteSuperiori"/>
              <w:rPr>
                <w:lang w:val="en-US"/>
              </w:rPr>
            </w:pPr>
            <w:r w:rsidRPr="00EE7CE2">
              <w:rPr>
                <w:lang w:val="en-US"/>
              </w:rPr>
              <w:t>IMF, World Economic Outlook Update, 16</w:t>
            </w:r>
            <w:r w:rsidRPr="00762F0B">
              <w:rPr>
                <w:lang w:val="en-US"/>
              </w:rPr>
              <w:t xml:space="preserve"> </w:t>
            </w:r>
            <w:proofErr w:type="spellStart"/>
            <w:r w:rsidRPr="00762F0B">
              <w:rPr>
                <w:lang w:val="en-US"/>
              </w:rPr>
              <w:t>gennaio</w:t>
            </w:r>
            <w:proofErr w:type="spellEnd"/>
            <w:r w:rsidRPr="00EE7CE2">
              <w:rPr>
                <w:lang w:val="en-US"/>
              </w:rPr>
              <w:t xml:space="preserve"> </w:t>
            </w:r>
            <w:r w:rsidRPr="00A34906">
              <w:rPr>
                <w:lang w:val="en-US"/>
              </w:rPr>
              <w:fldChar w:fldCharType="begin"/>
            </w:r>
            <w:r w:rsidRPr="00A34906">
              <w:rPr>
                <w:lang w:val="en-US"/>
              </w:rPr>
              <w:instrText xml:space="preserve"> DATE  \@ "yyyy"  \* MERGEFORMAT </w:instrText>
            </w:r>
            <w:r w:rsidRPr="00A34906">
              <w:rPr>
                <w:lang w:val="en-US"/>
              </w:rPr>
              <w:fldChar w:fldCharType="separate"/>
            </w:r>
            <w:r w:rsidR="00762F0B">
              <w:rPr>
                <w:noProof/>
                <w:lang w:val="en-US"/>
              </w:rPr>
              <w:t>2017</w:t>
            </w:r>
            <w:r w:rsidRPr="00A34906">
              <w:rPr>
                <w:lang w:val="en-US"/>
              </w:rPr>
              <w:fldChar w:fldCharType="end"/>
            </w:r>
          </w:p>
        </w:tc>
      </w:tr>
    </w:tbl>
    <w:p w:rsidR="008B2D4A" w:rsidRPr="008B2D4A" w:rsidRDefault="008B2D4A" w:rsidP="00B62E7F">
      <w:r w:rsidRPr="008B2D4A">
        <w:t>Nell’attesa di dettagli relativi alla politica fiscale e commerciale, le stime sono quindi orientate a un‘accelerazione della tendenza positiva per il 2017, con una crescita attorno al 2,3 per cento, nonostante le elezioni presidenziali abbiano notevolmente aumentato l’incertezza riguardo alle tendenze della politica interna e estera degli Stati Uniti.</w:t>
      </w:r>
    </w:p>
    <w:p w:rsidR="008B2D4A" w:rsidRPr="00FC32DF" w:rsidRDefault="008B2D4A" w:rsidP="00E95FDD">
      <w:pPr>
        <w:pStyle w:val="Titolo4"/>
      </w:pPr>
      <w:r w:rsidRPr="00FC32DF">
        <w:t>Cina</w:t>
      </w:r>
    </w:p>
    <w:p w:rsidR="008B2D4A" w:rsidRPr="008B2D4A" w:rsidRDefault="008B2D4A" w:rsidP="003F4A29">
      <w:r w:rsidRPr="008B2D4A">
        <w:t xml:space="preserve">La crescita cinese si è stabilizzata e i rischi paiono rientrare, ma restano elevati. Dopo un turbolento avvio di anno, le misure di stimolo adottate hanno permesso di superare l’obiettivo di crescita per il 2016, che dovrebbe risultare del 6,7 per cento, trainata principalmente dalla </w:t>
      </w:r>
      <w:r w:rsidR="00566C64" w:rsidRPr="008B2D4A">
        <w:t>crescita</w:t>
      </w:r>
      <w:r w:rsidRPr="008B2D4A">
        <w:t xml:space="preserve"> dei consumi. Del resto il continuo affidamento a misure a favore dell’attività, in particolare investimenti sostenuti e diretti dallo stato, suggerisce che le riforme strutturali non procedono a sufficienza affinché altri fattori giungano a garantire la crescita. Si mantiene quindi elevato il rischio di un brusco rallentamento e di difficoltà sul fronte finanziario. Il credito continua ad espandersi più rapidamente della crescita nominale del Pil, stante una politica monetaria accomodante, e continua a crescere la leva finanziaria delle imprese. Nonostante la tendenza alla riduzione, permangono eccessi di capacità e non procede sostanzialmente l’eliminazione delle grandi imprese decotte. La crescita dei consumi appare solida, sostenuta dall’aumento dei redditi, dell’occupazione e dell’urbanizzazione. Il settore immobiliare si è ripreso dalle difficoltà incontrate nel 2015, ma mentre crescono i prezzi nelle grandi città, permane un ampio stock di invenduto nei piccoli centri. La riduzione degli eccessi di capacità produttiva ha allentato la pressione sui prezzi alla produzione, tornati a crescere dopo quasi cinque anni, ma l’inflazione al consumo è rimasta contenuta. </w:t>
      </w:r>
      <w:r w:rsidRPr="008B2D4A">
        <w:lastRenderedPageBreak/>
        <w:t xml:space="preserve">La politica fiscale è stata molto espansiva, con una rapida crescita degli investimenti pubblici. Il Governo cinese ha ampio spazio di manovra per ulteriori misure di stimolo all’attività qualora la crescita dovesse incontrare delle difficoltà. La politica monetaria accomodante si confronta con l’esigenza di garantire la stabilità finanziaria. L’incertezza ha determinato un flusso di capitali verso l’estero che la Banca centrale cinese contiene attraverso un mix di indebolimento pilotato dello yuan e controlli diretti sui flussi di capitali, che risentono del processo di normalizzazione dei tassi statunitensi. Nonostante la flessione dello yuan, le esportazioni hanno perso competitività e dovrebbero crescere, ma solo in linea con il debole andamento del commercio mondiale. Le attese sono orientate verso un graduale rallentamento dell’attività con la crescita per il 2017 indicata tra il 6,4 e il 6,5 per cento, </w:t>
      </w:r>
      <w:r w:rsidR="00566C64" w:rsidRPr="008B2D4A">
        <w:t>sostenuta</w:t>
      </w:r>
      <w:r w:rsidRPr="008B2D4A">
        <w:t xml:space="preserve"> dai consumi e da una modesta ripresa del volume delle esportazioni, sulle quali grava l’incertezza dell’evoluzione delle relazioni commerciali con gli Stati Uniti.</w:t>
      </w:r>
    </w:p>
    <w:p w:rsidR="008B2D4A" w:rsidRPr="003F4A29" w:rsidRDefault="008B2D4A" w:rsidP="00E95FDD">
      <w:pPr>
        <w:pStyle w:val="Titolo4"/>
      </w:pPr>
      <w:r w:rsidRPr="003F4A29">
        <w:t>Giappone</w:t>
      </w:r>
    </w:p>
    <w:tbl>
      <w:tblPr>
        <w:tblpPr w:topFromText="425" w:bottomFromText="425" w:horzAnchor="margin" w:tblpXSpec="center" w:tblpYSpec="bottom"/>
        <w:tblOverlap w:val="never"/>
        <w:tblW w:w="0" w:type="auto"/>
        <w:tblLayout w:type="fixed"/>
        <w:tblCellMar>
          <w:left w:w="0" w:type="dxa"/>
          <w:right w:w="0" w:type="dxa"/>
        </w:tblCellMar>
        <w:tblLook w:val="04A0" w:firstRow="1" w:lastRow="0" w:firstColumn="1" w:lastColumn="0" w:noHBand="0" w:noVBand="1"/>
      </w:tblPr>
      <w:tblGrid>
        <w:gridCol w:w="9356"/>
      </w:tblGrid>
      <w:tr w:rsidR="00566C64" w:rsidRPr="002B550F" w:rsidTr="00EE7CE2">
        <w:tc>
          <w:tcPr>
            <w:tcW w:w="9356" w:type="dxa"/>
            <w:shd w:val="clear" w:color="auto" w:fill="auto"/>
          </w:tcPr>
          <w:p w:rsidR="000079EF" w:rsidRPr="002B550F" w:rsidRDefault="000079EF" w:rsidP="00EE7CE2">
            <w:pPr>
              <w:pStyle w:val="FigTitolo"/>
            </w:pPr>
            <w:r w:rsidRPr="002B550F">
              <w:t>La previsione del</w:t>
            </w:r>
            <w:r>
              <w:t>la Commissione Europea</w:t>
            </w:r>
            <w:r w:rsidRPr="002B550F">
              <w:t xml:space="preserve">, tasso di variazione del </w:t>
            </w:r>
            <w:r>
              <w:t>p</w:t>
            </w:r>
            <w:r w:rsidRPr="002B550F">
              <w:t>rodotto interno lordo</w:t>
            </w:r>
          </w:p>
        </w:tc>
      </w:tr>
      <w:tr w:rsidR="00566C64" w:rsidRPr="002B550F" w:rsidTr="00EE7CE2">
        <w:tc>
          <w:tcPr>
            <w:tcW w:w="9356" w:type="dxa"/>
            <w:shd w:val="clear" w:color="auto" w:fill="auto"/>
          </w:tcPr>
          <w:p w:rsidR="000079EF" w:rsidRPr="00674C12" w:rsidRDefault="00E65941" w:rsidP="00EE7CE2">
            <w:pPr>
              <w:pStyle w:val="Figure"/>
            </w:pPr>
            <w:r>
              <w:rPr>
                <w:noProof/>
              </w:rPr>
              <w:drawing>
                <wp:inline distT="0" distB="0" distL="0" distR="0">
                  <wp:extent cx="5897880" cy="2157730"/>
                  <wp:effectExtent l="0" t="0" r="7620" b="0"/>
                  <wp:docPr id="38"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897880" cy="2157730"/>
                          </a:xfrm>
                          <a:prstGeom prst="rect">
                            <a:avLst/>
                          </a:prstGeom>
                          <a:noFill/>
                          <a:ln>
                            <a:noFill/>
                          </a:ln>
                        </pic:spPr>
                      </pic:pic>
                    </a:graphicData>
                  </a:graphic>
                </wp:inline>
              </w:drawing>
            </w:r>
          </w:p>
        </w:tc>
      </w:tr>
      <w:tr w:rsidR="00566C64" w:rsidRPr="007862B1" w:rsidTr="00EE7CE2">
        <w:tc>
          <w:tcPr>
            <w:tcW w:w="9356" w:type="dxa"/>
            <w:shd w:val="clear" w:color="auto" w:fill="auto"/>
          </w:tcPr>
          <w:p w:rsidR="000079EF" w:rsidRPr="00566C64" w:rsidRDefault="000079EF" w:rsidP="00EE7CE2">
            <w:pPr>
              <w:pStyle w:val="TabNoteSuperiori"/>
            </w:pPr>
            <w:r>
              <w:t xml:space="preserve">Adv Eco : Economie avanzate. </w:t>
            </w:r>
            <w:r w:rsidRPr="00F43471">
              <w:t>Em.Dev. : economie emergent e in sviluppo.</w:t>
            </w:r>
          </w:p>
          <w:p w:rsidR="000079EF" w:rsidRPr="00EE7CE2" w:rsidRDefault="000079EF" w:rsidP="00EE7CE2">
            <w:pPr>
              <w:pStyle w:val="TabNoteInferiori"/>
              <w:rPr>
                <w:lang w:val="en-US"/>
              </w:rPr>
            </w:pPr>
            <w:r w:rsidRPr="00566C64">
              <w:t>Commissione europea</w:t>
            </w:r>
            <w:r w:rsidRPr="00EE7CE2">
              <w:rPr>
                <w:lang w:val="en-GB"/>
              </w:rPr>
              <w:t xml:space="preserve">, </w:t>
            </w:r>
            <w:r w:rsidRPr="00DE03EB">
              <w:t>E</w:t>
            </w:r>
            <w:r>
              <w:t xml:space="preserve">uropean economic </w:t>
            </w:r>
            <w:r w:rsidRPr="00920B2B">
              <w:t>forecast,</w:t>
            </w:r>
            <w:r w:rsidRPr="00920B2B">
              <w:rPr>
                <w:lang w:val="en-GB"/>
              </w:rPr>
              <w:t xml:space="preserve"> 13</w:t>
            </w:r>
            <w:r w:rsidRPr="00920B2B">
              <w:t xml:space="preserve"> febbraio</w:t>
            </w:r>
            <w:r w:rsidRPr="00920B2B">
              <w:rPr>
                <w:lang w:val="en-GB"/>
              </w:rPr>
              <w:t xml:space="preserve"> </w:t>
            </w:r>
            <w:r w:rsidRPr="00EE7CE2">
              <w:rPr>
                <w:lang w:val="en-US"/>
              </w:rPr>
              <w:fldChar w:fldCharType="begin"/>
            </w:r>
            <w:r w:rsidRPr="00EE7CE2">
              <w:rPr>
                <w:lang w:val="en-US"/>
              </w:rPr>
              <w:instrText xml:space="preserve"> DATE  \@ "yyyy"  \* MERGEFORMAT </w:instrText>
            </w:r>
            <w:r w:rsidRPr="00EE7CE2">
              <w:rPr>
                <w:lang w:val="en-US"/>
              </w:rPr>
              <w:fldChar w:fldCharType="separate"/>
            </w:r>
            <w:r w:rsidR="00762F0B">
              <w:rPr>
                <w:noProof/>
                <w:lang w:val="en-US"/>
              </w:rPr>
              <w:t>2017</w:t>
            </w:r>
            <w:r w:rsidRPr="00EE7CE2">
              <w:rPr>
                <w:lang w:val="en-US"/>
              </w:rPr>
              <w:fldChar w:fldCharType="end"/>
            </w:r>
          </w:p>
        </w:tc>
      </w:tr>
    </w:tbl>
    <w:p w:rsidR="008B2D4A" w:rsidRPr="008B2D4A" w:rsidRDefault="008B2D4A" w:rsidP="003F4A29">
      <w:r w:rsidRPr="008B2D4A">
        <w:t>Il prodotto interno lordo del Giappone è aumentato poco meno dell’1 per cento nel 2016, sostenuto dalla ripresa della domanda interna e da misure di politica economica. In particolare si tratta della combinazione di politica monetaria accomodante, spesa pubblica e ritardo nell’azione di consolidamento del disavanzo fiscale. Il disavanzo pubblico dovrebbe ampliarsi leggermente. I consumi privati dovrebbero proseguire una crescita graduale, sostenuti da un elevato livello di occupazione, ma frenati da una debole dinamica salariale, effetto di un mercato del lavoro duale. Gli interventi di politica fiscale hanno permesso di compensare gli effetti del rafforzamento dello yen, che ha pesato sulle esportazioni. L’avvio di una tendenza inversa del cambio dovrebbe restituire fiato alle vendite all’estero nel 2017, ma con ii rischi connessi all’involuzione protezionista statunitense. La crescita debole e l’incertezza sui mercati esteri limitano gli investimenti privati, nonostante un livello della reddittività delle imprese elevato rispetto al passato, mentre una politica di stimolo fiscale sostiene gli investimenti pubblici in infrastrutture. La revisione della politica monetaria risulta ulteriormente accomodante e include un controllo della curva dei rendimenti, per mantenere pari a zero il tasso decennale, e un impegno a mantenere l’espansione delle base monetaria e il controllo dei tassi fino a che l’inflazione non ecceda stabilmente il 2 per cento. La crescita del Pil dovrebbe risultare sostanzialmente analoga (tra lo 0,8 e l’1,0 per cento) nel 2017. Nel medio termine, in assenza di decise riforme strutturali, che spingano all’aumento della produttività e del tasso di occupazione femminile, le rigidità del mercato del lavoro e una dinamica della popolazione negativa continueranno a gravare sulle possibilità di crescita. La ripresa è necessaria per attuare un programma di consolidamento fiscale e fermare la marcia del rapporto tra debito pubblico e Pil avvicinatosi al 250%.</w:t>
      </w:r>
    </w:p>
    <w:p w:rsidR="008B2D4A" w:rsidRDefault="008B2D4A" w:rsidP="00C9078F">
      <w:pPr>
        <w:pStyle w:val="Titolo4"/>
      </w:pPr>
      <w:r>
        <w:t>Altri paesi</w:t>
      </w:r>
    </w:p>
    <w:p w:rsidR="008B2D4A" w:rsidRPr="00293DED" w:rsidRDefault="008B2D4A" w:rsidP="00C9078F">
      <w:pPr>
        <w:pStyle w:val="Titolo4"/>
      </w:pPr>
      <w:r w:rsidRPr="00293DED">
        <w:t xml:space="preserve">Brasile </w:t>
      </w:r>
    </w:p>
    <w:p w:rsidR="008B2D4A" w:rsidRPr="008B2D4A" w:rsidRDefault="008B2D4A" w:rsidP="00C15BB4">
      <w:r w:rsidRPr="008B2D4A">
        <w:t xml:space="preserve">Il Brasile sta emergendo da un protratta e profonda recessione economica. Il 2016 si è chiuso con un’ulteriore riduzione del prodotto interno lordo (-3,4 per cento). Il culmine della crisi politica pare essere stato superato e l’incertezza connessa si sta riducendo. Ciò ha permesso l’avvio di una fase di netto miglioramento della fiducia delle imprese e dei consumatori. La disoccupazione è elevata e ci si attende </w:t>
      </w:r>
      <w:r w:rsidRPr="008B2D4A">
        <w:lastRenderedPageBreak/>
        <w:t>che continui a salire anche nel 2017. L’inflazione si è confermata più rapida di quanto fissato negli obiettivi della banca centrale, ma dovrebbe ridursi nel 2017. Una politica fiscale moderatamente restrittiva concilia l’obiettivo di stabilità macroeconomica (sostegno all’attività) con quello di recuperare la sostenibilità della finanza pubblica nel medio termine, dopo una forte crescita dell’indebitamento e del debito pubblico. Il contenimento della spesa pubblica dovrebbe permettere un allentamento della politica monetaria capace di sostenere una ripresa degli investimenti. In un quadro di bassa crescita del commercio internazionale la domanda estera non sarà in grado di fornire lo stesso sostegno allo sviluppo dell’attività economica fornito in passato. Con la ripresa della fiducia e degli investimenti, per il 2017 si prospetta l’uscita dalla recessione. Le attese sulla crescita sono però limitate, tra lo 0,2 e lo 0,6 per cento secondo le previsioni più recenti.</w:t>
      </w:r>
    </w:p>
    <w:p w:rsidR="008B2D4A" w:rsidRPr="005D7102" w:rsidRDefault="008B2D4A" w:rsidP="00C9078F">
      <w:pPr>
        <w:pStyle w:val="Titolo4"/>
      </w:pPr>
      <w:r w:rsidRPr="005D7102">
        <w:t>Russia</w:t>
      </w:r>
    </w:p>
    <w:tbl>
      <w:tblPr>
        <w:tblpPr w:topFromText="425" w:horzAnchor="margin" w:tblpXSpec="center" w:tblpYSpec="bottom"/>
        <w:tblOverlap w:val="never"/>
        <w:tblW w:w="9357" w:type="dxa"/>
        <w:tblLayout w:type="fixed"/>
        <w:tblCellMar>
          <w:left w:w="0" w:type="dxa"/>
          <w:right w:w="0" w:type="dxa"/>
        </w:tblCellMar>
        <w:tblLook w:val="01E0" w:firstRow="1" w:lastRow="1" w:firstColumn="1" w:lastColumn="1" w:noHBand="0" w:noVBand="0"/>
      </w:tblPr>
      <w:tblGrid>
        <w:gridCol w:w="57"/>
        <w:gridCol w:w="4536"/>
        <w:gridCol w:w="57"/>
        <w:gridCol w:w="57"/>
        <w:gridCol w:w="57"/>
        <w:gridCol w:w="4536"/>
        <w:gridCol w:w="57"/>
      </w:tblGrid>
      <w:tr w:rsidR="000079EF" w:rsidRPr="0002744C" w:rsidTr="00FE6F3C">
        <w:trPr>
          <w:cantSplit/>
        </w:trPr>
        <w:tc>
          <w:tcPr>
            <w:tcW w:w="9357" w:type="dxa"/>
            <w:gridSpan w:val="7"/>
          </w:tcPr>
          <w:p w:rsidR="000079EF" w:rsidRPr="0002744C" w:rsidRDefault="000079EF" w:rsidP="00FE6F3C">
            <w:pPr>
              <w:pStyle w:val="FigTitolo"/>
            </w:pPr>
            <w:r>
              <w:t xml:space="preserve">Mercati azionari, dicembre 2012 – </w:t>
            </w:r>
            <w:r>
              <w:fldChar w:fldCharType="begin"/>
            </w:r>
            <w:r>
              <w:instrText xml:space="preserve"> DATE  \@ "yyyy"  \* MERGEFORMAT </w:instrText>
            </w:r>
            <w:r>
              <w:fldChar w:fldCharType="separate"/>
            </w:r>
            <w:r w:rsidR="00762F0B">
              <w:rPr>
                <w:noProof/>
              </w:rPr>
              <w:t>2017</w:t>
            </w:r>
            <w:r>
              <w:rPr>
                <w:noProof/>
              </w:rPr>
              <w:fldChar w:fldCharType="end"/>
            </w:r>
          </w:p>
        </w:tc>
      </w:tr>
      <w:tr w:rsidR="000079EF" w:rsidTr="00FE6F3C">
        <w:trPr>
          <w:cantSplit/>
          <w:trHeight w:hRule="exact" w:val="57"/>
        </w:trPr>
        <w:tc>
          <w:tcPr>
            <w:tcW w:w="9357" w:type="dxa"/>
            <w:gridSpan w:val="7"/>
          </w:tcPr>
          <w:p w:rsidR="000079EF" w:rsidRDefault="000079EF" w:rsidP="00FE6F3C">
            <w:pPr>
              <w:pStyle w:val="FigTitolo"/>
            </w:pPr>
          </w:p>
        </w:tc>
      </w:tr>
      <w:tr w:rsidR="00566C64" w:rsidTr="00EE7CE2">
        <w:trPr>
          <w:cantSplit/>
        </w:trPr>
        <w:tc>
          <w:tcPr>
            <w:tcW w:w="57" w:type="dxa"/>
            <w:shd w:val="clear" w:color="auto" w:fill="F2F2F2"/>
          </w:tcPr>
          <w:p w:rsidR="000079EF" w:rsidRPr="003D1CE3" w:rsidRDefault="000079EF" w:rsidP="00FE6F3C">
            <w:pPr>
              <w:pStyle w:val="TabIntestaSup"/>
            </w:pPr>
          </w:p>
        </w:tc>
        <w:tc>
          <w:tcPr>
            <w:tcW w:w="4536" w:type="dxa"/>
            <w:shd w:val="clear" w:color="auto" w:fill="F2F2F2"/>
          </w:tcPr>
          <w:p w:rsidR="000079EF" w:rsidRPr="003D1CE3" w:rsidRDefault="000079EF" w:rsidP="00FE6F3C">
            <w:pPr>
              <w:pStyle w:val="TabIntestaSup"/>
            </w:pPr>
            <w:r w:rsidRPr="00650144">
              <w:t xml:space="preserve">Stati Uniti: </w:t>
            </w:r>
            <w:r>
              <w:t>S&amp;P 500</w:t>
            </w:r>
          </w:p>
        </w:tc>
        <w:tc>
          <w:tcPr>
            <w:tcW w:w="57" w:type="dxa"/>
            <w:shd w:val="clear" w:color="auto" w:fill="F2F2F2"/>
          </w:tcPr>
          <w:p w:rsidR="000079EF" w:rsidRPr="003D1CE3" w:rsidRDefault="000079EF" w:rsidP="00FE6F3C">
            <w:pPr>
              <w:pStyle w:val="TabIntestaSup"/>
            </w:pPr>
          </w:p>
        </w:tc>
        <w:tc>
          <w:tcPr>
            <w:tcW w:w="57" w:type="dxa"/>
            <w:shd w:val="clear" w:color="auto" w:fill="auto"/>
          </w:tcPr>
          <w:p w:rsidR="000079EF" w:rsidRPr="003D1CE3" w:rsidRDefault="000079EF" w:rsidP="00FE6F3C">
            <w:pPr>
              <w:pStyle w:val="TabIntestaSup"/>
            </w:pPr>
          </w:p>
        </w:tc>
        <w:tc>
          <w:tcPr>
            <w:tcW w:w="57" w:type="dxa"/>
            <w:shd w:val="clear" w:color="auto" w:fill="F2F2F2"/>
          </w:tcPr>
          <w:p w:rsidR="000079EF" w:rsidRPr="003D1CE3" w:rsidRDefault="000079EF" w:rsidP="00FE6F3C">
            <w:pPr>
              <w:pStyle w:val="TabIntestaSup"/>
            </w:pPr>
          </w:p>
        </w:tc>
        <w:tc>
          <w:tcPr>
            <w:tcW w:w="4536" w:type="dxa"/>
            <w:shd w:val="clear" w:color="auto" w:fill="F2F2F2"/>
          </w:tcPr>
          <w:p w:rsidR="000079EF" w:rsidRPr="003D1CE3" w:rsidRDefault="000079EF" w:rsidP="00FE6F3C">
            <w:pPr>
              <w:pStyle w:val="TabIntestaSup"/>
            </w:pPr>
            <w:r w:rsidRPr="002A4A23">
              <w:rPr>
                <w:lang w:val="en-US"/>
              </w:rPr>
              <w:t xml:space="preserve">Europa: </w:t>
            </w:r>
            <w:r>
              <w:rPr>
                <w:lang w:val="en-US"/>
              </w:rPr>
              <w:t>EuroStoxx50</w:t>
            </w:r>
          </w:p>
        </w:tc>
        <w:tc>
          <w:tcPr>
            <w:tcW w:w="57" w:type="dxa"/>
            <w:shd w:val="clear" w:color="auto" w:fill="F2F2F2"/>
          </w:tcPr>
          <w:p w:rsidR="000079EF" w:rsidRPr="003D1CE3" w:rsidRDefault="000079EF" w:rsidP="00FE6F3C">
            <w:pPr>
              <w:pStyle w:val="TabIntestaSup"/>
            </w:pPr>
          </w:p>
        </w:tc>
      </w:tr>
      <w:tr w:rsidR="00566C64" w:rsidTr="00EE7CE2">
        <w:trPr>
          <w:cantSplit/>
        </w:trPr>
        <w:tc>
          <w:tcPr>
            <w:tcW w:w="57" w:type="dxa"/>
            <w:shd w:val="clear" w:color="auto" w:fill="F2F2F2"/>
          </w:tcPr>
          <w:p w:rsidR="000079EF" w:rsidRPr="003D1CE3" w:rsidRDefault="000079EF" w:rsidP="00FE6F3C">
            <w:pPr>
              <w:pStyle w:val="Figure"/>
            </w:pPr>
          </w:p>
        </w:tc>
        <w:tc>
          <w:tcPr>
            <w:tcW w:w="4536" w:type="dxa"/>
          </w:tcPr>
          <w:p w:rsidR="000079EF" w:rsidRPr="003D1CE3" w:rsidRDefault="00E65941" w:rsidP="00FE6F3C">
            <w:pPr>
              <w:pStyle w:val="Figure"/>
            </w:pPr>
            <w:r>
              <w:rPr>
                <w:noProof/>
              </w:rPr>
              <w:drawing>
                <wp:inline distT="0" distB="0" distL="0" distR="0">
                  <wp:extent cx="2880360" cy="1216025"/>
                  <wp:effectExtent l="0" t="0" r="0" b="3175"/>
                  <wp:docPr id="3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80360" cy="1216025"/>
                          </a:xfrm>
                          <a:prstGeom prst="rect">
                            <a:avLst/>
                          </a:prstGeom>
                          <a:noFill/>
                          <a:ln>
                            <a:noFill/>
                          </a:ln>
                        </pic:spPr>
                      </pic:pic>
                    </a:graphicData>
                  </a:graphic>
                </wp:inline>
              </w:drawing>
            </w:r>
          </w:p>
        </w:tc>
        <w:tc>
          <w:tcPr>
            <w:tcW w:w="57" w:type="dxa"/>
            <w:shd w:val="clear" w:color="auto" w:fill="F2F2F2"/>
          </w:tcPr>
          <w:p w:rsidR="000079EF" w:rsidRPr="003D1CE3" w:rsidRDefault="000079EF" w:rsidP="00FE6F3C">
            <w:pPr>
              <w:pStyle w:val="Figure"/>
            </w:pPr>
          </w:p>
        </w:tc>
        <w:tc>
          <w:tcPr>
            <w:tcW w:w="57" w:type="dxa"/>
            <w:shd w:val="clear" w:color="auto" w:fill="auto"/>
          </w:tcPr>
          <w:p w:rsidR="000079EF" w:rsidRPr="003D1CE3" w:rsidRDefault="000079EF" w:rsidP="00FE6F3C">
            <w:pPr>
              <w:pStyle w:val="Figure"/>
            </w:pPr>
          </w:p>
        </w:tc>
        <w:tc>
          <w:tcPr>
            <w:tcW w:w="57" w:type="dxa"/>
            <w:shd w:val="clear" w:color="auto" w:fill="F2F2F2"/>
          </w:tcPr>
          <w:p w:rsidR="000079EF" w:rsidRPr="003D1CE3" w:rsidRDefault="000079EF" w:rsidP="00FE6F3C">
            <w:pPr>
              <w:pStyle w:val="Figure"/>
            </w:pPr>
          </w:p>
        </w:tc>
        <w:tc>
          <w:tcPr>
            <w:tcW w:w="4536" w:type="dxa"/>
          </w:tcPr>
          <w:p w:rsidR="000079EF" w:rsidRPr="003D1CE3" w:rsidRDefault="00E65941" w:rsidP="00FE6F3C">
            <w:pPr>
              <w:pStyle w:val="Figure"/>
            </w:pPr>
            <w:r>
              <w:rPr>
                <w:noProof/>
              </w:rPr>
              <w:drawing>
                <wp:inline distT="0" distB="0" distL="0" distR="0">
                  <wp:extent cx="2880360" cy="1216025"/>
                  <wp:effectExtent l="0" t="0" r="0" b="3175"/>
                  <wp:docPr id="36"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80360" cy="1216025"/>
                          </a:xfrm>
                          <a:prstGeom prst="rect">
                            <a:avLst/>
                          </a:prstGeom>
                          <a:noFill/>
                          <a:ln>
                            <a:noFill/>
                          </a:ln>
                        </pic:spPr>
                      </pic:pic>
                    </a:graphicData>
                  </a:graphic>
                </wp:inline>
              </w:drawing>
            </w:r>
          </w:p>
        </w:tc>
        <w:tc>
          <w:tcPr>
            <w:tcW w:w="57" w:type="dxa"/>
            <w:shd w:val="clear" w:color="auto" w:fill="F2F2F2"/>
          </w:tcPr>
          <w:p w:rsidR="000079EF" w:rsidRPr="003D1CE3" w:rsidRDefault="000079EF" w:rsidP="00FE6F3C">
            <w:pPr>
              <w:pStyle w:val="Figure"/>
            </w:pPr>
          </w:p>
        </w:tc>
      </w:tr>
      <w:tr w:rsidR="000079EF" w:rsidTr="00FE6F3C">
        <w:trPr>
          <w:cantSplit/>
          <w:trHeight w:hRule="exact" w:val="57"/>
        </w:trPr>
        <w:tc>
          <w:tcPr>
            <w:tcW w:w="57" w:type="dxa"/>
            <w:shd w:val="clear" w:color="auto" w:fill="auto"/>
          </w:tcPr>
          <w:p w:rsidR="000079EF" w:rsidRPr="003D1CE3" w:rsidRDefault="000079EF" w:rsidP="00FE6F3C">
            <w:pPr>
              <w:pStyle w:val="Figure"/>
            </w:pPr>
          </w:p>
        </w:tc>
        <w:tc>
          <w:tcPr>
            <w:tcW w:w="4536" w:type="dxa"/>
            <w:shd w:val="clear" w:color="auto" w:fill="auto"/>
          </w:tcPr>
          <w:p w:rsidR="000079EF" w:rsidRPr="003D1CE3" w:rsidRDefault="000079EF" w:rsidP="00FE6F3C">
            <w:pPr>
              <w:pStyle w:val="Figure"/>
            </w:pPr>
          </w:p>
        </w:tc>
        <w:tc>
          <w:tcPr>
            <w:tcW w:w="57" w:type="dxa"/>
            <w:shd w:val="clear" w:color="auto" w:fill="auto"/>
          </w:tcPr>
          <w:p w:rsidR="000079EF" w:rsidRPr="003D1CE3" w:rsidRDefault="000079EF" w:rsidP="00FE6F3C">
            <w:pPr>
              <w:pStyle w:val="Figure"/>
            </w:pPr>
          </w:p>
        </w:tc>
        <w:tc>
          <w:tcPr>
            <w:tcW w:w="57" w:type="dxa"/>
            <w:shd w:val="clear" w:color="auto" w:fill="auto"/>
          </w:tcPr>
          <w:p w:rsidR="000079EF" w:rsidRPr="003D1CE3" w:rsidRDefault="000079EF" w:rsidP="00FE6F3C">
            <w:pPr>
              <w:pStyle w:val="Figure"/>
            </w:pPr>
          </w:p>
        </w:tc>
        <w:tc>
          <w:tcPr>
            <w:tcW w:w="57" w:type="dxa"/>
            <w:shd w:val="clear" w:color="auto" w:fill="auto"/>
          </w:tcPr>
          <w:p w:rsidR="000079EF" w:rsidRPr="003D1CE3" w:rsidRDefault="000079EF" w:rsidP="00FE6F3C">
            <w:pPr>
              <w:pStyle w:val="Figure"/>
            </w:pPr>
          </w:p>
        </w:tc>
        <w:tc>
          <w:tcPr>
            <w:tcW w:w="4536" w:type="dxa"/>
            <w:shd w:val="clear" w:color="auto" w:fill="auto"/>
          </w:tcPr>
          <w:p w:rsidR="000079EF" w:rsidRPr="003D1CE3" w:rsidRDefault="000079EF" w:rsidP="00FE6F3C">
            <w:pPr>
              <w:pStyle w:val="Figure"/>
            </w:pPr>
          </w:p>
        </w:tc>
        <w:tc>
          <w:tcPr>
            <w:tcW w:w="57" w:type="dxa"/>
            <w:shd w:val="clear" w:color="auto" w:fill="auto"/>
          </w:tcPr>
          <w:p w:rsidR="000079EF" w:rsidRPr="003D1CE3" w:rsidRDefault="000079EF" w:rsidP="00FE6F3C">
            <w:pPr>
              <w:pStyle w:val="Figure"/>
            </w:pPr>
          </w:p>
        </w:tc>
      </w:tr>
      <w:tr w:rsidR="00566C64" w:rsidRPr="00BF5102" w:rsidTr="00EE7CE2">
        <w:trPr>
          <w:cantSplit/>
        </w:trPr>
        <w:tc>
          <w:tcPr>
            <w:tcW w:w="57" w:type="dxa"/>
            <w:shd w:val="clear" w:color="auto" w:fill="F2F2F2"/>
          </w:tcPr>
          <w:p w:rsidR="000079EF" w:rsidRPr="00BF5102" w:rsidRDefault="000079EF" w:rsidP="00FE6F3C">
            <w:pPr>
              <w:pStyle w:val="TabIntestaSup"/>
            </w:pPr>
          </w:p>
        </w:tc>
        <w:tc>
          <w:tcPr>
            <w:tcW w:w="4536" w:type="dxa"/>
            <w:shd w:val="clear" w:color="auto" w:fill="F2F2F2"/>
          </w:tcPr>
          <w:p w:rsidR="000079EF" w:rsidRPr="00BF5102" w:rsidRDefault="000079EF" w:rsidP="00FE6F3C">
            <w:pPr>
              <w:pStyle w:val="TabIntestaSup"/>
              <w:rPr>
                <w:lang w:val="en-US"/>
              </w:rPr>
            </w:pPr>
            <w:r>
              <w:t xml:space="preserve">Giappone: </w:t>
            </w:r>
            <w:r w:rsidRPr="00650FA7">
              <w:t>Nikkei 225</w:t>
            </w:r>
          </w:p>
        </w:tc>
        <w:tc>
          <w:tcPr>
            <w:tcW w:w="57" w:type="dxa"/>
            <w:shd w:val="clear" w:color="auto" w:fill="F2F2F2"/>
          </w:tcPr>
          <w:p w:rsidR="000079EF" w:rsidRPr="0015679A" w:rsidRDefault="000079EF" w:rsidP="00FE6F3C">
            <w:pPr>
              <w:pStyle w:val="TabIntestaSup"/>
              <w:rPr>
                <w:lang w:val="en-US"/>
              </w:rPr>
            </w:pPr>
          </w:p>
        </w:tc>
        <w:tc>
          <w:tcPr>
            <w:tcW w:w="57" w:type="dxa"/>
            <w:shd w:val="clear" w:color="auto" w:fill="auto"/>
          </w:tcPr>
          <w:p w:rsidR="000079EF" w:rsidRPr="0015679A" w:rsidRDefault="000079EF" w:rsidP="00FE6F3C">
            <w:pPr>
              <w:pStyle w:val="TabIntestaSup"/>
              <w:rPr>
                <w:lang w:val="en-US"/>
              </w:rPr>
            </w:pPr>
          </w:p>
        </w:tc>
        <w:tc>
          <w:tcPr>
            <w:tcW w:w="57" w:type="dxa"/>
            <w:shd w:val="clear" w:color="auto" w:fill="F2F2F2"/>
          </w:tcPr>
          <w:p w:rsidR="000079EF" w:rsidRPr="0015679A" w:rsidRDefault="000079EF" w:rsidP="00FE6F3C">
            <w:pPr>
              <w:pStyle w:val="TabIntestaSup"/>
              <w:rPr>
                <w:lang w:val="en-US"/>
              </w:rPr>
            </w:pPr>
          </w:p>
        </w:tc>
        <w:tc>
          <w:tcPr>
            <w:tcW w:w="4536" w:type="dxa"/>
            <w:shd w:val="clear" w:color="auto" w:fill="F2F2F2"/>
          </w:tcPr>
          <w:p w:rsidR="000079EF" w:rsidRPr="00BF5102" w:rsidRDefault="000079EF" w:rsidP="00FE6F3C">
            <w:pPr>
              <w:pStyle w:val="TabIntestaSup"/>
            </w:pPr>
            <w:r>
              <w:t xml:space="preserve">Cina: </w:t>
            </w:r>
            <w:r w:rsidRPr="006A0218">
              <w:t>Shanghai Composite</w:t>
            </w:r>
            <w:r>
              <w:t xml:space="preserve"> </w:t>
            </w:r>
            <w:r w:rsidRPr="00650144">
              <w:t>Index</w:t>
            </w:r>
          </w:p>
        </w:tc>
        <w:tc>
          <w:tcPr>
            <w:tcW w:w="57" w:type="dxa"/>
            <w:shd w:val="clear" w:color="auto" w:fill="F2F2F2"/>
          </w:tcPr>
          <w:p w:rsidR="000079EF" w:rsidRPr="00BF5102" w:rsidRDefault="000079EF" w:rsidP="00FE6F3C">
            <w:pPr>
              <w:pStyle w:val="TabIntestaSup"/>
            </w:pPr>
          </w:p>
        </w:tc>
      </w:tr>
      <w:tr w:rsidR="00566C64" w:rsidRPr="00BF5102" w:rsidTr="00EE7CE2">
        <w:trPr>
          <w:cantSplit/>
        </w:trPr>
        <w:tc>
          <w:tcPr>
            <w:tcW w:w="57" w:type="dxa"/>
            <w:shd w:val="clear" w:color="auto" w:fill="F2F2F2"/>
          </w:tcPr>
          <w:p w:rsidR="000079EF" w:rsidRPr="00BF5102" w:rsidRDefault="000079EF" w:rsidP="00FE6F3C">
            <w:pPr>
              <w:pStyle w:val="Figure"/>
            </w:pPr>
          </w:p>
        </w:tc>
        <w:tc>
          <w:tcPr>
            <w:tcW w:w="4536" w:type="dxa"/>
          </w:tcPr>
          <w:p w:rsidR="000079EF" w:rsidRPr="00BF5102" w:rsidRDefault="00E65941" w:rsidP="00FE6F3C">
            <w:pPr>
              <w:pStyle w:val="Figure"/>
            </w:pPr>
            <w:r>
              <w:rPr>
                <w:noProof/>
              </w:rPr>
              <w:drawing>
                <wp:inline distT="0" distB="0" distL="0" distR="0">
                  <wp:extent cx="2880360" cy="1216025"/>
                  <wp:effectExtent l="0" t="0" r="0" b="3175"/>
                  <wp:docPr id="34" name="Immagin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80360" cy="1216025"/>
                          </a:xfrm>
                          <a:prstGeom prst="rect">
                            <a:avLst/>
                          </a:prstGeom>
                          <a:noFill/>
                          <a:ln>
                            <a:noFill/>
                          </a:ln>
                        </pic:spPr>
                      </pic:pic>
                    </a:graphicData>
                  </a:graphic>
                </wp:inline>
              </w:drawing>
            </w:r>
          </w:p>
        </w:tc>
        <w:tc>
          <w:tcPr>
            <w:tcW w:w="57" w:type="dxa"/>
            <w:shd w:val="clear" w:color="auto" w:fill="F2F2F2"/>
          </w:tcPr>
          <w:p w:rsidR="000079EF" w:rsidRPr="00BF5102" w:rsidRDefault="000079EF" w:rsidP="00FE6F3C">
            <w:pPr>
              <w:pStyle w:val="Figure"/>
            </w:pPr>
          </w:p>
        </w:tc>
        <w:tc>
          <w:tcPr>
            <w:tcW w:w="57" w:type="dxa"/>
            <w:shd w:val="clear" w:color="auto" w:fill="auto"/>
          </w:tcPr>
          <w:p w:rsidR="000079EF" w:rsidRPr="00BF5102" w:rsidRDefault="000079EF" w:rsidP="00FE6F3C">
            <w:pPr>
              <w:pStyle w:val="Figure"/>
            </w:pPr>
          </w:p>
        </w:tc>
        <w:tc>
          <w:tcPr>
            <w:tcW w:w="57" w:type="dxa"/>
            <w:shd w:val="clear" w:color="auto" w:fill="F2F2F2"/>
          </w:tcPr>
          <w:p w:rsidR="000079EF" w:rsidRPr="00BF5102" w:rsidRDefault="000079EF" w:rsidP="00FE6F3C">
            <w:pPr>
              <w:pStyle w:val="Figure"/>
            </w:pPr>
          </w:p>
        </w:tc>
        <w:tc>
          <w:tcPr>
            <w:tcW w:w="4536" w:type="dxa"/>
          </w:tcPr>
          <w:p w:rsidR="000079EF" w:rsidRPr="00BF5102" w:rsidRDefault="00E65941" w:rsidP="00FE6F3C">
            <w:pPr>
              <w:pStyle w:val="Figure"/>
            </w:pPr>
            <w:r>
              <w:rPr>
                <w:noProof/>
              </w:rPr>
              <w:drawing>
                <wp:inline distT="0" distB="0" distL="0" distR="0">
                  <wp:extent cx="2880360" cy="1216025"/>
                  <wp:effectExtent l="0" t="0" r="0" b="3175"/>
                  <wp:docPr id="33"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80360" cy="1216025"/>
                          </a:xfrm>
                          <a:prstGeom prst="rect">
                            <a:avLst/>
                          </a:prstGeom>
                          <a:noFill/>
                          <a:ln>
                            <a:noFill/>
                          </a:ln>
                        </pic:spPr>
                      </pic:pic>
                    </a:graphicData>
                  </a:graphic>
                </wp:inline>
              </w:drawing>
            </w:r>
          </w:p>
        </w:tc>
        <w:tc>
          <w:tcPr>
            <w:tcW w:w="57" w:type="dxa"/>
            <w:shd w:val="clear" w:color="auto" w:fill="F2F2F2"/>
          </w:tcPr>
          <w:p w:rsidR="000079EF" w:rsidRPr="00BF5102" w:rsidRDefault="000079EF" w:rsidP="00FE6F3C">
            <w:pPr>
              <w:pStyle w:val="Figure"/>
            </w:pPr>
          </w:p>
        </w:tc>
      </w:tr>
      <w:tr w:rsidR="000079EF" w:rsidRPr="00BF5102" w:rsidTr="00FE6F3C">
        <w:trPr>
          <w:cantSplit/>
          <w:trHeight w:hRule="exact" w:val="57"/>
        </w:trPr>
        <w:tc>
          <w:tcPr>
            <w:tcW w:w="57" w:type="dxa"/>
            <w:shd w:val="clear" w:color="auto" w:fill="auto"/>
          </w:tcPr>
          <w:p w:rsidR="000079EF" w:rsidRPr="00BF5102" w:rsidRDefault="000079EF" w:rsidP="00FE6F3C">
            <w:pPr>
              <w:pStyle w:val="Figure"/>
            </w:pPr>
          </w:p>
        </w:tc>
        <w:tc>
          <w:tcPr>
            <w:tcW w:w="4536" w:type="dxa"/>
            <w:shd w:val="clear" w:color="auto" w:fill="auto"/>
          </w:tcPr>
          <w:p w:rsidR="000079EF" w:rsidRPr="00BF5102" w:rsidRDefault="000079EF" w:rsidP="00FE6F3C">
            <w:pPr>
              <w:pStyle w:val="Figure"/>
            </w:pPr>
          </w:p>
        </w:tc>
        <w:tc>
          <w:tcPr>
            <w:tcW w:w="57" w:type="dxa"/>
            <w:shd w:val="clear" w:color="auto" w:fill="auto"/>
          </w:tcPr>
          <w:p w:rsidR="000079EF" w:rsidRPr="00BF5102" w:rsidRDefault="000079EF" w:rsidP="00FE6F3C">
            <w:pPr>
              <w:pStyle w:val="Figure"/>
            </w:pPr>
          </w:p>
        </w:tc>
        <w:tc>
          <w:tcPr>
            <w:tcW w:w="57" w:type="dxa"/>
            <w:shd w:val="clear" w:color="auto" w:fill="auto"/>
          </w:tcPr>
          <w:p w:rsidR="000079EF" w:rsidRPr="00BF5102" w:rsidRDefault="000079EF" w:rsidP="00FE6F3C">
            <w:pPr>
              <w:pStyle w:val="Figure"/>
            </w:pPr>
          </w:p>
        </w:tc>
        <w:tc>
          <w:tcPr>
            <w:tcW w:w="57" w:type="dxa"/>
            <w:shd w:val="clear" w:color="auto" w:fill="auto"/>
          </w:tcPr>
          <w:p w:rsidR="000079EF" w:rsidRPr="00BF5102" w:rsidRDefault="000079EF" w:rsidP="00FE6F3C">
            <w:pPr>
              <w:pStyle w:val="Figure"/>
            </w:pPr>
          </w:p>
        </w:tc>
        <w:tc>
          <w:tcPr>
            <w:tcW w:w="4536" w:type="dxa"/>
            <w:shd w:val="clear" w:color="auto" w:fill="auto"/>
          </w:tcPr>
          <w:p w:rsidR="000079EF" w:rsidRPr="00BF5102" w:rsidRDefault="000079EF" w:rsidP="00FE6F3C">
            <w:pPr>
              <w:pStyle w:val="Figure"/>
            </w:pPr>
          </w:p>
        </w:tc>
        <w:tc>
          <w:tcPr>
            <w:tcW w:w="57" w:type="dxa"/>
            <w:shd w:val="clear" w:color="auto" w:fill="auto"/>
          </w:tcPr>
          <w:p w:rsidR="000079EF" w:rsidRPr="00BF5102" w:rsidRDefault="000079EF" w:rsidP="00FE6F3C">
            <w:pPr>
              <w:pStyle w:val="Figure"/>
            </w:pPr>
          </w:p>
        </w:tc>
      </w:tr>
      <w:tr w:rsidR="000079EF" w:rsidTr="00FE6F3C">
        <w:trPr>
          <w:cantSplit/>
        </w:trPr>
        <w:tc>
          <w:tcPr>
            <w:tcW w:w="9357" w:type="dxa"/>
            <w:gridSpan w:val="7"/>
          </w:tcPr>
          <w:p w:rsidR="000079EF" w:rsidRDefault="000079EF" w:rsidP="00FE6F3C">
            <w:pPr>
              <w:pStyle w:val="TabNoteSuperiori"/>
            </w:pPr>
            <w:r w:rsidRPr="00F17EBA">
              <w:t>Fonte</w:t>
            </w:r>
            <w:r>
              <w:t xml:space="preserve"> : Il Sole 24 Ore</w:t>
            </w:r>
          </w:p>
        </w:tc>
      </w:tr>
    </w:tbl>
    <w:p w:rsidR="008B2D4A" w:rsidRPr="008B2D4A" w:rsidRDefault="008B2D4A" w:rsidP="00C15BB4">
      <w:r w:rsidRPr="008B2D4A">
        <w:t xml:space="preserve">La recessione in Russia sta raggiungendo un punto di minimo, grazie anche al rialzo delle quotazioni del petrolio e alla </w:t>
      </w:r>
      <w:r w:rsidR="00566C64" w:rsidRPr="008B2D4A">
        <w:t>stabilizzazione</w:t>
      </w:r>
      <w:r w:rsidRPr="008B2D4A">
        <w:t xml:space="preserve"> del cambio del rublo. Nel 2016 il prodotto interno russo si è ridotto ancora (-0,6 per cento), ma con un ritmo di discesa molto inferiore rispetto a quello del 2015. È proseguita la contrazione sia dei consumi privati, per l’andamento negativo dei redditi reali determinato dalla forte pressione inflazionistica, che tende a rientrare, sia degli investimenti fissi, che hanno risentito della debole domanda interna e degli alti tassi di interesse imposti dalla banca centrale per controllare l’inflazione. La dipendenza del livello dell’attività economica dal settore energetico resta significativa e una transizione verso settori alternativi, di sostituzione delle importazioni, procede molto gradualmente e tra molteplici incertezze. Continua la riduzione della spesa pubblica, che si protrarrà anche oltre il 2017 a seguito della diminuzione delle entrate derivanti dai prodotti energetici. Nonostante l’irrigidimento della politica fiscale e un limitato spazio per un allentamento della politica monetaria, la crescita dovrebbe riprendere nel 2017, anche se con un passo moderato (tra un +0,8 e un +1,0 per cento), sostenuta da una ripresa dei consumi, favoriti da più elevati salari reali, e degli investimenti, che trarranno vantaggio da più bassi tassi di interesse. La ripresa dell’attività potrebbe trovare ulteriore sostegno dalla tenuta del taglio concordato con l’Opec della produzione di petrolio, che ne ha determinato un rialzo delle quotazioni, e dall’eliminazione delle sanzioni, in un quadro geopolitico più favorevole.</w:t>
      </w:r>
    </w:p>
    <w:p w:rsidR="008B2D4A" w:rsidRPr="005D7102" w:rsidRDefault="008B2D4A" w:rsidP="00C9078F">
      <w:pPr>
        <w:pStyle w:val="Titolo4"/>
      </w:pPr>
      <w:r w:rsidRPr="005D7102">
        <w:t>India</w:t>
      </w:r>
    </w:p>
    <w:p w:rsidR="008B2D4A" w:rsidRPr="008B2D4A" w:rsidRDefault="008B2D4A" w:rsidP="00A50C4F">
      <w:r w:rsidRPr="008B2D4A">
        <w:t xml:space="preserve">Prosegue la forte crescita economica dell’India, frenata nel 2016 per l’effetto temporaneo negativo sull’attività economica delle modalità della recente messa fuori corso legale delle banconote di maggiore taglio. In precedenza le stime erano orientate verso una crescita superiore di mezzo punto o anche un punto percentuale. Un effetto negativo per quasi mezzo punto percentuale si rifletterà anche sull’anno in corso, ma la dinamica positiva dovrebbe accelerare comunque nuovamente nel 2017 attorno al 7,2 per cento. L’attività è sostenuta da un forte crescita dei consumi, che dovrebbe proseguire rapida anche nel 2017. La ripresa delle esportazioni ha anticipato quella delle importazioni fornendo un ulteriore sostegno </w:t>
      </w:r>
      <w:r w:rsidRPr="008B2D4A">
        <w:lastRenderedPageBreak/>
        <w:t>all’attività. Ci si attende nel 2017 una ripresa anche degli investimenti privati, a seguito della riduzione dell’indebitamento delle imprese, del miglioramento della qualità del credito bancario e dell’andata a regime della nuova imposta nazionale sui consumi. Le aspettative inflazionistiche restano elevate. La politica monetaria ha pochi spazi per ulteriori allentamenti, mentre i precedenti tardano a trasmettersi al sistema. Il debito pubblico resta elevato, nonostante una riduzione dell’indebitamento. Il governo intende ridurre l’imposizione sulle imprese e aumentare quella sui redditi individuali per finanziare maggiori spese per sanità, istruzione, abitazione e infrastrutture. Le riforme strutturali, come la nuova imposta nazionale sui consumi (GST) possono avere un importante ruolo per il sostegno della crescita.</w:t>
      </w:r>
    </w:p>
    <w:p w:rsidR="008B2D4A" w:rsidRPr="00DB2CF9" w:rsidRDefault="008B2D4A" w:rsidP="004027E4">
      <w:pPr>
        <w:pStyle w:val="Titolo2"/>
      </w:pPr>
      <w:r>
        <w:t>X.2.</w:t>
      </w:r>
      <w:r>
        <w:tab/>
        <w:t>Il quadro dell’</w:t>
      </w:r>
      <w:r w:rsidRPr="00DB2CF9">
        <w:t>Area dell’euro</w:t>
      </w:r>
    </w:p>
    <w:p w:rsidR="008B2D4A" w:rsidRPr="008B2D4A" w:rsidRDefault="008B2D4A" w:rsidP="00522770">
      <w:r w:rsidRPr="008B2D4A">
        <w:t>La crescita economica nell’area dell’euro prosegue ad un ritmo contenuto, gravata dalle conseguenze della crisi passata e da un’elevata incertezza. Nonostante il prodotto interno lordo in termini assoluti abbia superato i livelli pre crisi, il ritmo di crescita è ancora molto più lento rispetto a quello antecedente la crisi.</w:t>
      </w:r>
    </w:p>
    <w:p w:rsidR="008B2D4A" w:rsidRPr="008B2D4A" w:rsidRDefault="008B2D4A" w:rsidP="00522770">
      <w:r w:rsidRPr="008B2D4A">
        <w:t xml:space="preserve">La creazione di posti di lavoro procede rapidamente, ma la disoccupazione resta più elevata e l’occupazione più bassa rispetto a dieci anni fa. La pressione dei prezzi interni è limitata e l’inflazione ha dato un contenuto accenno di ripresa solo all’inizio del 2017, trainata dagli energetici e alimentari. L’economia ristagna con un eccesso di capacità inutilizzata e vi è un ampio margine per una ripresa della domanda interna e dell’attività. </w:t>
      </w:r>
    </w:p>
    <w:p w:rsidR="008B2D4A" w:rsidRPr="008B2D4A" w:rsidRDefault="008B2D4A" w:rsidP="00522770">
      <w:r w:rsidRPr="008B2D4A">
        <w:t>L’attività economica non è decollata nonostante gli effetti favorevoli derivanti dai prezzi bassi delle materie prime, dal deprezzamento dell’euro, da un politica monetaria accomodante e da una politica fiscale neutrale. Nel 2016 ha affrontato le conseguenze negative derivanti da un bassa crescita globale, un rallentamento del commercio mondiale e una ripresa delle quotazioni delle materie prime nella seconda metà dell’anno. Se si considerano i paesi dell’area dell’euro, tra di essi sono presenti e  continueranno a persistere notevoli differenze riguardo alla crescita dell’attività economica, all’andamento ciclico e al livello di disoccupazione.</w:t>
      </w:r>
    </w:p>
    <w:p w:rsidR="008B2D4A" w:rsidRPr="008B2D4A" w:rsidRDefault="008B2D4A" w:rsidP="00522770">
      <w:r w:rsidRPr="008B2D4A">
        <w:t>Nel 2016 la crescita del prodotto interno lordo ha rallentato all’1,7 per cento, nonostante un’accelerazione nella parte finale dell’anno, e ci si attende si ridurrà lievemente anche nel 2017 all’1,6 per cento. I consumi privati hanno continuato a rappresentare il più importante fattore di crescita, ma procedono a un ritmo contenuto, limitati dall’elevata disoccupazione, anche se sostenuti dall’aumento del reddito disponibile reale derivante da un miglioramento delle condizioni sul mercato del lavoro e da una bassa inflazione. La loro crescita proseguirà nel 2017, ma tenderà a rallentare, sostenuta dai miglioramenti sul mercato del lavoro che controbilanceranno l’effetto negativo di una ripresa dell’inflazione sul potere d’acquisto delle famiglie.</w:t>
      </w:r>
    </w:p>
    <w:p w:rsidR="008B2D4A" w:rsidRPr="008B2D4A" w:rsidRDefault="008B2D4A" w:rsidP="00522770">
      <w:r w:rsidRPr="008B2D4A">
        <w:t>Nel 2016 la crescita degli investimenti è leggermente rallentata, date le attese di una domanda debole, nonostante la politica monetaria favorevole, anche a causa della fragilità del sistema bancario in alcuni paesi. La crescita degli investimenti accelererà nel 2017, grazie al basso costo di finanziamento, al recupero dei margini di profitto e al miglioramento delle attese della domanda mondiale, ma resterà contenuta da una maggiore incertezza sia economica, sia politica. Dovrebbe proseguire anche una leggera ripresa degli investimenti in costruzioni. Una rapida risoluzione dei crediti in sofferenza è essenziale per una più forte ripresa degli investimenti.</w:t>
      </w:r>
    </w:p>
    <w:p w:rsidR="008B2D4A" w:rsidRPr="008B2D4A" w:rsidRDefault="008B2D4A" w:rsidP="00522770">
      <w:r w:rsidRPr="008B2D4A">
        <w:t>La debolezza del commercio mondiale limita la crescita delle esportazioni, nonostante la riduzione del tasso di cambio nominale effettivo dell’euro, e solo l’aumento contenuto delle importazioni ha permesso di aumentare l’attivo di conto corrente dell’area che si pone su livelli veramente elevati. Le esportazioni tra i paesi dell’area hanno continuato a crescere, mentre quelle destinate al di fuori dell’area si sono ridotte. Le esportazioni nette hanno quindi fornito un contributo leggermene negativo alla crescita dell’area. Queste dinamiche paiono destinate a essere confermate anche nel 2017, con un’accelerazione della crescita delle esportazioni leggermente inferiore a quella delle importazioni e una lieve riduzione del surplus di conto corrente in rapporto al Pil.</w:t>
      </w:r>
    </w:p>
    <w:p w:rsidR="008B2D4A" w:rsidRPr="008B2D4A" w:rsidRDefault="008B2D4A" w:rsidP="00522770">
      <w:r w:rsidRPr="008B2D4A">
        <w:t>L’espansione dell’attività, trainata principalmente dalla domanda interna, ha alimentato una forte crescita dell’occupazione e una parallela graduale riduzione della disoccupazione, favorite da una moderata dinamica salariale, da politiche di sostegno all’occupazione e da riforme strutturali. La tendenza però non ha riassorbito i forti aumenti tra il 2008-2009 e il 2011-2013. Ci si attende nel 2017 un più contenuto ulteriore aumento dell’occupazione e una nuova graduale riduzione della disoccupazione, ma nel mercato del lavoro continueranno a permanere ampi spazi di potenziale recupero e ampie differenze tra i paesi dell’area, nonostante una tendenza al loro rientro.</w:t>
      </w:r>
    </w:p>
    <w:p w:rsidR="008B2D4A" w:rsidRPr="008B2D4A" w:rsidRDefault="008B2D4A" w:rsidP="008402C3">
      <w:r w:rsidRPr="008B2D4A">
        <w:t xml:space="preserve">L’andamento dell’inflazione è stato determinato dalla componente energetica. La contenuta crescita salariale non esercita sostanziali pressioni su un’inflazione che, al netto delle componenti volatili (core </w:t>
      </w:r>
      <w:r w:rsidRPr="008B2D4A">
        <w:lastRenderedPageBreak/>
        <w:t>inflation), resta stabilmente bassa. Il deprezzamento del cambio e l’aumento dei prezzi delle materie prime, in particolare la ripresa dei prezzi dei prodotti energetici, hanno iniziato a determinare un aumento dell’inflazione, che passerà dallo 0,2 per cento del 2016 all’1,7 per cento nel 2017, anche per effetto di una ripresa dell’attività.</w:t>
      </w:r>
    </w:p>
    <w:p w:rsidR="008B2D4A" w:rsidRPr="008B2D4A" w:rsidRDefault="008B2D4A" w:rsidP="00522770">
      <w:r w:rsidRPr="008B2D4A">
        <w:t xml:space="preserve">Al di là delle forme, la politica monetaria resterà accomodante fino a che non si sia consolidato l’obiettivo di una ripresa della dinamica dei prezzi attorno al 2 per cento, con una ripresa della core inflation, e quindi ben oltre il mese di dicembre del 2017. La problematicità della risoluzione delle crisi bancarie, frena la ripresa e ha messo in luce la necessità del completamento dell’unione bancaria per potere aumentare la fiducia nell’unione monetaria e la resistenza del sistema. Appare comunque chiaro che al di là dei molteplici interventi della Bce, la politica monetaria non può da sola perseguire l’obbiettivo dell’inflazione e di una ripresa diffusa dell’attività economica e dell’occupazione. </w:t>
      </w:r>
    </w:p>
    <w:p w:rsidR="008B2D4A" w:rsidRPr="008B2D4A" w:rsidRDefault="008B2D4A" w:rsidP="00522770">
      <w:r w:rsidRPr="008B2D4A">
        <w:t>Sono necessarie misure di politica fiscale e riforme strutturali. Lo stimolo fiscale dovrebbe aumentare soprattutto nei paesi con un maggiore equilibrio dei conti. La politica fiscale, attuale e prevista, appare solo leggermente espansiva. Il basso livello dei tassi ha ridotto il peso della spesa per interessi sui bilanci pubblici, permettendo un aumento di altre voci di spesa senza incidere sulla sostenibilità del deficit e del debito. Un programma di spesa per infrastrutture permetterebbe di sostenere la domanda e la crescita della capacità produttiva. Grazie ai bassi tassi di interesse e alla limitata ripresa in corso, nel 2016 è proseguita la tendenza alla riduzione del rapporto tra deficit pubblico e prodotto interno lordo e tra debito pubblico e Pil. La riduzione del rapporto relativo al deficit è stata determinata da una diminuzione della spesa pubblica, per minori trasferimenti sociali e spese per interessi, superiore alla riduzione delle entrate in rapporto al Pil. Le attese sono per il prosieguo di queste tendenze favorevoli anche nel 2017, ma con un ritmo di discesa meno rapido.</w:t>
      </w:r>
    </w:p>
    <w:p w:rsidR="00F81CE8" w:rsidRDefault="00CF2079" w:rsidP="00F81CE8">
      <w:pPr>
        <w:pStyle w:val="Titolo2"/>
      </w:pPr>
      <w:r>
        <w:t>X</w:t>
      </w:r>
      <w:r w:rsidR="00F81CE8">
        <w:t>.</w:t>
      </w:r>
      <w:r w:rsidR="00FB413C">
        <w:t>3</w:t>
      </w:r>
      <w:r w:rsidR="00F81CE8">
        <w:t>.</w:t>
      </w:r>
      <w:r w:rsidR="00F81CE8">
        <w:tab/>
      </w:r>
      <w:r w:rsidR="00F81CE8" w:rsidRPr="00F81CE8">
        <w:t xml:space="preserve">Il quadro </w:t>
      </w:r>
      <w:r w:rsidR="006C2562">
        <w:t>nazionale.</w:t>
      </w:r>
    </w:p>
    <w:tbl>
      <w:tblPr>
        <w:tblpPr w:topFromText="425" w:bottomFromText="425" w:horzAnchor="margin" w:tblpXSpec="center" w:tblpYSpec="bottom"/>
        <w:tblOverlap w:val="never"/>
        <w:tblW w:w="0" w:type="auto"/>
        <w:tblCellMar>
          <w:left w:w="0" w:type="dxa"/>
          <w:right w:w="0" w:type="dxa"/>
        </w:tblCellMar>
        <w:tblLook w:val="04A0" w:firstRow="1" w:lastRow="0" w:firstColumn="1" w:lastColumn="0" w:noHBand="0" w:noVBand="1"/>
      </w:tblPr>
      <w:tblGrid>
        <w:gridCol w:w="9356"/>
      </w:tblGrid>
      <w:tr w:rsidR="000079EF" w:rsidTr="00FE6F3C">
        <w:tc>
          <w:tcPr>
            <w:tcW w:w="9356" w:type="dxa"/>
          </w:tcPr>
          <w:p w:rsidR="000079EF" w:rsidRDefault="000079EF" w:rsidP="00FE6F3C">
            <w:pPr>
              <w:pStyle w:val="FigTitolo"/>
            </w:pPr>
            <w:r>
              <w:t>Fig. 1.2.1.</w:t>
            </w:r>
            <w:r>
              <w:tab/>
              <w:t>Prodotto interno lordo, valori concatenati, dati destagionalizzati e corretti.</w:t>
            </w:r>
            <w:r>
              <w:br/>
              <w:t>Numero indice (2010=100) e tasso di variazione sul trimestre precedente.</w:t>
            </w:r>
          </w:p>
        </w:tc>
      </w:tr>
      <w:tr w:rsidR="000079EF" w:rsidTr="00FE6F3C">
        <w:tc>
          <w:tcPr>
            <w:tcW w:w="9356" w:type="dxa"/>
          </w:tcPr>
          <w:p w:rsidR="000079EF" w:rsidRPr="002A23F1" w:rsidRDefault="00E65941" w:rsidP="00FE6F3C">
            <w:pPr>
              <w:pStyle w:val="Figure"/>
            </w:pPr>
            <w:r>
              <w:rPr>
                <w:noProof/>
              </w:rPr>
              <w:drawing>
                <wp:inline distT="0" distB="0" distL="0" distR="0">
                  <wp:extent cx="5897880" cy="2157730"/>
                  <wp:effectExtent l="0" t="0" r="7620" b="0"/>
                  <wp:docPr id="32" name="Immagin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0"/>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897880" cy="2157730"/>
                          </a:xfrm>
                          <a:prstGeom prst="rect">
                            <a:avLst/>
                          </a:prstGeom>
                          <a:noFill/>
                          <a:ln>
                            <a:noFill/>
                          </a:ln>
                        </pic:spPr>
                      </pic:pic>
                    </a:graphicData>
                  </a:graphic>
                </wp:inline>
              </w:drawing>
            </w:r>
          </w:p>
        </w:tc>
      </w:tr>
      <w:tr w:rsidR="000079EF" w:rsidTr="00FE6F3C">
        <w:tc>
          <w:tcPr>
            <w:tcW w:w="9356" w:type="dxa"/>
          </w:tcPr>
          <w:p w:rsidR="000079EF" w:rsidRDefault="000079EF" w:rsidP="00FE6F3C">
            <w:pPr>
              <w:pStyle w:val="TabNoteSuperiori"/>
            </w:pPr>
            <w:r>
              <w:t>Fonte Istat</w:t>
            </w:r>
          </w:p>
        </w:tc>
      </w:tr>
    </w:tbl>
    <w:p w:rsidR="004618CE" w:rsidRPr="004618CE" w:rsidRDefault="004618CE" w:rsidP="00254E8A">
      <w:r w:rsidRPr="004618CE">
        <w:t>La ripresa dell’economia italiana prosegue con un passo moderato, sostenuta da una politica monetaria europea accomodante. L’incertezza del quadro politico e le condizioni rigide sul mercato del credito, gravato dal peso delle sofferenze, limitano le possibilità di una crescita più rapida. La graduale eliminazione degli incentivi per le nuove assunzioni dovrebbe condurre a una riduzione della crescita dell’occupazione. L’inflazione è risultata negativa nel 2016 e solo la ripresa dei prezzi dei prodotti energetici l’ha sostenuta all’avvio del 2017, mentre la pressione salariale resta contenuta. Ci si attende una stabilizzazione sia dell’indebitamento, sia del deficit pubblico in rapporto al Pil sui valori del 2016 anche per il 2017.</w:t>
      </w:r>
    </w:p>
    <w:p w:rsidR="004618CE" w:rsidRDefault="004618CE" w:rsidP="00890B91">
      <w:pPr>
        <w:pStyle w:val="Titolo4"/>
      </w:pPr>
      <w:bookmarkStart w:id="1" w:name="_Toc469060247"/>
      <w:r>
        <w:t>I conti economici</w:t>
      </w:r>
      <w:bookmarkEnd w:id="1"/>
    </w:p>
    <w:p w:rsidR="004618CE" w:rsidRPr="004618CE" w:rsidRDefault="004618CE" w:rsidP="004077FB">
      <w:r w:rsidRPr="004618CE">
        <w:t>Nel 2016 l’economia italiana ha continuato a crescere a un passo moderato che ha condotto a un aumento del prodotto interno lordo dello 0,9 per cento. Anche nel 2017 il prodotto interno lordo dovrebbe crescere tra lo 0,9 e l’1,0 per cento, grazie al sostegno derivante dai bassi tassi di interesse reali, trainato sia dalla domanda interna, sia dalla crescita delle esportazioni, derivante dalla ripresa della domanda estera.</w:t>
      </w:r>
    </w:p>
    <w:p w:rsidR="004618CE" w:rsidRPr="004618CE" w:rsidRDefault="004618CE" w:rsidP="004077FB">
      <w:r w:rsidRPr="004618CE">
        <w:lastRenderedPageBreak/>
        <w:t>Le esportazioni hanno risentito della bassa crescita sia del commercio mondiale, sia nei specifici mercati di esportazione oltre che degli effetti delle tensioni geopolitiche, quali l’embargo alla Russia. I fattori geopolitici continueranno a pesare anche in futuro sulla crescita delle vendite all’estero, come nel caso degli effetti della Brexit, che pure dovrebbe accelerare moderatamente con la ripresa della crescita e del commercio globale.</w:t>
      </w:r>
    </w:p>
    <w:p w:rsidR="004618CE" w:rsidRPr="004618CE" w:rsidRDefault="004618CE" w:rsidP="004077FB">
      <w:r w:rsidRPr="004618CE">
        <w:t xml:space="preserve">Anche in Italia la crescita degli investimenti procede più lentamente rispetto alle fasi di ripresa del passato. Gli eccessi di capacità produttiva e l’incertezza sull’evoluzione economica hanno a lungo ridotto i programmi di investimento e la domanda di finanziamenti delle imprese. D’altro canto l’incertezza economica, il rischio d’impresa e il peso delle sofferenze sui bilanci e sulla reddittività degli istituti bancari hanno determinato la stagnazione dei prestiti bancari alle imprese. In questo quadro, se le imprese maggiori hanno potuto avvantaggiarsi di un miglioramento delle condizioni e dell’offerta del credito, la disponibilità e le condizioni di finanziamento delle piccole sono negative. Questo ostacola una possibile vera ripresa degli investimenti.  Una riduzione dell’imposizione fiscale sulle imprese e specifici incentivi pubblici mirano a sostenere la ripresa degli investimenti in attrezzature e innovazione, agevolata dai bassi tassi di interesse. La ripresa del settore delle costruzioni è decisamente frenata dalla resistenza degli istituti di credito a finanziare le imprese di un settore a rischio elevato e gravato da un’alta percentuale di sofferenze. Nel complesso, anche nel 2017, una crescita degli investimenti moderata, ma in lieve accelerazione, dovrebbe arrestare il processo di depauperamento dello stock dei beni capitali. </w:t>
      </w:r>
    </w:p>
    <w:tbl>
      <w:tblPr>
        <w:tblpPr w:topFromText="425" w:bottomFromText="425" w:horzAnchor="margin" w:tblpXSpec="center" w:tblpYSpec="top"/>
        <w:tblOverlap w:val="never"/>
        <w:tblW w:w="0" w:type="auto"/>
        <w:tblCellMar>
          <w:left w:w="0" w:type="dxa"/>
          <w:right w:w="0" w:type="dxa"/>
        </w:tblCellMar>
        <w:tblLook w:val="04A0" w:firstRow="1" w:lastRow="0" w:firstColumn="1" w:lastColumn="0" w:noHBand="0" w:noVBand="1"/>
      </w:tblPr>
      <w:tblGrid>
        <w:gridCol w:w="9356"/>
      </w:tblGrid>
      <w:tr w:rsidR="000079EF" w:rsidTr="00FE6F3C">
        <w:tc>
          <w:tcPr>
            <w:tcW w:w="9356" w:type="dxa"/>
          </w:tcPr>
          <w:p w:rsidR="000079EF" w:rsidRDefault="000079EF" w:rsidP="00FE6F3C">
            <w:pPr>
              <w:pStyle w:val="FigTitolo"/>
            </w:pPr>
            <w:r w:rsidRPr="00415798">
              <w:t>La previsione dell</w:t>
            </w:r>
            <w:r>
              <w:t>a Commissione europea per l’Italia: tasso di variazione sull’anno precedente per prodotto interno lordo, import</w:t>
            </w:r>
            <w:r>
              <w:t>a</w:t>
            </w:r>
            <w:r>
              <w:t>zioni, esportazioni, consumi e investimenti; avanzo primario, indebitamento e debito della P.A. in percentuale del Pil; tasso di disoccupazione</w:t>
            </w:r>
          </w:p>
        </w:tc>
      </w:tr>
      <w:tr w:rsidR="000079EF" w:rsidTr="00FE6F3C">
        <w:tc>
          <w:tcPr>
            <w:tcW w:w="9356" w:type="dxa"/>
          </w:tcPr>
          <w:p w:rsidR="000079EF" w:rsidRDefault="00E65941" w:rsidP="00FE6F3C">
            <w:pPr>
              <w:pStyle w:val="Figure"/>
            </w:pPr>
            <w:r>
              <w:rPr>
                <w:noProof/>
              </w:rPr>
              <w:drawing>
                <wp:inline distT="0" distB="0" distL="0" distR="0">
                  <wp:extent cx="4535170" cy="2514600"/>
                  <wp:effectExtent l="0" t="0" r="0" b="0"/>
                  <wp:docPr id="31" name="Immagin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535170" cy="2514600"/>
                          </a:xfrm>
                          <a:prstGeom prst="rect">
                            <a:avLst/>
                          </a:prstGeom>
                          <a:noFill/>
                          <a:ln>
                            <a:noFill/>
                          </a:ln>
                        </pic:spPr>
                      </pic:pic>
                    </a:graphicData>
                  </a:graphic>
                </wp:inline>
              </w:drawing>
            </w:r>
            <w:r w:rsidR="000079EF">
              <w:t xml:space="preserve"> </w:t>
            </w:r>
            <w:r>
              <w:rPr>
                <w:noProof/>
              </w:rPr>
              <w:drawing>
                <wp:inline distT="0" distB="0" distL="0" distR="0">
                  <wp:extent cx="648970" cy="2514600"/>
                  <wp:effectExtent l="0" t="0" r="0" b="0"/>
                  <wp:docPr id="30" name="Immagin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48970" cy="2514600"/>
                          </a:xfrm>
                          <a:prstGeom prst="rect">
                            <a:avLst/>
                          </a:prstGeom>
                          <a:noFill/>
                          <a:ln>
                            <a:noFill/>
                          </a:ln>
                        </pic:spPr>
                      </pic:pic>
                    </a:graphicData>
                  </a:graphic>
                </wp:inline>
              </w:drawing>
            </w:r>
            <w:r w:rsidR="000079EF">
              <w:t xml:space="preserve"> </w:t>
            </w:r>
            <w:r>
              <w:rPr>
                <w:noProof/>
              </w:rPr>
              <w:drawing>
                <wp:inline distT="0" distB="0" distL="0" distR="0">
                  <wp:extent cx="648970" cy="2514600"/>
                  <wp:effectExtent l="0" t="0" r="0" b="0"/>
                  <wp:docPr id="28" name="Immagin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48970" cy="2514600"/>
                          </a:xfrm>
                          <a:prstGeom prst="rect">
                            <a:avLst/>
                          </a:prstGeom>
                          <a:noFill/>
                          <a:ln>
                            <a:noFill/>
                          </a:ln>
                        </pic:spPr>
                      </pic:pic>
                    </a:graphicData>
                  </a:graphic>
                </wp:inline>
              </w:drawing>
            </w:r>
          </w:p>
        </w:tc>
      </w:tr>
      <w:tr w:rsidR="000079EF" w:rsidRPr="00DE03EB" w:rsidTr="00FE6F3C">
        <w:tc>
          <w:tcPr>
            <w:tcW w:w="9356" w:type="dxa"/>
          </w:tcPr>
          <w:p w:rsidR="000079EF" w:rsidRPr="00DE03EB" w:rsidRDefault="000079EF" w:rsidP="00FE6F3C">
            <w:pPr>
              <w:pStyle w:val="TabNoteSuperiori"/>
            </w:pPr>
            <w:r w:rsidRPr="00DE03EB">
              <w:t>Fonte: Commissione Europea, E</w:t>
            </w:r>
            <w:r>
              <w:t xml:space="preserve">uropean economic forecast,  13 febbraio </w:t>
            </w:r>
            <w:r w:rsidRPr="00DE03EB">
              <w:t>201</w:t>
            </w:r>
            <w:r>
              <w:t>7</w:t>
            </w:r>
          </w:p>
        </w:tc>
      </w:tr>
    </w:tbl>
    <w:p w:rsidR="004618CE" w:rsidRPr="004618CE" w:rsidRDefault="004618CE" w:rsidP="004077FB">
      <w:r w:rsidRPr="004618CE">
        <w:t xml:space="preserve">L’aumento dell’occupazione continua a sostenere il reddito disponibile e quindi, insieme con ancora contenuti prezzi energetici, i consumi delle famiglie la cui crescita è proseguita nel 2016. Questa continuerà anche nel 2017, ma più lentamente, gravata dall’effetto di una ripresa dei prezzi petroliferi sui redditi disponibili, nonostante le incertezze politico economiche e una fiducia dei consumatori in declino. </w:t>
      </w:r>
    </w:p>
    <w:p w:rsidR="004618CE" w:rsidRDefault="004618CE" w:rsidP="00890B91">
      <w:pPr>
        <w:pStyle w:val="Titolo4"/>
      </w:pPr>
      <w:bookmarkStart w:id="2" w:name="_Toc469060252"/>
      <w:r>
        <w:t>Lavoro</w:t>
      </w:r>
      <w:bookmarkEnd w:id="2"/>
    </w:p>
    <w:p w:rsidR="004618CE" w:rsidRPr="004618CE" w:rsidRDefault="004618CE" w:rsidP="004077FB">
      <w:r w:rsidRPr="004618CE">
        <w:t>Le riforme introdotte sul mercato del lavoro hanno dato un esisto positivo. I tagli per tre anni ai contributi sociali concessi per le nuove assunzioni a tempo indeterminato durante il 2015 e il 2016 hanno sostenuto l’aumento dell’occupazione che si è registrato. Ci si attende che la crescita degli occupati tenda a rientrare nel 2017, con una tendenza all’aumento delle ore lavorate, mantenendo comunque un buon ritmo. Il miglioramento delle condizioni del mercato del lavoro sta inoltre conducendo a una maggiore partecipazione femminile e al rientro sul mercato di una quota crescente di scoraggiati, determinando così un aumento delle forze di lavoro. Con l’aumento del tasso di partecipazione al mercato del lavoro, il tasso di disoccupazione, dopo un’ulteriore riduzione nel 2016, dovrebbe diminuire solo marginalmente nel 2017. Il costo del lavoro unitario nominale dovrebbe crescere marginalmente, riducendosi in termini reali, per effetto di una pressione salariale limitata grazie alla riduzione del cuneo fiscale e a un lieve aumento dei salari reali negli scorsi anni, ma favorita principalmente dalla bassa inflazione.</w:t>
      </w:r>
    </w:p>
    <w:p w:rsidR="004618CE" w:rsidRDefault="004618CE" w:rsidP="00890B91">
      <w:pPr>
        <w:pStyle w:val="Titolo4"/>
      </w:pPr>
      <w:bookmarkStart w:id="3" w:name="_Toc469060253"/>
      <w:r>
        <w:lastRenderedPageBreak/>
        <w:t>Prezzi</w:t>
      </w:r>
      <w:bookmarkEnd w:id="3"/>
    </w:p>
    <w:p w:rsidR="004618CE" w:rsidRPr="004618CE" w:rsidRDefault="004618CE" w:rsidP="00291CB1">
      <w:r w:rsidRPr="004618CE">
        <w:t xml:space="preserve">Nel 2016 la caduta dei prezzi dei prodotti energetici ha più che compensato un moderato aumento dei prezzi dell’indice al netto degli energetici e degli alimentari, </w:t>
      </w:r>
      <w:r w:rsidR="00566C64" w:rsidRPr="004618CE">
        <w:t>determinando</w:t>
      </w:r>
      <w:r w:rsidRPr="004618CE">
        <w:t xml:space="preserve"> per la prima volta dal 1959 una variazione negativa (-0,1 per cento) dei prezzi al consumo in media d’anno. Nonostante una moderata spinta salariale e un graduale recupero dei margini di profitto, ci si attende che anche nel 2017, siano i prezzi dell’energia, con un movimento in senso inverso, a determinare un incremento dei prezzi al consumo attorno all’1,4 per cento, mentre l’</w:t>
      </w:r>
      <w:r w:rsidR="00566C64" w:rsidRPr="004618CE">
        <w:t>inflazione</w:t>
      </w:r>
      <w:r w:rsidRPr="004618CE">
        <w:t xml:space="preserve"> di fondo salirà più gradualmente.</w:t>
      </w:r>
    </w:p>
    <w:p w:rsidR="004618CE" w:rsidRDefault="004618CE" w:rsidP="00890B91">
      <w:pPr>
        <w:pStyle w:val="Titolo4"/>
      </w:pPr>
      <w:bookmarkStart w:id="4" w:name="_Toc469060254"/>
      <w:r>
        <w:t>Credito</w:t>
      </w:r>
      <w:bookmarkEnd w:id="4"/>
    </w:p>
    <w:tbl>
      <w:tblPr>
        <w:tblpPr w:topFromText="284" w:bottomFromText="284" w:horzAnchor="margin" w:tblpXSpec="center" w:tblpYSpec="top"/>
        <w:tblOverlap w:val="never"/>
        <w:tblW w:w="0" w:type="auto"/>
        <w:tblLayout w:type="fixed"/>
        <w:tblCellMar>
          <w:left w:w="0" w:type="dxa"/>
          <w:right w:w="0" w:type="dxa"/>
        </w:tblCellMar>
        <w:tblLook w:val="04A0" w:firstRow="1" w:lastRow="0" w:firstColumn="1" w:lastColumn="0" w:noHBand="0" w:noVBand="1"/>
      </w:tblPr>
      <w:tblGrid>
        <w:gridCol w:w="4593"/>
        <w:gridCol w:w="170"/>
        <w:gridCol w:w="4593"/>
      </w:tblGrid>
      <w:tr w:rsidR="000079EF" w:rsidTr="00FE6F3C">
        <w:trPr>
          <w:cantSplit/>
        </w:trPr>
        <w:tc>
          <w:tcPr>
            <w:tcW w:w="4593" w:type="dxa"/>
          </w:tcPr>
          <w:p w:rsidR="000079EF" w:rsidRDefault="000079EF" w:rsidP="00FE6F3C">
            <w:pPr>
              <w:pStyle w:val="FigTitolo"/>
            </w:pPr>
            <w:r w:rsidRPr="006226EA">
              <w:t>Fig. 1.2.</w:t>
            </w:r>
            <w:r>
              <w:t>4</w:t>
            </w:r>
            <w:r w:rsidRPr="006226EA">
              <w:t>.</w:t>
            </w:r>
            <w:r w:rsidRPr="006226EA">
              <w:tab/>
              <w:t>Prestiti</w:t>
            </w:r>
            <w:r>
              <w:t xml:space="preserve"> bancari al settore privato non finanziario (1)</w:t>
            </w:r>
            <w:r>
              <w:br/>
              <w:t>(dati mensili; variazioni percentuali)</w:t>
            </w:r>
            <w:r>
              <w:br/>
            </w:r>
          </w:p>
        </w:tc>
        <w:tc>
          <w:tcPr>
            <w:tcW w:w="170" w:type="dxa"/>
          </w:tcPr>
          <w:p w:rsidR="000079EF" w:rsidRDefault="000079EF" w:rsidP="00FE6F3C">
            <w:pPr>
              <w:pStyle w:val="FigTitolo"/>
            </w:pPr>
          </w:p>
        </w:tc>
        <w:tc>
          <w:tcPr>
            <w:tcW w:w="4593" w:type="dxa"/>
          </w:tcPr>
          <w:p w:rsidR="000079EF" w:rsidRDefault="000079EF" w:rsidP="00FE6F3C">
            <w:pPr>
              <w:pStyle w:val="FigTitolo"/>
            </w:pPr>
            <w:r w:rsidRPr="006226EA">
              <w:t>Fig. 1.2.</w:t>
            </w:r>
            <w:r>
              <w:t>5</w:t>
            </w:r>
            <w:r w:rsidRPr="006226EA">
              <w:t>.</w:t>
            </w:r>
            <w:r w:rsidRPr="006226EA">
              <w:tab/>
              <w:t>Prestiti</w:t>
            </w:r>
            <w:r>
              <w:t xml:space="preserve"> bancari alle società non finanziarie per comparto di attività economica(2)</w:t>
            </w:r>
            <w:r>
              <w:br/>
              <w:t>(dati mensili; variazioni percentuali)</w:t>
            </w:r>
          </w:p>
        </w:tc>
      </w:tr>
      <w:tr w:rsidR="000079EF" w:rsidTr="00FE6F3C">
        <w:trPr>
          <w:cantSplit/>
        </w:trPr>
        <w:tc>
          <w:tcPr>
            <w:tcW w:w="4593" w:type="dxa"/>
            <w:gridSpan w:val="3"/>
            <w:shd w:val="clear" w:color="auto" w:fill="D0E3ED"/>
          </w:tcPr>
          <w:p w:rsidR="000079EF" w:rsidRPr="00DA2F8E" w:rsidRDefault="00E65941" w:rsidP="00FE6F3C">
            <w:pPr>
              <w:pStyle w:val="Figure"/>
            </w:pPr>
            <w:r>
              <w:rPr>
                <w:noProof/>
              </w:rPr>
              <w:drawing>
                <wp:inline distT="0" distB="0" distL="0" distR="0">
                  <wp:extent cx="5906770" cy="1581785"/>
                  <wp:effectExtent l="0" t="0" r="0" b="0"/>
                  <wp:docPr id="27" name="Immagin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8"/>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906770" cy="1581785"/>
                          </a:xfrm>
                          <a:prstGeom prst="rect">
                            <a:avLst/>
                          </a:prstGeom>
                          <a:noFill/>
                          <a:ln>
                            <a:noFill/>
                          </a:ln>
                        </pic:spPr>
                      </pic:pic>
                    </a:graphicData>
                  </a:graphic>
                </wp:inline>
              </w:drawing>
            </w:r>
          </w:p>
        </w:tc>
      </w:tr>
      <w:tr w:rsidR="000079EF" w:rsidTr="00FE6F3C">
        <w:trPr>
          <w:cantSplit/>
          <w:trHeight w:hRule="exact" w:val="57"/>
        </w:trPr>
        <w:tc>
          <w:tcPr>
            <w:tcW w:w="4593" w:type="dxa"/>
            <w:shd w:val="clear" w:color="auto" w:fill="D0E3ED"/>
          </w:tcPr>
          <w:p w:rsidR="000079EF" w:rsidRPr="0075564D" w:rsidRDefault="000079EF" w:rsidP="00FE6F3C">
            <w:pPr>
              <w:ind w:firstLine="0"/>
            </w:pPr>
          </w:p>
        </w:tc>
        <w:tc>
          <w:tcPr>
            <w:tcW w:w="170" w:type="dxa"/>
            <w:shd w:val="clear" w:color="auto" w:fill="D0E3ED"/>
          </w:tcPr>
          <w:p w:rsidR="000079EF" w:rsidRDefault="000079EF" w:rsidP="00FE6F3C">
            <w:pPr>
              <w:pStyle w:val="Figure"/>
            </w:pPr>
          </w:p>
        </w:tc>
        <w:tc>
          <w:tcPr>
            <w:tcW w:w="4593" w:type="dxa"/>
            <w:shd w:val="clear" w:color="auto" w:fill="D0E3ED"/>
          </w:tcPr>
          <w:p w:rsidR="000079EF" w:rsidRDefault="000079EF" w:rsidP="00FE6F3C">
            <w:pPr>
              <w:pStyle w:val="Figure"/>
            </w:pPr>
          </w:p>
        </w:tc>
      </w:tr>
      <w:tr w:rsidR="000079EF" w:rsidTr="00FE6F3C">
        <w:trPr>
          <w:cantSplit/>
        </w:trPr>
        <w:tc>
          <w:tcPr>
            <w:tcW w:w="4593" w:type="dxa"/>
            <w:shd w:val="clear" w:color="auto" w:fill="D0E3ED"/>
          </w:tcPr>
          <w:p w:rsidR="000079EF" w:rsidRDefault="00E65941" w:rsidP="00FE6F3C">
            <w:pPr>
              <w:pStyle w:val="Figure"/>
            </w:pPr>
            <w:r>
              <w:rPr>
                <w:noProof/>
              </w:rPr>
              <w:drawing>
                <wp:inline distT="0" distB="0" distL="0" distR="0">
                  <wp:extent cx="2331720" cy="137160"/>
                  <wp:effectExtent l="0" t="0" r="0" b="0"/>
                  <wp:docPr id="23" name="Immagin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331720" cy="137160"/>
                          </a:xfrm>
                          <a:prstGeom prst="rect">
                            <a:avLst/>
                          </a:prstGeom>
                          <a:noFill/>
                          <a:ln>
                            <a:noFill/>
                          </a:ln>
                        </pic:spPr>
                      </pic:pic>
                    </a:graphicData>
                  </a:graphic>
                </wp:inline>
              </w:drawing>
            </w:r>
          </w:p>
        </w:tc>
        <w:tc>
          <w:tcPr>
            <w:tcW w:w="170" w:type="dxa"/>
            <w:shd w:val="clear" w:color="auto" w:fill="D0E3ED"/>
          </w:tcPr>
          <w:p w:rsidR="000079EF" w:rsidRDefault="000079EF" w:rsidP="00FE6F3C">
            <w:pPr>
              <w:pStyle w:val="Figure"/>
            </w:pPr>
          </w:p>
        </w:tc>
        <w:tc>
          <w:tcPr>
            <w:tcW w:w="4593" w:type="dxa"/>
            <w:shd w:val="clear" w:color="auto" w:fill="D0E3ED"/>
          </w:tcPr>
          <w:p w:rsidR="000079EF" w:rsidRDefault="00E65941" w:rsidP="00FE6F3C">
            <w:pPr>
              <w:pStyle w:val="Figure"/>
            </w:pPr>
            <w:r>
              <w:rPr>
                <w:noProof/>
              </w:rPr>
              <w:drawing>
                <wp:inline distT="0" distB="0" distL="0" distR="0">
                  <wp:extent cx="2331720" cy="118745"/>
                  <wp:effectExtent l="0" t="0" r="0" b="0"/>
                  <wp:docPr id="21" name="Immagin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331720" cy="118745"/>
                          </a:xfrm>
                          <a:prstGeom prst="rect">
                            <a:avLst/>
                          </a:prstGeom>
                          <a:noFill/>
                          <a:ln>
                            <a:noFill/>
                          </a:ln>
                        </pic:spPr>
                      </pic:pic>
                    </a:graphicData>
                  </a:graphic>
                </wp:inline>
              </w:drawing>
            </w:r>
          </w:p>
        </w:tc>
      </w:tr>
      <w:tr w:rsidR="000079EF" w:rsidTr="00FE6F3C">
        <w:trPr>
          <w:cantSplit/>
        </w:trPr>
        <w:tc>
          <w:tcPr>
            <w:tcW w:w="4593" w:type="dxa"/>
            <w:gridSpan w:val="3"/>
          </w:tcPr>
          <w:p w:rsidR="000079EF" w:rsidRDefault="000079EF" w:rsidP="00FE6F3C">
            <w:pPr>
              <w:pStyle w:val="TabNoteSuperiori"/>
            </w:pPr>
            <w:r>
              <w:t>(1) I prestiti includono le sofferenze e i pronti contro termine, nonché la componente di quelli non rilevati nei bilanci bancari in qua</w:t>
            </w:r>
            <w:r>
              <w:t>n</w:t>
            </w:r>
            <w:r>
              <w:t>to cartolarizzati. Le variazioni percentuali sono calcolate al netto di riclassificazioni, variazioni del cambio, aggiustamenti di valore e altre variazioni non derivanti da transazioni. (2) Variazioni sui 12 mesi; per i comparti, i dati non sono corretti per le variazioni del cambio e, fino a dicembre 2013, per gli aggiustamenti di valore. (3) I dati sono depurati della componente stagionale.</w:t>
            </w:r>
          </w:p>
          <w:p w:rsidR="000079EF" w:rsidRDefault="000079EF" w:rsidP="00FE6F3C">
            <w:pPr>
              <w:pStyle w:val="TabNoteInferiori"/>
            </w:pPr>
            <w:r>
              <w:t xml:space="preserve">Fonte: </w:t>
            </w:r>
            <w:r w:rsidRPr="00FD6C6F">
              <w:t>Banca d’Italia.</w:t>
            </w:r>
          </w:p>
        </w:tc>
      </w:tr>
    </w:tbl>
    <w:p w:rsidR="00EE7CE2" w:rsidRPr="00EE7CE2" w:rsidRDefault="00EE7CE2" w:rsidP="00EE7CE2">
      <w:pPr>
        <w:rPr>
          <w:vanish/>
        </w:rPr>
      </w:pPr>
    </w:p>
    <w:tbl>
      <w:tblPr>
        <w:tblpPr w:topFromText="284" w:bottomFromText="284" w:horzAnchor="margin" w:tblpXSpec="center" w:tblpYSpec="bottom"/>
        <w:tblOverlap w:val="never"/>
        <w:tblW w:w="0" w:type="auto"/>
        <w:tblLayout w:type="fixed"/>
        <w:tblCellMar>
          <w:left w:w="0" w:type="dxa"/>
          <w:right w:w="0" w:type="dxa"/>
        </w:tblCellMar>
        <w:tblLook w:val="04A0" w:firstRow="1" w:lastRow="0" w:firstColumn="1" w:lastColumn="0" w:noHBand="0" w:noVBand="1"/>
      </w:tblPr>
      <w:tblGrid>
        <w:gridCol w:w="4593"/>
        <w:gridCol w:w="170"/>
        <w:gridCol w:w="4593"/>
      </w:tblGrid>
      <w:tr w:rsidR="000079EF" w:rsidTr="00FE6F3C">
        <w:trPr>
          <w:cantSplit/>
        </w:trPr>
        <w:tc>
          <w:tcPr>
            <w:tcW w:w="4593" w:type="dxa"/>
            <w:shd w:val="clear" w:color="auto" w:fill="auto"/>
          </w:tcPr>
          <w:p w:rsidR="000079EF" w:rsidRDefault="000079EF" w:rsidP="00FE6F3C">
            <w:pPr>
              <w:pStyle w:val="TabTitolo"/>
            </w:pPr>
            <w:r>
              <w:t>Fig. 1.2.5.</w:t>
            </w:r>
            <w:r>
              <w:tab/>
              <w:t xml:space="preserve">Tassi di interesse bancari (1) </w:t>
            </w:r>
            <w:r>
              <w:br/>
              <w:t>(dati mensili; valori percentuali).</w:t>
            </w:r>
            <w:r>
              <w:br/>
              <w:t>Italia e area dell’euro</w:t>
            </w:r>
          </w:p>
        </w:tc>
        <w:tc>
          <w:tcPr>
            <w:tcW w:w="170" w:type="dxa"/>
            <w:shd w:val="clear" w:color="auto" w:fill="auto"/>
          </w:tcPr>
          <w:p w:rsidR="000079EF" w:rsidRDefault="000079EF" w:rsidP="00FE6F3C">
            <w:pPr>
              <w:pStyle w:val="TabTitolo"/>
            </w:pPr>
          </w:p>
        </w:tc>
        <w:tc>
          <w:tcPr>
            <w:tcW w:w="4593" w:type="dxa"/>
            <w:shd w:val="clear" w:color="auto" w:fill="auto"/>
            <w:vAlign w:val="center"/>
          </w:tcPr>
          <w:p w:rsidR="000079EF" w:rsidRDefault="000079EF" w:rsidP="00FE6F3C">
            <w:pPr>
              <w:pStyle w:val="TabTitolo"/>
            </w:pPr>
            <w:r>
              <w:t>Fig. 1.2.6.</w:t>
            </w:r>
            <w:r>
              <w:tab/>
              <w:t xml:space="preserve">Tassi di interesse bancari (1) </w:t>
            </w:r>
            <w:r>
              <w:br/>
              <w:t>(dati mensili; valori percentuali).</w:t>
            </w:r>
            <w:r>
              <w:br/>
              <w:t>Italia: Prestiti alle imprese</w:t>
            </w:r>
          </w:p>
        </w:tc>
      </w:tr>
      <w:tr w:rsidR="000079EF" w:rsidTr="00FE6F3C">
        <w:trPr>
          <w:cantSplit/>
        </w:trPr>
        <w:tc>
          <w:tcPr>
            <w:tcW w:w="9356" w:type="dxa"/>
            <w:gridSpan w:val="3"/>
            <w:shd w:val="clear" w:color="auto" w:fill="D0E3ED"/>
          </w:tcPr>
          <w:p w:rsidR="000079EF" w:rsidRDefault="00E65941" w:rsidP="00FE6F3C">
            <w:pPr>
              <w:pStyle w:val="Figure"/>
            </w:pPr>
            <w:r>
              <w:rPr>
                <w:noProof/>
              </w:rPr>
              <w:drawing>
                <wp:inline distT="0" distB="0" distL="0" distR="0">
                  <wp:extent cx="5906770" cy="1591310"/>
                  <wp:effectExtent l="0" t="0" r="0" b="8890"/>
                  <wp:docPr id="19" name="Immagin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9"/>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906770" cy="1591310"/>
                          </a:xfrm>
                          <a:prstGeom prst="rect">
                            <a:avLst/>
                          </a:prstGeom>
                          <a:noFill/>
                          <a:ln>
                            <a:noFill/>
                          </a:ln>
                        </pic:spPr>
                      </pic:pic>
                    </a:graphicData>
                  </a:graphic>
                </wp:inline>
              </w:drawing>
            </w:r>
          </w:p>
        </w:tc>
      </w:tr>
      <w:tr w:rsidR="000079EF" w:rsidTr="00FE6F3C">
        <w:trPr>
          <w:cantSplit/>
        </w:trPr>
        <w:tc>
          <w:tcPr>
            <w:tcW w:w="4593" w:type="dxa"/>
            <w:shd w:val="clear" w:color="auto" w:fill="D0E3ED"/>
          </w:tcPr>
          <w:p w:rsidR="000079EF" w:rsidRDefault="00E65941" w:rsidP="00FE6F3C">
            <w:pPr>
              <w:pStyle w:val="Figure"/>
            </w:pPr>
            <w:r>
              <w:rPr>
                <w:noProof/>
              </w:rPr>
              <w:drawing>
                <wp:inline distT="0" distB="0" distL="0" distR="0">
                  <wp:extent cx="2880360" cy="822960"/>
                  <wp:effectExtent l="0" t="0" r="0" b="0"/>
                  <wp:docPr id="18"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6"/>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880360" cy="822960"/>
                          </a:xfrm>
                          <a:prstGeom prst="rect">
                            <a:avLst/>
                          </a:prstGeom>
                          <a:noFill/>
                          <a:ln>
                            <a:noFill/>
                          </a:ln>
                        </pic:spPr>
                      </pic:pic>
                    </a:graphicData>
                  </a:graphic>
                </wp:inline>
              </w:drawing>
            </w:r>
          </w:p>
        </w:tc>
        <w:tc>
          <w:tcPr>
            <w:tcW w:w="170" w:type="dxa"/>
            <w:shd w:val="clear" w:color="auto" w:fill="D0E3ED"/>
          </w:tcPr>
          <w:p w:rsidR="000079EF" w:rsidRDefault="000079EF" w:rsidP="00FE6F3C">
            <w:pPr>
              <w:pStyle w:val="Figure"/>
            </w:pPr>
          </w:p>
        </w:tc>
        <w:tc>
          <w:tcPr>
            <w:tcW w:w="4593" w:type="dxa"/>
            <w:shd w:val="clear" w:color="auto" w:fill="D0E3ED"/>
            <w:vAlign w:val="center"/>
          </w:tcPr>
          <w:p w:rsidR="000079EF" w:rsidRDefault="00E65941" w:rsidP="00FE6F3C">
            <w:pPr>
              <w:pStyle w:val="Figure"/>
            </w:pPr>
            <w:r>
              <w:rPr>
                <w:noProof/>
              </w:rPr>
              <w:drawing>
                <wp:inline distT="0" distB="0" distL="0" distR="0">
                  <wp:extent cx="2761615" cy="612775"/>
                  <wp:effectExtent l="0" t="0" r="635" b="0"/>
                  <wp:docPr id="16" name="Immagin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761615" cy="612775"/>
                          </a:xfrm>
                          <a:prstGeom prst="rect">
                            <a:avLst/>
                          </a:prstGeom>
                          <a:noFill/>
                          <a:ln>
                            <a:noFill/>
                          </a:ln>
                        </pic:spPr>
                      </pic:pic>
                    </a:graphicData>
                  </a:graphic>
                </wp:inline>
              </w:drawing>
            </w:r>
          </w:p>
        </w:tc>
      </w:tr>
      <w:tr w:rsidR="000079EF" w:rsidTr="00FE6F3C">
        <w:trPr>
          <w:cantSplit/>
        </w:trPr>
        <w:tc>
          <w:tcPr>
            <w:tcW w:w="9356" w:type="dxa"/>
            <w:gridSpan w:val="3"/>
          </w:tcPr>
          <w:p w:rsidR="000079EF" w:rsidRDefault="000079EF" w:rsidP="00FE6F3C">
            <w:pPr>
              <w:pStyle w:val="TabNoteSuperiori"/>
            </w:pPr>
            <w:r>
              <w:t>1) Valori medi. I tassi sui prestiti e sui depositi si riferiscono a operazioni in euro e sono raccolti ed elaborati secondo la metodologia armonizzata dell’Eurosistema. (2) Tasso medio sui nuovi prestiti alle imprese.  (3) Tasso medio sui depositi in conto corrente di f</w:t>
            </w:r>
            <w:r>
              <w:t>a</w:t>
            </w:r>
            <w:r>
              <w:t>miglie e imprese.  (4) Tasso medio sui nuovi prestiti per l’acquisto di abitazioni da parte delle famiglie.</w:t>
            </w:r>
          </w:p>
          <w:p w:rsidR="000079EF" w:rsidRDefault="000079EF" w:rsidP="00FE6F3C">
            <w:pPr>
              <w:pStyle w:val="TabNoteInferiori"/>
            </w:pPr>
            <w:r w:rsidRPr="00030DF6">
              <w:t>Fonte: Banca d’Italia e BCE.</w:t>
            </w:r>
          </w:p>
        </w:tc>
      </w:tr>
    </w:tbl>
    <w:p w:rsidR="004618CE" w:rsidRPr="004618CE" w:rsidRDefault="004618CE" w:rsidP="00534DEB">
      <w:r w:rsidRPr="004618CE">
        <w:t xml:space="preserve">Secondo il Bollettino economico di Banca d’Italia, i prestiti al settore privato non finanziario sono cresciuti modestamente nel 2016. Il miglioramento del quadro congiunturale dell’economia si è riflesso favorevolmente sulla qualità del credito delle banche italiane. In particolare, a novembre 2016, la tendenza positiva dei prestiti alle famiglie è risultata sostenuta e senza segni di cedimento, sia per il credito al consumo, sia per i mutui per acquisto di abitazioni, mentre i prestiti alle imprese sono rimasti invariati. Questi andamenti divergenti riflettono diversi livelli di rischio di credito. </w:t>
      </w:r>
    </w:p>
    <w:p w:rsidR="004618CE" w:rsidRPr="004618CE" w:rsidRDefault="004618CE" w:rsidP="00D95582">
      <w:r w:rsidRPr="004618CE">
        <w:lastRenderedPageBreak/>
        <w:t xml:space="preserve">Si è invertita in corso d’anno la tendenza alla crescita dei finanziamenti al settore manifatturiero, che registrano una riduzione, e si è aggravata la restrizione al settore delle costruzioni, mentre prosegue l’espansione del credito alle società dei servizi. Il credito alle società con 20 e più addetti ristagna (+0,4 per cento), mentre prosegue </w:t>
      </w:r>
      <w:r w:rsidR="00566C64" w:rsidRPr="004618CE">
        <w:t>attenuandosi</w:t>
      </w:r>
      <w:r w:rsidRPr="004618CE">
        <w:t xml:space="preserve"> lievemente la flessione di quello alle imprese di minore dimensione (-3,2 per cento). La raccolta complessiva delle banche italiane è rimasta stabile.</w:t>
      </w:r>
    </w:p>
    <w:p w:rsidR="004618CE" w:rsidRPr="004618CE" w:rsidRDefault="004618CE" w:rsidP="00D95582">
      <w:r w:rsidRPr="004618CE">
        <w:t>Nel 2016 la tendenza all’allentamento delle condizioni di accesso al credito delle imprese si è andata chiudendo, così come per i prestiti alle famiglie per l’acquisto di abitazioni. È proseguita invece, via via con minore intensità, la riduzione dei margini applicati alla media dei prestiti, sia per le imprese, sia per le famiglie. La domanda di prestiti da parte delle imprese è rimasta sostanzialmente invariata, sostenuta dalle maggiori esigenze di finanziamento connesse con le scorte e con il capitale circolante. Hanno goduto di un allentamento delle condizioni di accesso al credito nella prima parte dell’anno le imprese medie e continuato a goderne le grandi, mentre le imprese di minore dimensione hanno sperimentato una certa nuova restrizione. L’orientamento degli intermediari appare favorevole nei confronti delle imprese dei servizi, è divenuto neutrale per quelle della manifattura e è divenuto più prudente riguardo a quelle delle costruzioni.</w:t>
      </w:r>
    </w:p>
    <w:tbl>
      <w:tblPr>
        <w:tblpPr w:topFromText="425" w:bottomFromText="425" w:horzAnchor="margin" w:tblpXSpec="center" w:tblpYSpec="bottom"/>
        <w:tblOverlap w:val="never"/>
        <w:tblW w:w="9358" w:type="dxa"/>
        <w:tblBorders>
          <w:bottom w:val="single" w:sz="4" w:space="0" w:color="auto"/>
        </w:tblBorders>
        <w:tblLayout w:type="fixed"/>
        <w:tblCellMar>
          <w:left w:w="0" w:type="dxa"/>
          <w:right w:w="0" w:type="dxa"/>
        </w:tblCellMar>
        <w:tblLook w:val="0000" w:firstRow="0" w:lastRow="0" w:firstColumn="0" w:lastColumn="0" w:noHBand="0" w:noVBand="0"/>
      </w:tblPr>
      <w:tblGrid>
        <w:gridCol w:w="2552"/>
        <w:gridCol w:w="794"/>
        <w:gridCol w:w="340"/>
        <w:gridCol w:w="794"/>
        <w:gridCol w:w="340"/>
        <w:gridCol w:w="794"/>
        <w:gridCol w:w="340"/>
        <w:gridCol w:w="794"/>
        <w:gridCol w:w="340"/>
        <w:gridCol w:w="794"/>
        <w:gridCol w:w="340"/>
        <w:gridCol w:w="794"/>
        <w:gridCol w:w="342"/>
      </w:tblGrid>
      <w:tr w:rsidR="000079EF" w:rsidTr="00FE6F3C">
        <w:tc>
          <w:tcPr>
            <w:tcW w:w="9358" w:type="dxa"/>
            <w:gridSpan w:val="13"/>
            <w:tcBorders>
              <w:bottom w:val="single" w:sz="6" w:space="0" w:color="800000"/>
            </w:tcBorders>
          </w:tcPr>
          <w:p w:rsidR="000079EF" w:rsidRPr="00EA6B59" w:rsidRDefault="000079EF" w:rsidP="00FE6F3C">
            <w:pPr>
              <w:pStyle w:val="TabTitolo"/>
            </w:pPr>
            <w:r>
              <w:t>L'economia italiana. Consuntivo e previsioni effettuate negli ultimi mesi, variazioni percentuali annue a prezzi costanti salvo diversa indicazione.</w:t>
            </w:r>
          </w:p>
        </w:tc>
      </w:tr>
      <w:tr w:rsidR="000079EF" w:rsidTr="00FE6F3C">
        <w:tblPrEx>
          <w:tblBorders>
            <w:bottom w:val="none" w:sz="0" w:space="0" w:color="auto"/>
          </w:tblBorders>
        </w:tblPrEx>
        <w:tc>
          <w:tcPr>
            <w:tcW w:w="2552" w:type="dxa"/>
            <w:tcBorders>
              <w:top w:val="single" w:sz="6" w:space="0" w:color="800000"/>
            </w:tcBorders>
          </w:tcPr>
          <w:p w:rsidR="000079EF" w:rsidRPr="00EA6B59" w:rsidRDefault="000079EF" w:rsidP="00FE6F3C">
            <w:pPr>
              <w:pStyle w:val="TabIntestaSup"/>
            </w:pPr>
          </w:p>
        </w:tc>
        <w:tc>
          <w:tcPr>
            <w:tcW w:w="1134" w:type="dxa"/>
            <w:gridSpan w:val="2"/>
            <w:tcBorders>
              <w:top w:val="single" w:sz="6" w:space="0" w:color="800000"/>
            </w:tcBorders>
            <w:vAlign w:val="bottom"/>
          </w:tcPr>
          <w:p w:rsidR="000079EF" w:rsidRPr="00542149" w:rsidRDefault="000079EF" w:rsidP="00FE6F3C">
            <w:pPr>
              <w:pStyle w:val="TabIntestaSup"/>
            </w:pPr>
            <w:r w:rsidRPr="00542149">
              <w:t>Consuntivo</w:t>
            </w:r>
          </w:p>
        </w:tc>
        <w:tc>
          <w:tcPr>
            <w:tcW w:w="5672" w:type="dxa"/>
            <w:gridSpan w:val="10"/>
            <w:tcBorders>
              <w:top w:val="single" w:sz="6" w:space="0" w:color="800000"/>
            </w:tcBorders>
            <w:vAlign w:val="bottom"/>
          </w:tcPr>
          <w:p w:rsidR="000079EF" w:rsidRDefault="000079EF" w:rsidP="00FE6F3C">
            <w:pPr>
              <w:pStyle w:val="TabIntestaSupBordo"/>
            </w:pPr>
            <w:r>
              <w:t>Previsioni 2017</w:t>
            </w:r>
          </w:p>
        </w:tc>
      </w:tr>
      <w:tr w:rsidR="000079EF" w:rsidTr="00FE6F3C">
        <w:tblPrEx>
          <w:tblBorders>
            <w:bottom w:val="none" w:sz="0" w:space="0" w:color="auto"/>
          </w:tblBorders>
        </w:tblPrEx>
        <w:tc>
          <w:tcPr>
            <w:tcW w:w="2552" w:type="dxa"/>
          </w:tcPr>
          <w:p w:rsidR="000079EF" w:rsidRPr="00EA6B59" w:rsidRDefault="000079EF" w:rsidP="00FE6F3C">
            <w:pPr>
              <w:pStyle w:val="TabIntestaSup"/>
            </w:pPr>
          </w:p>
        </w:tc>
        <w:tc>
          <w:tcPr>
            <w:tcW w:w="1134" w:type="dxa"/>
            <w:gridSpan w:val="2"/>
            <w:vAlign w:val="bottom"/>
          </w:tcPr>
          <w:p w:rsidR="000079EF" w:rsidRPr="00542149" w:rsidRDefault="000079EF" w:rsidP="00FE6F3C">
            <w:pPr>
              <w:pStyle w:val="TabIntestaSup"/>
            </w:pPr>
            <w:r w:rsidRPr="00542149">
              <w:t>2016</w:t>
            </w:r>
          </w:p>
        </w:tc>
        <w:tc>
          <w:tcPr>
            <w:tcW w:w="1134" w:type="dxa"/>
            <w:gridSpan w:val="2"/>
            <w:vAlign w:val="bottom"/>
          </w:tcPr>
          <w:p w:rsidR="000079EF" w:rsidRDefault="000079EF" w:rsidP="00FE6F3C">
            <w:pPr>
              <w:pStyle w:val="TabIntestaSup"/>
            </w:pPr>
            <w:r>
              <w:t>Fmi</w:t>
            </w:r>
          </w:p>
        </w:tc>
        <w:tc>
          <w:tcPr>
            <w:tcW w:w="1134" w:type="dxa"/>
            <w:gridSpan w:val="2"/>
            <w:vAlign w:val="bottom"/>
          </w:tcPr>
          <w:p w:rsidR="000079EF" w:rsidRDefault="000079EF" w:rsidP="00FE6F3C">
            <w:pPr>
              <w:pStyle w:val="TabIntestaSup"/>
            </w:pPr>
            <w:r>
              <w:t>CSC</w:t>
            </w:r>
          </w:p>
        </w:tc>
        <w:tc>
          <w:tcPr>
            <w:tcW w:w="1134" w:type="dxa"/>
            <w:gridSpan w:val="2"/>
            <w:vAlign w:val="bottom"/>
          </w:tcPr>
          <w:p w:rsidR="000079EF" w:rsidRDefault="000079EF" w:rsidP="00FE6F3C">
            <w:pPr>
              <w:pStyle w:val="TabIntestaSup"/>
            </w:pPr>
            <w:r>
              <w:t>Ue Com.</w:t>
            </w:r>
          </w:p>
        </w:tc>
        <w:tc>
          <w:tcPr>
            <w:tcW w:w="1134" w:type="dxa"/>
            <w:gridSpan w:val="2"/>
            <w:vAlign w:val="bottom"/>
          </w:tcPr>
          <w:p w:rsidR="000079EF" w:rsidRDefault="000079EF" w:rsidP="00FE6F3C">
            <w:pPr>
              <w:pStyle w:val="TabIntestaSup"/>
            </w:pPr>
            <w:r>
              <w:t>Prometeia</w:t>
            </w:r>
          </w:p>
        </w:tc>
        <w:tc>
          <w:tcPr>
            <w:tcW w:w="1136" w:type="dxa"/>
            <w:gridSpan w:val="2"/>
            <w:vAlign w:val="bottom"/>
          </w:tcPr>
          <w:p w:rsidR="000079EF" w:rsidRDefault="000079EF" w:rsidP="00FE6F3C">
            <w:pPr>
              <w:pStyle w:val="TabIntestaSup"/>
            </w:pPr>
            <w:r>
              <w:t>Ocse</w:t>
            </w:r>
          </w:p>
        </w:tc>
      </w:tr>
      <w:tr w:rsidR="000079EF" w:rsidTr="00FE6F3C">
        <w:tblPrEx>
          <w:tblBorders>
            <w:bottom w:val="none" w:sz="0" w:space="0" w:color="auto"/>
          </w:tblBorders>
        </w:tblPrEx>
        <w:tc>
          <w:tcPr>
            <w:tcW w:w="2552" w:type="dxa"/>
            <w:tcBorders>
              <w:bottom w:val="single" w:sz="6" w:space="0" w:color="800000"/>
            </w:tcBorders>
          </w:tcPr>
          <w:p w:rsidR="000079EF" w:rsidRDefault="000079EF" w:rsidP="00FE6F3C">
            <w:pPr>
              <w:pStyle w:val="TabIntestaInf"/>
            </w:pPr>
          </w:p>
        </w:tc>
        <w:tc>
          <w:tcPr>
            <w:tcW w:w="1134" w:type="dxa"/>
            <w:gridSpan w:val="2"/>
            <w:tcBorders>
              <w:bottom w:val="single" w:sz="6" w:space="0" w:color="800000"/>
            </w:tcBorders>
            <w:vAlign w:val="bottom"/>
          </w:tcPr>
          <w:p w:rsidR="000079EF" w:rsidRPr="00542149" w:rsidRDefault="000079EF" w:rsidP="00FE6F3C">
            <w:pPr>
              <w:pStyle w:val="TabIntestaInf"/>
            </w:pPr>
            <w:r w:rsidRPr="00542149">
              <w:t>Istat</w:t>
            </w:r>
          </w:p>
        </w:tc>
        <w:tc>
          <w:tcPr>
            <w:tcW w:w="1134" w:type="dxa"/>
            <w:gridSpan w:val="2"/>
            <w:tcBorders>
              <w:bottom w:val="single" w:sz="6" w:space="0" w:color="800000"/>
            </w:tcBorders>
            <w:vAlign w:val="bottom"/>
          </w:tcPr>
          <w:p w:rsidR="000079EF" w:rsidRDefault="000079EF" w:rsidP="00FE6F3C">
            <w:pPr>
              <w:pStyle w:val="TabIntestaInf"/>
            </w:pPr>
            <w:r>
              <w:t>ott-16</w:t>
            </w:r>
          </w:p>
        </w:tc>
        <w:tc>
          <w:tcPr>
            <w:tcW w:w="1134" w:type="dxa"/>
            <w:gridSpan w:val="2"/>
            <w:tcBorders>
              <w:bottom w:val="single" w:sz="6" w:space="0" w:color="800000"/>
            </w:tcBorders>
            <w:vAlign w:val="bottom"/>
          </w:tcPr>
          <w:p w:rsidR="000079EF" w:rsidRPr="00542149" w:rsidRDefault="000079EF" w:rsidP="00FE6F3C">
            <w:pPr>
              <w:pStyle w:val="TabIntestaInf"/>
            </w:pPr>
            <w:r w:rsidRPr="00542149">
              <w:t>dic-16</w:t>
            </w:r>
          </w:p>
        </w:tc>
        <w:tc>
          <w:tcPr>
            <w:tcW w:w="1134" w:type="dxa"/>
            <w:gridSpan w:val="2"/>
            <w:tcBorders>
              <w:bottom w:val="single" w:sz="6" w:space="0" w:color="800000"/>
            </w:tcBorders>
            <w:vAlign w:val="bottom"/>
          </w:tcPr>
          <w:p w:rsidR="000079EF" w:rsidRPr="00542149" w:rsidRDefault="000079EF" w:rsidP="00FE6F3C">
            <w:pPr>
              <w:pStyle w:val="TabIntestaInf"/>
            </w:pPr>
            <w:r w:rsidRPr="00542149">
              <w:t>feb-17</w:t>
            </w:r>
          </w:p>
        </w:tc>
        <w:tc>
          <w:tcPr>
            <w:tcW w:w="1134" w:type="dxa"/>
            <w:gridSpan w:val="2"/>
            <w:tcBorders>
              <w:bottom w:val="single" w:sz="6" w:space="0" w:color="800000"/>
            </w:tcBorders>
            <w:vAlign w:val="bottom"/>
          </w:tcPr>
          <w:p w:rsidR="000079EF" w:rsidRPr="00542149" w:rsidRDefault="000079EF" w:rsidP="00FE6F3C">
            <w:pPr>
              <w:pStyle w:val="TabIntestaInf"/>
            </w:pPr>
            <w:r w:rsidRPr="00542149">
              <w:t>feb-17</w:t>
            </w:r>
          </w:p>
        </w:tc>
        <w:tc>
          <w:tcPr>
            <w:tcW w:w="1136" w:type="dxa"/>
            <w:gridSpan w:val="2"/>
            <w:tcBorders>
              <w:bottom w:val="single" w:sz="6" w:space="0" w:color="800000"/>
            </w:tcBorders>
            <w:vAlign w:val="bottom"/>
          </w:tcPr>
          <w:p w:rsidR="000079EF" w:rsidRPr="00542149" w:rsidRDefault="000079EF" w:rsidP="00FE6F3C">
            <w:pPr>
              <w:pStyle w:val="TabIntestaInf"/>
            </w:pPr>
            <w:r w:rsidRPr="00542149">
              <w:t>feb-17</w:t>
            </w:r>
          </w:p>
        </w:tc>
      </w:tr>
      <w:tr w:rsidR="000079EF" w:rsidTr="00FE6F3C">
        <w:tblPrEx>
          <w:tblBorders>
            <w:bottom w:val="none" w:sz="0" w:space="0" w:color="auto"/>
          </w:tblBorders>
        </w:tblPrEx>
        <w:trPr>
          <w:trHeight w:hRule="exact" w:val="113"/>
        </w:trPr>
        <w:tc>
          <w:tcPr>
            <w:tcW w:w="2552" w:type="dxa"/>
            <w:tcBorders>
              <w:top w:val="single" w:sz="6" w:space="0" w:color="800000"/>
            </w:tcBorders>
          </w:tcPr>
          <w:p w:rsidR="000079EF" w:rsidRDefault="000079EF" w:rsidP="00FE6F3C">
            <w:pPr>
              <w:pStyle w:val="TabEtichette"/>
              <w:rPr>
                <w:rFonts w:eastAsia="Arial Unicode MS"/>
              </w:rPr>
            </w:pPr>
          </w:p>
        </w:tc>
        <w:tc>
          <w:tcPr>
            <w:tcW w:w="794" w:type="dxa"/>
            <w:tcBorders>
              <w:top w:val="single" w:sz="6" w:space="0" w:color="800000"/>
            </w:tcBorders>
          </w:tcPr>
          <w:p w:rsidR="000079EF" w:rsidRPr="00602F8E" w:rsidRDefault="000079EF" w:rsidP="00FE6F3C">
            <w:pPr>
              <w:pStyle w:val="TabNumeri"/>
            </w:pPr>
          </w:p>
        </w:tc>
        <w:tc>
          <w:tcPr>
            <w:tcW w:w="340" w:type="dxa"/>
            <w:tcBorders>
              <w:top w:val="single" w:sz="6" w:space="0" w:color="800000"/>
            </w:tcBorders>
          </w:tcPr>
          <w:p w:rsidR="000079EF" w:rsidRPr="00602F8E" w:rsidRDefault="000079EF" w:rsidP="00FE6F3C">
            <w:pPr>
              <w:pStyle w:val="TabNumeri"/>
            </w:pPr>
          </w:p>
        </w:tc>
        <w:tc>
          <w:tcPr>
            <w:tcW w:w="794" w:type="dxa"/>
            <w:tcBorders>
              <w:top w:val="single" w:sz="6" w:space="0" w:color="800000"/>
            </w:tcBorders>
          </w:tcPr>
          <w:p w:rsidR="000079EF" w:rsidRPr="00602F8E" w:rsidRDefault="000079EF" w:rsidP="00FE6F3C">
            <w:pPr>
              <w:pStyle w:val="TabNumeri"/>
            </w:pPr>
          </w:p>
        </w:tc>
        <w:tc>
          <w:tcPr>
            <w:tcW w:w="340" w:type="dxa"/>
            <w:tcBorders>
              <w:top w:val="single" w:sz="6" w:space="0" w:color="800000"/>
            </w:tcBorders>
          </w:tcPr>
          <w:p w:rsidR="000079EF" w:rsidRPr="00602F8E" w:rsidRDefault="000079EF" w:rsidP="00FE6F3C">
            <w:pPr>
              <w:pStyle w:val="TabNumeri"/>
            </w:pPr>
          </w:p>
        </w:tc>
        <w:tc>
          <w:tcPr>
            <w:tcW w:w="794" w:type="dxa"/>
            <w:tcBorders>
              <w:top w:val="single" w:sz="6" w:space="0" w:color="800000"/>
            </w:tcBorders>
          </w:tcPr>
          <w:p w:rsidR="000079EF" w:rsidRPr="00602F8E" w:rsidRDefault="000079EF" w:rsidP="00FE6F3C">
            <w:pPr>
              <w:pStyle w:val="TabNumeri"/>
            </w:pPr>
          </w:p>
        </w:tc>
        <w:tc>
          <w:tcPr>
            <w:tcW w:w="340" w:type="dxa"/>
            <w:tcBorders>
              <w:top w:val="single" w:sz="6" w:space="0" w:color="800000"/>
            </w:tcBorders>
          </w:tcPr>
          <w:p w:rsidR="000079EF" w:rsidRPr="00602F8E" w:rsidRDefault="000079EF" w:rsidP="00FE6F3C">
            <w:pPr>
              <w:pStyle w:val="TabNumeri"/>
            </w:pPr>
          </w:p>
        </w:tc>
        <w:tc>
          <w:tcPr>
            <w:tcW w:w="794" w:type="dxa"/>
            <w:tcBorders>
              <w:top w:val="single" w:sz="6" w:space="0" w:color="800000"/>
            </w:tcBorders>
          </w:tcPr>
          <w:p w:rsidR="000079EF" w:rsidRPr="00602F8E" w:rsidRDefault="000079EF" w:rsidP="00FE6F3C">
            <w:pPr>
              <w:pStyle w:val="TabNumeri"/>
            </w:pPr>
          </w:p>
        </w:tc>
        <w:tc>
          <w:tcPr>
            <w:tcW w:w="340" w:type="dxa"/>
            <w:tcBorders>
              <w:top w:val="single" w:sz="6" w:space="0" w:color="800000"/>
            </w:tcBorders>
          </w:tcPr>
          <w:p w:rsidR="000079EF" w:rsidRPr="00602F8E" w:rsidRDefault="000079EF" w:rsidP="00FE6F3C">
            <w:pPr>
              <w:pStyle w:val="TabNumeri"/>
            </w:pPr>
          </w:p>
        </w:tc>
        <w:tc>
          <w:tcPr>
            <w:tcW w:w="794" w:type="dxa"/>
            <w:tcBorders>
              <w:top w:val="single" w:sz="6" w:space="0" w:color="800000"/>
            </w:tcBorders>
          </w:tcPr>
          <w:p w:rsidR="000079EF" w:rsidRPr="00602F8E" w:rsidRDefault="000079EF" w:rsidP="00FE6F3C">
            <w:pPr>
              <w:pStyle w:val="TabNumeri"/>
            </w:pPr>
          </w:p>
        </w:tc>
        <w:tc>
          <w:tcPr>
            <w:tcW w:w="340" w:type="dxa"/>
            <w:tcBorders>
              <w:top w:val="single" w:sz="6" w:space="0" w:color="800000"/>
            </w:tcBorders>
          </w:tcPr>
          <w:p w:rsidR="000079EF" w:rsidRPr="00602F8E" w:rsidRDefault="000079EF" w:rsidP="00FE6F3C">
            <w:pPr>
              <w:pStyle w:val="TabNumeri"/>
            </w:pPr>
          </w:p>
        </w:tc>
        <w:tc>
          <w:tcPr>
            <w:tcW w:w="794" w:type="dxa"/>
            <w:tcBorders>
              <w:top w:val="single" w:sz="6" w:space="0" w:color="800000"/>
            </w:tcBorders>
          </w:tcPr>
          <w:p w:rsidR="000079EF" w:rsidRPr="00602F8E" w:rsidRDefault="000079EF" w:rsidP="00FE6F3C">
            <w:pPr>
              <w:pStyle w:val="TabNumeri"/>
            </w:pPr>
          </w:p>
        </w:tc>
        <w:tc>
          <w:tcPr>
            <w:tcW w:w="342" w:type="dxa"/>
            <w:tcBorders>
              <w:top w:val="single" w:sz="6" w:space="0" w:color="800000"/>
            </w:tcBorders>
          </w:tcPr>
          <w:p w:rsidR="000079EF" w:rsidRPr="00602F8E" w:rsidRDefault="000079EF" w:rsidP="00FE6F3C">
            <w:pPr>
              <w:pStyle w:val="TabNumeri"/>
            </w:pPr>
          </w:p>
        </w:tc>
      </w:tr>
      <w:tr w:rsidR="000079EF" w:rsidTr="00FE6F3C">
        <w:tblPrEx>
          <w:tblBorders>
            <w:bottom w:val="none" w:sz="0" w:space="0" w:color="auto"/>
          </w:tblBorders>
        </w:tblPrEx>
        <w:trPr>
          <w:trHeight w:val="255"/>
        </w:trPr>
        <w:tc>
          <w:tcPr>
            <w:tcW w:w="2552" w:type="dxa"/>
          </w:tcPr>
          <w:p w:rsidR="000079EF" w:rsidRDefault="000079EF" w:rsidP="00FE6F3C">
            <w:pPr>
              <w:pStyle w:val="TabEtichette"/>
              <w:rPr>
                <w:rFonts w:eastAsia="Arial Unicode MS"/>
              </w:rPr>
            </w:pPr>
            <w:r>
              <w:t>Prodotto interno lordo</w:t>
            </w:r>
          </w:p>
        </w:tc>
        <w:tc>
          <w:tcPr>
            <w:tcW w:w="794" w:type="dxa"/>
          </w:tcPr>
          <w:p w:rsidR="000079EF" w:rsidRPr="003D7D2C" w:rsidRDefault="000079EF" w:rsidP="00FE6F3C">
            <w:pPr>
              <w:pStyle w:val="TabNumeri"/>
            </w:pPr>
            <w:r w:rsidRPr="003D7D2C">
              <w:t>0,9</w:t>
            </w:r>
          </w:p>
        </w:tc>
        <w:tc>
          <w:tcPr>
            <w:tcW w:w="340" w:type="dxa"/>
          </w:tcPr>
          <w:p w:rsidR="000079EF" w:rsidRPr="003D7D2C" w:rsidRDefault="000079EF" w:rsidP="00FE6F3C">
            <w:pPr>
              <w:pStyle w:val="TabNumeri"/>
            </w:pPr>
          </w:p>
        </w:tc>
        <w:tc>
          <w:tcPr>
            <w:tcW w:w="794" w:type="dxa"/>
          </w:tcPr>
          <w:p w:rsidR="000079EF" w:rsidRPr="003D7D2C" w:rsidRDefault="000079EF" w:rsidP="00FE6F3C">
            <w:pPr>
              <w:pStyle w:val="TabNumeri"/>
            </w:pPr>
            <w:r w:rsidRPr="003D7D2C">
              <w:t>0,9</w:t>
            </w:r>
          </w:p>
        </w:tc>
        <w:tc>
          <w:tcPr>
            <w:tcW w:w="340" w:type="dxa"/>
          </w:tcPr>
          <w:p w:rsidR="000079EF" w:rsidRPr="003D7D2C" w:rsidRDefault="000079EF" w:rsidP="00FE6F3C">
            <w:pPr>
              <w:pStyle w:val="TabNumeri"/>
            </w:pPr>
            <w:r w:rsidRPr="003D7D2C">
              <w:t>[9]</w:t>
            </w:r>
          </w:p>
        </w:tc>
        <w:tc>
          <w:tcPr>
            <w:tcW w:w="794" w:type="dxa"/>
          </w:tcPr>
          <w:p w:rsidR="000079EF" w:rsidRPr="003D7D2C" w:rsidRDefault="000079EF" w:rsidP="00FE6F3C">
            <w:pPr>
              <w:pStyle w:val="TabNumeri"/>
            </w:pPr>
            <w:r w:rsidRPr="003D7D2C">
              <w:t>0,9</w:t>
            </w:r>
          </w:p>
        </w:tc>
        <w:tc>
          <w:tcPr>
            <w:tcW w:w="340" w:type="dxa"/>
          </w:tcPr>
          <w:p w:rsidR="000079EF" w:rsidRPr="003D7D2C" w:rsidRDefault="000079EF" w:rsidP="00FE6F3C">
            <w:pPr>
              <w:pStyle w:val="TabNumeri"/>
            </w:pPr>
          </w:p>
        </w:tc>
        <w:tc>
          <w:tcPr>
            <w:tcW w:w="794" w:type="dxa"/>
          </w:tcPr>
          <w:p w:rsidR="000079EF" w:rsidRPr="003D7D2C" w:rsidRDefault="000079EF" w:rsidP="00FE6F3C">
            <w:pPr>
              <w:pStyle w:val="TabNumeri"/>
            </w:pPr>
            <w:r w:rsidRPr="003D7D2C">
              <w:t>0,9</w:t>
            </w:r>
          </w:p>
        </w:tc>
        <w:tc>
          <w:tcPr>
            <w:tcW w:w="340" w:type="dxa"/>
          </w:tcPr>
          <w:p w:rsidR="000079EF" w:rsidRPr="003D7D2C" w:rsidRDefault="000079EF" w:rsidP="00FE6F3C">
            <w:pPr>
              <w:pStyle w:val="TabNumeri"/>
            </w:pPr>
          </w:p>
        </w:tc>
        <w:tc>
          <w:tcPr>
            <w:tcW w:w="794" w:type="dxa"/>
          </w:tcPr>
          <w:p w:rsidR="000079EF" w:rsidRPr="003D7D2C" w:rsidRDefault="000079EF" w:rsidP="00FE6F3C">
            <w:pPr>
              <w:pStyle w:val="TabNumeri"/>
            </w:pPr>
            <w:r w:rsidRPr="003D7D2C">
              <w:t>0,7</w:t>
            </w:r>
          </w:p>
        </w:tc>
        <w:tc>
          <w:tcPr>
            <w:tcW w:w="340" w:type="dxa"/>
          </w:tcPr>
          <w:p w:rsidR="000079EF" w:rsidRPr="003D7D2C" w:rsidRDefault="000079EF" w:rsidP="00FE6F3C">
            <w:pPr>
              <w:pStyle w:val="TabNumeri"/>
            </w:pPr>
            <w:r w:rsidRPr="003D7D2C">
              <w:t>[8]</w:t>
            </w:r>
          </w:p>
        </w:tc>
        <w:tc>
          <w:tcPr>
            <w:tcW w:w="794" w:type="dxa"/>
          </w:tcPr>
          <w:p w:rsidR="000079EF" w:rsidRPr="0098223D" w:rsidRDefault="000079EF" w:rsidP="00FE6F3C">
            <w:pPr>
              <w:pStyle w:val="TabNumeri"/>
            </w:pPr>
            <w:r>
              <w:t>1,0</w:t>
            </w:r>
          </w:p>
        </w:tc>
        <w:tc>
          <w:tcPr>
            <w:tcW w:w="342" w:type="dxa"/>
          </w:tcPr>
          <w:p w:rsidR="000079EF" w:rsidRPr="00D17697" w:rsidRDefault="000079EF" w:rsidP="00FE6F3C">
            <w:pPr>
              <w:pStyle w:val="TabNumeri"/>
            </w:pPr>
          </w:p>
        </w:tc>
      </w:tr>
      <w:tr w:rsidR="00566C64" w:rsidTr="00EE7CE2">
        <w:tblPrEx>
          <w:tblBorders>
            <w:bottom w:val="none" w:sz="0" w:space="0" w:color="auto"/>
          </w:tblBorders>
        </w:tblPrEx>
        <w:trPr>
          <w:trHeight w:val="255"/>
        </w:trPr>
        <w:tc>
          <w:tcPr>
            <w:tcW w:w="2552" w:type="dxa"/>
            <w:shd w:val="clear" w:color="auto" w:fill="F2F2F2"/>
          </w:tcPr>
          <w:p w:rsidR="000079EF" w:rsidRDefault="000079EF" w:rsidP="00FE6F3C">
            <w:pPr>
              <w:pStyle w:val="TabEtichette"/>
              <w:rPr>
                <w:rFonts w:eastAsia="Arial Unicode MS"/>
              </w:rPr>
            </w:pPr>
            <w:r>
              <w:t>Importazioni</w:t>
            </w:r>
          </w:p>
        </w:tc>
        <w:tc>
          <w:tcPr>
            <w:tcW w:w="794" w:type="dxa"/>
            <w:shd w:val="clear" w:color="auto" w:fill="F2F2F2"/>
          </w:tcPr>
          <w:p w:rsidR="000079EF" w:rsidRPr="003D7D2C" w:rsidRDefault="000079EF" w:rsidP="00FE6F3C">
            <w:pPr>
              <w:pStyle w:val="TabNumeri"/>
            </w:pPr>
            <w:r w:rsidRPr="003D7D2C">
              <w:t>2,9</w:t>
            </w:r>
          </w:p>
        </w:tc>
        <w:tc>
          <w:tcPr>
            <w:tcW w:w="340" w:type="dxa"/>
            <w:shd w:val="clear" w:color="auto" w:fill="F2F2F2"/>
          </w:tcPr>
          <w:p w:rsidR="000079EF" w:rsidRPr="003D7D2C" w:rsidRDefault="000079EF" w:rsidP="00FE6F3C">
            <w:pPr>
              <w:pStyle w:val="TabNumeri"/>
            </w:pPr>
          </w:p>
        </w:tc>
        <w:tc>
          <w:tcPr>
            <w:tcW w:w="794" w:type="dxa"/>
            <w:shd w:val="clear" w:color="auto" w:fill="F2F2F2"/>
          </w:tcPr>
          <w:p w:rsidR="000079EF" w:rsidRPr="003D7D2C" w:rsidRDefault="000079EF" w:rsidP="00FE6F3C">
            <w:pPr>
              <w:pStyle w:val="TabNumeri"/>
            </w:pPr>
            <w:r w:rsidRPr="003D7D2C">
              <w:t>2,9</w:t>
            </w:r>
          </w:p>
        </w:tc>
        <w:tc>
          <w:tcPr>
            <w:tcW w:w="340" w:type="dxa"/>
            <w:shd w:val="clear" w:color="auto" w:fill="F2F2F2"/>
          </w:tcPr>
          <w:p w:rsidR="000079EF" w:rsidRPr="003D7D2C" w:rsidRDefault="000079EF" w:rsidP="00FE6F3C">
            <w:pPr>
              <w:pStyle w:val="TabNumeri"/>
            </w:pPr>
          </w:p>
        </w:tc>
        <w:tc>
          <w:tcPr>
            <w:tcW w:w="794" w:type="dxa"/>
            <w:shd w:val="clear" w:color="auto" w:fill="F2F2F2"/>
          </w:tcPr>
          <w:p w:rsidR="000079EF" w:rsidRPr="003D7D2C" w:rsidRDefault="000079EF" w:rsidP="00FE6F3C">
            <w:pPr>
              <w:pStyle w:val="TabNumeri"/>
            </w:pPr>
            <w:r w:rsidRPr="003D7D2C">
              <w:t>1,9</w:t>
            </w:r>
          </w:p>
        </w:tc>
        <w:tc>
          <w:tcPr>
            <w:tcW w:w="340" w:type="dxa"/>
            <w:shd w:val="clear" w:color="auto" w:fill="F2F2F2"/>
          </w:tcPr>
          <w:p w:rsidR="000079EF" w:rsidRPr="003D7D2C" w:rsidRDefault="000079EF" w:rsidP="00FE6F3C">
            <w:pPr>
              <w:pStyle w:val="TabNumeri"/>
            </w:pPr>
          </w:p>
        </w:tc>
        <w:tc>
          <w:tcPr>
            <w:tcW w:w="794" w:type="dxa"/>
            <w:shd w:val="clear" w:color="auto" w:fill="F2F2F2"/>
          </w:tcPr>
          <w:p w:rsidR="000079EF" w:rsidRPr="003D7D2C" w:rsidRDefault="000079EF" w:rsidP="00FE6F3C">
            <w:pPr>
              <w:pStyle w:val="TabNumeri"/>
            </w:pPr>
            <w:r w:rsidRPr="003D7D2C">
              <w:t>3,9</w:t>
            </w:r>
          </w:p>
        </w:tc>
        <w:tc>
          <w:tcPr>
            <w:tcW w:w="340" w:type="dxa"/>
            <w:shd w:val="clear" w:color="auto" w:fill="F2F2F2"/>
          </w:tcPr>
          <w:p w:rsidR="000079EF" w:rsidRPr="003D7D2C" w:rsidRDefault="000079EF" w:rsidP="00FE6F3C">
            <w:pPr>
              <w:pStyle w:val="TabNumeri"/>
            </w:pPr>
          </w:p>
        </w:tc>
        <w:tc>
          <w:tcPr>
            <w:tcW w:w="794" w:type="dxa"/>
            <w:shd w:val="clear" w:color="auto" w:fill="F2F2F2"/>
          </w:tcPr>
          <w:p w:rsidR="000079EF" w:rsidRPr="003D7D2C" w:rsidRDefault="000079EF" w:rsidP="00FE6F3C">
            <w:pPr>
              <w:pStyle w:val="TabNumeri"/>
            </w:pPr>
            <w:r w:rsidRPr="003D7D2C">
              <w:t>3,3</w:t>
            </w:r>
          </w:p>
        </w:tc>
        <w:tc>
          <w:tcPr>
            <w:tcW w:w="340" w:type="dxa"/>
            <w:shd w:val="clear" w:color="auto" w:fill="F2F2F2"/>
          </w:tcPr>
          <w:p w:rsidR="000079EF" w:rsidRPr="003D7D2C" w:rsidRDefault="000079EF" w:rsidP="00FE6F3C">
            <w:pPr>
              <w:pStyle w:val="TabNumeri"/>
            </w:pPr>
            <w:r w:rsidRPr="003D7D2C">
              <w:t>[8]</w:t>
            </w:r>
          </w:p>
        </w:tc>
        <w:tc>
          <w:tcPr>
            <w:tcW w:w="794" w:type="dxa"/>
            <w:shd w:val="clear" w:color="auto" w:fill="F2F2F2"/>
          </w:tcPr>
          <w:p w:rsidR="000079EF" w:rsidRPr="0098223D" w:rsidRDefault="000079EF" w:rsidP="00FE6F3C">
            <w:pPr>
              <w:pStyle w:val="TabNumeri"/>
            </w:pPr>
            <w:r>
              <w:t>3,0</w:t>
            </w:r>
          </w:p>
        </w:tc>
        <w:tc>
          <w:tcPr>
            <w:tcW w:w="342" w:type="dxa"/>
            <w:shd w:val="clear" w:color="auto" w:fill="F2F2F2"/>
          </w:tcPr>
          <w:p w:rsidR="000079EF" w:rsidRPr="00D17697" w:rsidRDefault="000079EF" w:rsidP="00FE6F3C">
            <w:pPr>
              <w:pStyle w:val="TabNumeri"/>
            </w:pPr>
          </w:p>
        </w:tc>
      </w:tr>
      <w:tr w:rsidR="000079EF" w:rsidTr="00FE6F3C">
        <w:tblPrEx>
          <w:tblBorders>
            <w:bottom w:val="none" w:sz="0" w:space="0" w:color="auto"/>
          </w:tblBorders>
        </w:tblPrEx>
        <w:trPr>
          <w:trHeight w:val="255"/>
        </w:trPr>
        <w:tc>
          <w:tcPr>
            <w:tcW w:w="2552" w:type="dxa"/>
          </w:tcPr>
          <w:p w:rsidR="000079EF" w:rsidRDefault="000079EF" w:rsidP="00FE6F3C">
            <w:pPr>
              <w:pStyle w:val="TabEtichette"/>
              <w:rPr>
                <w:rFonts w:eastAsia="Arial Unicode MS"/>
              </w:rPr>
            </w:pPr>
            <w:r>
              <w:t>Esportazioni</w:t>
            </w:r>
          </w:p>
        </w:tc>
        <w:tc>
          <w:tcPr>
            <w:tcW w:w="794" w:type="dxa"/>
          </w:tcPr>
          <w:p w:rsidR="000079EF" w:rsidRPr="003D7D2C" w:rsidRDefault="000079EF" w:rsidP="00FE6F3C">
            <w:pPr>
              <w:pStyle w:val="TabNumeri"/>
            </w:pPr>
            <w:r w:rsidRPr="003D7D2C">
              <w:t>2,4</w:t>
            </w:r>
          </w:p>
        </w:tc>
        <w:tc>
          <w:tcPr>
            <w:tcW w:w="340" w:type="dxa"/>
          </w:tcPr>
          <w:p w:rsidR="000079EF" w:rsidRPr="003D7D2C" w:rsidRDefault="000079EF" w:rsidP="00FE6F3C">
            <w:pPr>
              <w:pStyle w:val="TabNumeri"/>
            </w:pPr>
          </w:p>
        </w:tc>
        <w:tc>
          <w:tcPr>
            <w:tcW w:w="794" w:type="dxa"/>
          </w:tcPr>
          <w:p w:rsidR="000079EF" w:rsidRPr="003D7D2C" w:rsidRDefault="000079EF" w:rsidP="00FE6F3C">
            <w:pPr>
              <w:pStyle w:val="TabNumeri"/>
            </w:pPr>
            <w:r w:rsidRPr="003D7D2C">
              <w:t>2,1</w:t>
            </w:r>
          </w:p>
        </w:tc>
        <w:tc>
          <w:tcPr>
            <w:tcW w:w="340" w:type="dxa"/>
          </w:tcPr>
          <w:p w:rsidR="000079EF" w:rsidRPr="003D7D2C" w:rsidRDefault="000079EF" w:rsidP="00FE6F3C">
            <w:pPr>
              <w:pStyle w:val="TabNumeri"/>
            </w:pPr>
          </w:p>
        </w:tc>
        <w:tc>
          <w:tcPr>
            <w:tcW w:w="794" w:type="dxa"/>
          </w:tcPr>
          <w:p w:rsidR="000079EF" w:rsidRPr="003D7D2C" w:rsidRDefault="000079EF" w:rsidP="00FE6F3C">
            <w:pPr>
              <w:pStyle w:val="TabNumeri"/>
            </w:pPr>
            <w:r w:rsidRPr="003D7D2C">
              <w:t>1,4</w:t>
            </w:r>
          </w:p>
        </w:tc>
        <w:tc>
          <w:tcPr>
            <w:tcW w:w="340" w:type="dxa"/>
          </w:tcPr>
          <w:p w:rsidR="000079EF" w:rsidRPr="003D7D2C" w:rsidRDefault="000079EF" w:rsidP="00FE6F3C">
            <w:pPr>
              <w:pStyle w:val="TabNumeri"/>
            </w:pPr>
          </w:p>
        </w:tc>
        <w:tc>
          <w:tcPr>
            <w:tcW w:w="794" w:type="dxa"/>
          </w:tcPr>
          <w:p w:rsidR="000079EF" w:rsidRPr="003D7D2C" w:rsidRDefault="000079EF" w:rsidP="00FE6F3C">
            <w:pPr>
              <w:pStyle w:val="TabNumeri"/>
            </w:pPr>
            <w:r w:rsidRPr="003D7D2C">
              <w:t>3,0</w:t>
            </w:r>
          </w:p>
        </w:tc>
        <w:tc>
          <w:tcPr>
            <w:tcW w:w="340" w:type="dxa"/>
          </w:tcPr>
          <w:p w:rsidR="000079EF" w:rsidRPr="003D7D2C" w:rsidRDefault="000079EF" w:rsidP="00FE6F3C">
            <w:pPr>
              <w:pStyle w:val="TabNumeri"/>
            </w:pPr>
          </w:p>
        </w:tc>
        <w:tc>
          <w:tcPr>
            <w:tcW w:w="794" w:type="dxa"/>
          </w:tcPr>
          <w:p w:rsidR="000079EF" w:rsidRPr="003D7D2C" w:rsidRDefault="000079EF" w:rsidP="00FE6F3C">
            <w:pPr>
              <w:pStyle w:val="TabNumeri"/>
            </w:pPr>
            <w:r w:rsidRPr="003D7D2C">
              <w:t>3,4</w:t>
            </w:r>
          </w:p>
        </w:tc>
        <w:tc>
          <w:tcPr>
            <w:tcW w:w="340" w:type="dxa"/>
          </w:tcPr>
          <w:p w:rsidR="000079EF" w:rsidRPr="003D7D2C" w:rsidRDefault="000079EF" w:rsidP="00FE6F3C">
            <w:pPr>
              <w:pStyle w:val="TabNumeri"/>
            </w:pPr>
            <w:r w:rsidRPr="003D7D2C">
              <w:t>[8]</w:t>
            </w:r>
          </w:p>
        </w:tc>
        <w:tc>
          <w:tcPr>
            <w:tcW w:w="794" w:type="dxa"/>
          </w:tcPr>
          <w:p w:rsidR="000079EF" w:rsidRPr="0098223D" w:rsidRDefault="000079EF" w:rsidP="00FE6F3C">
            <w:pPr>
              <w:pStyle w:val="TabNumeri"/>
            </w:pPr>
            <w:r>
              <w:t>2,9</w:t>
            </w:r>
          </w:p>
        </w:tc>
        <w:tc>
          <w:tcPr>
            <w:tcW w:w="342" w:type="dxa"/>
          </w:tcPr>
          <w:p w:rsidR="000079EF" w:rsidRPr="00D17697" w:rsidRDefault="000079EF" w:rsidP="00FE6F3C">
            <w:pPr>
              <w:pStyle w:val="TabNumeri"/>
            </w:pPr>
          </w:p>
        </w:tc>
      </w:tr>
      <w:tr w:rsidR="00566C64" w:rsidTr="00EE7CE2">
        <w:tblPrEx>
          <w:tblBorders>
            <w:bottom w:val="none" w:sz="0" w:space="0" w:color="auto"/>
          </w:tblBorders>
        </w:tblPrEx>
        <w:trPr>
          <w:trHeight w:val="255"/>
        </w:trPr>
        <w:tc>
          <w:tcPr>
            <w:tcW w:w="2552" w:type="dxa"/>
            <w:shd w:val="clear" w:color="auto" w:fill="F2F2F2"/>
          </w:tcPr>
          <w:p w:rsidR="000079EF" w:rsidRDefault="000079EF" w:rsidP="00FE6F3C">
            <w:pPr>
              <w:pStyle w:val="TabEtichette"/>
              <w:rPr>
                <w:rFonts w:eastAsia="Arial Unicode MS"/>
              </w:rPr>
            </w:pPr>
            <w:r>
              <w:t>Domanda interna</w:t>
            </w:r>
          </w:p>
        </w:tc>
        <w:tc>
          <w:tcPr>
            <w:tcW w:w="794" w:type="dxa"/>
            <w:shd w:val="clear" w:color="auto" w:fill="F2F2F2"/>
          </w:tcPr>
          <w:p w:rsidR="000079EF" w:rsidRPr="003D7D2C" w:rsidRDefault="000079EF" w:rsidP="00FE6F3C">
            <w:pPr>
              <w:pStyle w:val="TabNumeri"/>
            </w:pPr>
            <w:r w:rsidRPr="003D7D2C">
              <w:t>n.d.</w:t>
            </w:r>
          </w:p>
        </w:tc>
        <w:tc>
          <w:tcPr>
            <w:tcW w:w="340" w:type="dxa"/>
            <w:shd w:val="clear" w:color="auto" w:fill="F2F2F2"/>
          </w:tcPr>
          <w:p w:rsidR="000079EF" w:rsidRPr="003D7D2C" w:rsidRDefault="000079EF" w:rsidP="00FE6F3C">
            <w:pPr>
              <w:pStyle w:val="TabNumeri"/>
            </w:pPr>
          </w:p>
        </w:tc>
        <w:tc>
          <w:tcPr>
            <w:tcW w:w="794" w:type="dxa"/>
            <w:shd w:val="clear" w:color="auto" w:fill="F2F2F2"/>
          </w:tcPr>
          <w:p w:rsidR="000079EF" w:rsidRPr="003D7D2C" w:rsidRDefault="000079EF" w:rsidP="00FE6F3C">
            <w:pPr>
              <w:pStyle w:val="TabNumeri"/>
            </w:pPr>
            <w:r w:rsidRPr="003D7D2C">
              <w:t>1,0</w:t>
            </w:r>
          </w:p>
        </w:tc>
        <w:tc>
          <w:tcPr>
            <w:tcW w:w="340" w:type="dxa"/>
            <w:shd w:val="clear" w:color="auto" w:fill="F2F2F2"/>
          </w:tcPr>
          <w:p w:rsidR="000079EF" w:rsidRPr="003D7D2C" w:rsidRDefault="000079EF" w:rsidP="00FE6F3C">
            <w:pPr>
              <w:pStyle w:val="TabNumeri"/>
            </w:pPr>
          </w:p>
        </w:tc>
        <w:tc>
          <w:tcPr>
            <w:tcW w:w="794" w:type="dxa"/>
            <w:shd w:val="clear" w:color="auto" w:fill="F2F2F2"/>
          </w:tcPr>
          <w:p w:rsidR="000079EF" w:rsidRPr="003D7D2C" w:rsidRDefault="000079EF" w:rsidP="00FE6F3C">
            <w:pPr>
              <w:pStyle w:val="TabNumeri"/>
            </w:pPr>
            <w:r w:rsidRPr="003D7D2C">
              <w:t>n.d.</w:t>
            </w:r>
          </w:p>
        </w:tc>
        <w:tc>
          <w:tcPr>
            <w:tcW w:w="340" w:type="dxa"/>
            <w:shd w:val="clear" w:color="auto" w:fill="F2F2F2"/>
          </w:tcPr>
          <w:p w:rsidR="000079EF" w:rsidRPr="003D7D2C" w:rsidRDefault="000079EF" w:rsidP="00FE6F3C">
            <w:pPr>
              <w:pStyle w:val="TabNumeri"/>
            </w:pPr>
          </w:p>
        </w:tc>
        <w:tc>
          <w:tcPr>
            <w:tcW w:w="794" w:type="dxa"/>
            <w:shd w:val="clear" w:color="auto" w:fill="F2F2F2"/>
          </w:tcPr>
          <w:p w:rsidR="000079EF" w:rsidRPr="003D7D2C" w:rsidRDefault="000079EF" w:rsidP="00FE6F3C">
            <w:pPr>
              <w:pStyle w:val="TabNumeri"/>
            </w:pPr>
            <w:r w:rsidRPr="003D7D2C">
              <w:t>1,1</w:t>
            </w:r>
          </w:p>
        </w:tc>
        <w:tc>
          <w:tcPr>
            <w:tcW w:w="340" w:type="dxa"/>
            <w:shd w:val="clear" w:color="auto" w:fill="F2F2F2"/>
          </w:tcPr>
          <w:p w:rsidR="000079EF" w:rsidRPr="003D7D2C" w:rsidRDefault="000079EF" w:rsidP="00FE6F3C">
            <w:pPr>
              <w:pStyle w:val="TabNumeri"/>
            </w:pPr>
          </w:p>
        </w:tc>
        <w:tc>
          <w:tcPr>
            <w:tcW w:w="794" w:type="dxa"/>
            <w:shd w:val="clear" w:color="auto" w:fill="F2F2F2"/>
          </w:tcPr>
          <w:p w:rsidR="000079EF" w:rsidRPr="003D7D2C" w:rsidRDefault="000079EF" w:rsidP="00FE6F3C">
            <w:pPr>
              <w:pStyle w:val="TabNumeri"/>
            </w:pPr>
            <w:r w:rsidRPr="003D7D2C">
              <w:t>0,6</w:t>
            </w:r>
          </w:p>
        </w:tc>
        <w:tc>
          <w:tcPr>
            <w:tcW w:w="340" w:type="dxa"/>
            <w:shd w:val="clear" w:color="auto" w:fill="F2F2F2"/>
          </w:tcPr>
          <w:p w:rsidR="000079EF" w:rsidRPr="003D7D2C" w:rsidRDefault="000079EF" w:rsidP="00FE6F3C">
            <w:pPr>
              <w:pStyle w:val="TabNumeri"/>
            </w:pPr>
            <w:r w:rsidRPr="003D7D2C">
              <w:t>[8]</w:t>
            </w:r>
          </w:p>
        </w:tc>
        <w:tc>
          <w:tcPr>
            <w:tcW w:w="794" w:type="dxa"/>
            <w:shd w:val="clear" w:color="auto" w:fill="F2F2F2"/>
          </w:tcPr>
          <w:p w:rsidR="000079EF" w:rsidRPr="0098223D" w:rsidRDefault="000079EF" w:rsidP="00FE6F3C">
            <w:pPr>
              <w:pStyle w:val="TabNumeri"/>
            </w:pPr>
            <w:r>
              <w:t>1,0</w:t>
            </w:r>
          </w:p>
        </w:tc>
        <w:tc>
          <w:tcPr>
            <w:tcW w:w="342" w:type="dxa"/>
            <w:shd w:val="clear" w:color="auto" w:fill="F2F2F2"/>
          </w:tcPr>
          <w:p w:rsidR="000079EF" w:rsidRPr="00D17697" w:rsidRDefault="000079EF" w:rsidP="00FE6F3C">
            <w:pPr>
              <w:pStyle w:val="TabNumeri"/>
            </w:pPr>
          </w:p>
        </w:tc>
      </w:tr>
      <w:tr w:rsidR="000079EF" w:rsidTr="00FE6F3C">
        <w:tblPrEx>
          <w:tblBorders>
            <w:bottom w:val="none" w:sz="0" w:space="0" w:color="auto"/>
          </w:tblBorders>
        </w:tblPrEx>
        <w:trPr>
          <w:trHeight w:val="255"/>
        </w:trPr>
        <w:tc>
          <w:tcPr>
            <w:tcW w:w="2552" w:type="dxa"/>
          </w:tcPr>
          <w:p w:rsidR="000079EF" w:rsidRDefault="000079EF" w:rsidP="00FE6F3C">
            <w:pPr>
              <w:pStyle w:val="TabEtichette"/>
              <w:rPr>
                <w:rFonts w:eastAsia="Arial Unicode MS"/>
              </w:rPr>
            </w:pPr>
            <w:r>
              <w:t>Consumi delle famiglie</w:t>
            </w:r>
          </w:p>
        </w:tc>
        <w:tc>
          <w:tcPr>
            <w:tcW w:w="794" w:type="dxa"/>
          </w:tcPr>
          <w:p w:rsidR="000079EF" w:rsidRPr="003D7D2C" w:rsidRDefault="000079EF" w:rsidP="00FE6F3C">
            <w:pPr>
              <w:pStyle w:val="TabNumeri"/>
            </w:pPr>
            <w:r w:rsidRPr="003D7D2C">
              <w:t>1,3</w:t>
            </w:r>
          </w:p>
        </w:tc>
        <w:tc>
          <w:tcPr>
            <w:tcW w:w="340" w:type="dxa"/>
          </w:tcPr>
          <w:p w:rsidR="000079EF" w:rsidRPr="003D7D2C" w:rsidRDefault="000079EF" w:rsidP="00FE6F3C">
            <w:pPr>
              <w:pStyle w:val="TabNumeri"/>
            </w:pPr>
          </w:p>
        </w:tc>
        <w:tc>
          <w:tcPr>
            <w:tcW w:w="794" w:type="dxa"/>
          </w:tcPr>
          <w:p w:rsidR="000079EF" w:rsidRPr="003D7D2C" w:rsidRDefault="000079EF" w:rsidP="00FE6F3C">
            <w:pPr>
              <w:pStyle w:val="TabNumeri"/>
            </w:pPr>
            <w:r w:rsidRPr="003D7D2C">
              <w:t>1,0</w:t>
            </w:r>
          </w:p>
        </w:tc>
        <w:tc>
          <w:tcPr>
            <w:tcW w:w="340" w:type="dxa"/>
          </w:tcPr>
          <w:p w:rsidR="000079EF" w:rsidRPr="003D7D2C" w:rsidRDefault="000079EF" w:rsidP="00FE6F3C">
            <w:pPr>
              <w:pStyle w:val="TabNumeri"/>
            </w:pPr>
          </w:p>
        </w:tc>
        <w:tc>
          <w:tcPr>
            <w:tcW w:w="794" w:type="dxa"/>
          </w:tcPr>
          <w:p w:rsidR="000079EF" w:rsidRPr="003D7D2C" w:rsidRDefault="000079EF" w:rsidP="00FE6F3C">
            <w:pPr>
              <w:pStyle w:val="TabNumeri"/>
            </w:pPr>
            <w:r w:rsidRPr="003D7D2C">
              <w:t>1,4</w:t>
            </w:r>
          </w:p>
        </w:tc>
        <w:tc>
          <w:tcPr>
            <w:tcW w:w="340" w:type="dxa"/>
          </w:tcPr>
          <w:p w:rsidR="000079EF" w:rsidRPr="003D7D2C" w:rsidRDefault="000079EF" w:rsidP="00FE6F3C">
            <w:pPr>
              <w:pStyle w:val="TabNumeri"/>
            </w:pPr>
          </w:p>
        </w:tc>
        <w:tc>
          <w:tcPr>
            <w:tcW w:w="794" w:type="dxa"/>
          </w:tcPr>
          <w:p w:rsidR="000079EF" w:rsidRPr="003D7D2C" w:rsidRDefault="000079EF" w:rsidP="00FE6F3C">
            <w:pPr>
              <w:pStyle w:val="TabNumeri"/>
            </w:pPr>
            <w:r w:rsidRPr="003D7D2C">
              <w:t>0,9</w:t>
            </w:r>
          </w:p>
        </w:tc>
        <w:tc>
          <w:tcPr>
            <w:tcW w:w="340" w:type="dxa"/>
          </w:tcPr>
          <w:p w:rsidR="000079EF" w:rsidRPr="003D7D2C" w:rsidRDefault="000079EF" w:rsidP="00FE6F3C">
            <w:pPr>
              <w:pStyle w:val="TabNumeri"/>
            </w:pPr>
          </w:p>
        </w:tc>
        <w:tc>
          <w:tcPr>
            <w:tcW w:w="794" w:type="dxa"/>
          </w:tcPr>
          <w:p w:rsidR="000079EF" w:rsidRPr="003D7D2C" w:rsidRDefault="000079EF" w:rsidP="00FE6F3C">
            <w:pPr>
              <w:pStyle w:val="TabNumeri"/>
            </w:pPr>
            <w:r w:rsidRPr="003D7D2C">
              <w:t>0,6</w:t>
            </w:r>
          </w:p>
        </w:tc>
        <w:tc>
          <w:tcPr>
            <w:tcW w:w="340" w:type="dxa"/>
          </w:tcPr>
          <w:p w:rsidR="000079EF" w:rsidRPr="003D7D2C" w:rsidRDefault="000079EF" w:rsidP="00FE6F3C">
            <w:pPr>
              <w:pStyle w:val="TabNumeri"/>
            </w:pPr>
            <w:r w:rsidRPr="003D7D2C">
              <w:t>[8]</w:t>
            </w:r>
          </w:p>
        </w:tc>
        <w:tc>
          <w:tcPr>
            <w:tcW w:w="794" w:type="dxa"/>
          </w:tcPr>
          <w:p w:rsidR="000079EF" w:rsidRPr="0098223D" w:rsidRDefault="000079EF" w:rsidP="00FE6F3C">
            <w:pPr>
              <w:pStyle w:val="TabNumeri"/>
            </w:pPr>
            <w:r>
              <w:t>0,8</w:t>
            </w:r>
          </w:p>
        </w:tc>
        <w:tc>
          <w:tcPr>
            <w:tcW w:w="342" w:type="dxa"/>
          </w:tcPr>
          <w:p w:rsidR="000079EF" w:rsidRPr="00D17697" w:rsidRDefault="000079EF" w:rsidP="00FE6F3C">
            <w:pPr>
              <w:pStyle w:val="TabNumeri"/>
            </w:pPr>
          </w:p>
        </w:tc>
      </w:tr>
      <w:tr w:rsidR="00566C64" w:rsidTr="00EE7CE2">
        <w:tblPrEx>
          <w:tblBorders>
            <w:bottom w:val="none" w:sz="0" w:space="0" w:color="auto"/>
          </w:tblBorders>
        </w:tblPrEx>
        <w:trPr>
          <w:trHeight w:val="255"/>
        </w:trPr>
        <w:tc>
          <w:tcPr>
            <w:tcW w:w="2552" w:type="dxa"/>
            <w:shd w:val="clear" w:color="auto" w:fill="F2F2F2"/>
          </w:tcPr>
          <w:p w:rsidR="000079EF" w:rsidRDefault="000079EF" w:rsidP="00FE6F3C">
            <w:pPr>
              <w:pStyle w:val="TabEtichette"/>
              <w:rPr>
                <w:rFonts w:eastAsia="Arial Unicode MS"/>
              </w:rPr>
            </w:pPr>
            <w:r>
              <w:t>Consumi collettivi</w:t>
            </w:r>
          </w:p>
        </w:tc>
        <w:tc>
          <w:tcPr>
            <w:tcW w:w="794" w:type="dxa"/>
            <w:shd w:val="clear" w:color="auto" w:fill="F2F2F2"/>
          </w:tcPr>
          <w:p w:rsidR="000079EF" w:rsidRPr="003D7D2C" w:rsidRDefault="000079EF" w:rsidP="00FE6F3C">
            <w:pPr>
              <w:pStyle w:val="TabNumeri"/>
            </w:pPr>
            <w:r w:rsidRPr="003D7D2C">
              <w:t>0,6</w:t>
            </w:r>
          </w:p>
        </w:tc>
        <w:tc>
          <w:tcPr>
            <w:tcW w:w="340" w:type="dxa"/>
            <w:shd w:val="clear" w:color="auto" w:fill="F2F2F2"/>
          </w:tcPr>
          <w:p w:rsidR="000079EF" w:rsidRPr="003D7D2C" w:rsidRDefault="000079EF" w:rsidP="00FE6F3C">
            <w:pPr>
              <w:pStyle w:val="TabNumeri"/>
            </w:pPr>
          </w:p>
        </w:tc>
        <w:tc>
          <w:tcPr>
            <w:tcW w:w="794" w:type="dxa"/>
            <w:shd w:val="clear" w:color="auto" w:fill="F2F2F2"/>
          </w:tcPr>
          <w:p w:rsidR="000079EF" w:rsidRPr="003D7D2C" w:rsidRDefault="000079EF" w:rsidP="00FE6F3C">
            <w:pPr>
              <w:pStyle w:val="TabNumeri"/>
            </w:pPr>
            <w:r w:rsidRPr="003D7D2C">
              <w:t>0,6</w:t>
            </w:r>
          </w:p>
        </w:tc>
        <w:tc>
          <w:tcPr>
            <w:tcW w:w="340" w:type="dxa"/>
            <w:shd w:val="clear" w:color="auto" w:fill="F2F2F2"/>
          </w:tcPr>
          <w:p w:rsidR="000079EF" w:rsidRPr="003D7D2C" w:rsidRDefault="000079EF" w:rsidP="00FE6F3C">
            <w:pPr>
              <w:pStyle w:val="TabNumeri"/>
            </w:pPr>
          </w:p>
        </w:tc>
        <w:tc>
          <w:tcPr>
            <w:tcW w:w="794" w:type="dxa"/>
            <w:shd w:val="clear" w:color="auto" w:fill="F2F2F2"/>
          </w:tcPr>
          <w:p w:rsidR="000079EF" w:rsidRPr="003D7D2C" w:rsidRDefault="000079EF" w:rsidP="00FE6F3C">
            <w:pPr>
              <w:pStyle w:val="TabNumeri"/>
            </w:pPr>
            <w:r w:rsidRPr="003D7D2C">
              <w:t>n.d.</w:t>
            </w:r>
          </w:p>
        </w:tc>
        <w:tc>
          <w:tcPr>
            <w:tcW w:w="340" w:type="dxa"/>
            <w:shd w:val="clear" w:color="auto" w:fill="F2F2F2"/>
          </w:tcPr>
          <w:p w:rsidR="000079EF" w:rsidRPr="003D7D2C" w:rsidRDefault="000079EF" w:rsidP="00FE6F3C">
            <w:pPr>
              <w:pStyle w:val="TabNumeri"/>
            </w:pPr>
          </w:p>
        </w:tc>
        <w:tc>
          <w:tcPr>
            <w:tcW w:w="794" w:type="dxa"/>
            <w:shd w:val="clear" w:color="auto" w:fill="F2F2F2"/>
          </w:tcPr>
          <w:p w:rsidR="000079EF" w:rsidRPr="003D7D2C" w:rsidRDefault="000079EF" w:rsidP="00FE6F3C">
            <w:pPr>
              <w:pStyle w:val="TabNumeri"/>
            </w:pPr>
            <w:r w:rsidRPr="003D7D2C">
              <w:t>0,2</w:t>
            </w:r>
          </w:p>
        </w:tc>
        <w:tc>
          <w:tcPr>
            <w:tcW w:w="340" w:type="dxa"/>
            <w:shd w:val="clear" w:color="auto" w:fill="F2F2F2"/>
          </w:tcPr>
          <w:p w:rsidR="000079EF" w:rsidRPr="003D7D2C" w:rsidRDefault="000079EF" w:rsidP="00FE6F3C">
            <w:pPr>
              <w:pStyle w:val="TabNumeri"/>
            </w:pPr>
          </w:p>
        </w:tc>
        <w:tc>
          <w:tcPr>
            <w:tcW w:w="794" w:type="dxa"/>
            <w:shd w:val="clear" w:color="auto" w:fill="F2F2F2"/>
          </w:tcPr>
          <w:p w:rsidR="000079EF" w:rsidRPr="003D7D2C" w:rsidRDefault="000079EF" w:rsidP="00FE6F3C">
            <w:pPr>
              <w:pStyle w:val="TabNumeri"/>
            </w:pPr>
            <w:r w:rsidRPr="003D7D2C">
              <w:t>0,2</w:t>
            </w:r>
          </w:p>
        </w:tc>
        <w:tc>
          <w:tcPr>
            <w:tcW w:w="340" w:type="dxa"/>
            <w:shd w:val="clear" w:color="auto" w:fill="F2F2F2"/>
          </w:tcPr>
          <w:p w:rsidR="000079EF" w:rsidRPr="003D7D2C" w:rsidRDefault="000079EF" w:rsidP="00FE6F3C">
            <w:pPr>
              <w:pStyle w:val="TabNumeri"/>
            </w:pPr>
            <w:r w:rsidRPr="003D7D2C">
              <w:t>[8]</w:t>
            </w:r>
          </w:p>
        </w:tc>
        <w:tc>
          <w:tcPr>
            <w:tcW w:w="794" w:type="dxa"/>
            <w:shd w:val="clear" w:color="auto" w:fill="F2F2F2"/>
          </w:tcPr>
          <w:p w:rsidR="000079EF" w:rsidRPr="0098223D" w:rsidRDefault="000079EF" w:rsidP="00FE6F3C">
            <w:pPr>
              <w:pStyle w:val="TabNumeri"/>
            </w:pPr>
            <w:r>
              <w:t>0,7</w:t>
            </w:r>
          </w:p>
        </w:tc>
        <w:tc>
          <w:tcPr>
            <w:tcW w:w="342" w:type="dxa"/>
            <w:shd w:val="clear" w:color="auto" w:fill="F2F2F2"/>
          </w:tcPr>
          <w:p w:rsidR="000079EF" w:rsidRPr="00D17697" w:rsidRDefault="000079EF" w:rsidP="00FE6F3C">
            <w:pPr>
              <w:pStyle w:val="TabNumeri"/>
            </w:pPr>
          </w:p>
        </w:tc>
      </w:tr>
      <w:tr w:rsidR="000079EF" w:rsidTr="00FE6F3C">
        <w:tblPrEx>
          <w:tblBorders>
            <w:bottom w:val="none" w:sz="0" w:space="0" w:color="auto"/>
          </w:tblBorders>
        </w:tblPrEx>
        <w:trPr>
          <w:trHeight w:val="255"/>
        </w:trPr>
        <w:tc>
          <w:tcPr>
            <w:tcW w:w="2552" w:type="dxa"/>
          </w:tcPr>
          <w:p w:rsidR="000079EF" w:rsidRDefault="000079EF" w:rsidP="00FE6F3C">
            <w:pPr>
              <w:pStyle w:val="TabEtichette"/>
              <w:rPr>
                <w:rFonts w:eastAsia="Arial Unicode MS"/>
              </w:rPr>
            </w:pPr>
            <w:r>
              <w:t>Investimenti fissi lordi</w:t>
            </w:r>
          </w:p>
        </w:tc>
        <w:tc>
          <w:tcPr>
            <w:tcW w:w="794" w:type="dxa"/>
          </w:tcPr>
          <w:p w:rsidR="000079EF" w:rsidRPr="003D7D2C" w:rsidRDefault="000079EF" w:rsidP="00FE6F3C">
            <w:pPr>
              <w:pStyle w:val="TabNumeri"/>
            </w:pPr>
            <w:r w:rsidRPr="003D7D2C">
              <w:t>2,9</w:t>
            </w:r>
          </w:p>
        </w:tc>
        <w:tc>
          <w:tcPr>
            <w:tcW w:w="340" w:type="dxa"/>
          </w:tcPr>
          <w:p w:rsidR="000079EF" w:rsidRPr="003D7D2C" w:rsidRDefault="000079EF" w:rsidP="00FE6F3C">
            <w:pPr>
              <w:pStyle w:val="TabNumeri"/>
            </w:pPr>
          </w:p>
        </w:tc>
        <w:tc>
          <w:tcPr>
            <w:tcW w:w="794" w:type="dxa"/>
          </w:tcPr>
          <w:p w:rsidR="000079EF" w:rsidRPr="003D7D2C" w:rsidRDefault="000079EF" w:rsidP="00FE6F3C">
            <w:pPr>
              <w:pStyle w:val="TabNumeri"/>
            </w:pPr>
            <w:r w:rsidRPr="003D7D2C">
              <w:t>1,4</w:t>
            </w:r>
          </w:p>
        </w:tc>
        <w:tc>
          <w:tcPr>
            <w:tcW w:w="340" w:type="dxa"/>
          </w:tcPr>
          <w:p w:rsidR="000079EF" w:rsidRPr="003D7D2C" w:rsidRDefault="000079EF" w:rsidP="00FE6F3C">
            <w:pPr>
              <w:pStyle w:val="TabNumeri"/>
            </w:pPr>
          </w:p>
        </w:tc>
        <w:tc>
          <w:tcPr>
            <w:tcW w:w="794" w:type="dxa"/>
          </w:tcPr>
          <w:p w:rsidR="000079EF" w:rsidRPr="003D7D2C" w:rsidRDefault="000079EF" w:rsidP="00FE6F3C">
            <w:pPr>
              <w:pStyle w:val="TabNumeri"/>
            </w:pPr>
            <w:r w:rsidRPr="003D7D2C">
              <w:t>2,0</w:t>
            </w:r>
          </w:p>
        </w:tc>
        <w:tc>
          <w:tcPr>
            <w:tcW w:w="340" w:type="dxa"/>
          </w:tcPr>
          <w:p w:rsidR="000079EF" w:rsidRPr="003D7D2C" w:rsidRDefault="000079EF" w:rsidP="00FE6F3C">
            <w:pPr>
              <w:pStyle w:val="TabNumeri"/>
            </w:pPr>
          </w:p>
        </w:tc>
        <w:tc>
          <w:tcPr>
            <w:tcW w:w="794" w:type="dxa"/>
          </w:tcPr>
          <w:p w:rsidR="000079EF" w:rsidRPr="003D7D2C" w:rsidRDefault="000079EF" w:rsidP="00FE6F3C">
            <w:pPr>
              <w:pStyle w:val="TabNumeri"/>
            </w:pPr>
            <w:r w:rsidRPr="003D7D2C">
              <w:t>2,4</w:t>
            </w:r>
          </w:p>
        </w:tc>
        <w:tc>
          <w:tcPr>
            <w:tcW w:w="340" w:type="dxa"/>
          </w:tcPr>
          <w:p w:rsidR="000079EF" w:rsidRPr="003D7D2C" w:rsidRDefault="000079EF" w:rsidP="00FE6F3C">
            <w:pPr>
              <w:pStyle w:val="TabNumeri"/>
            </w:pPr>
          </w:p>
        </w:tc>
        <w:tc>
          <w:tcPr>
            <w:tcW w:w="794" w:type="dxa"/>
          </w:tcPr>
          <w:p w:rsidR="000079EF" w:rsidRPr="003D7D2C" w:rsidRDefault="000079EF" w:rsidP="00FE6F3C">
            <w:pPr>
              <w:pStyle w:val="TabNumeri"/>
            </w:pPr>
            <w:r w:rsidRPr="003D7D2C">
              <w:t>0,9</w:t>
            </w:r>
          </w:p>
        </w:tc>
        <w:tc>
          <w:tcPr>
            <w:tcW w:w="340" w:type="dxa"/>
          </w:tcPr>
          <w:p w:rsidR="000079EF" w:rsidRPr="003D7D2C" w:rsidRDefault="000079EF" w:rsidP="00FE6F3C">
            <w:pPr>
              <w:pStyle w:val="TabNumeri"/>
            </w:pPr>
            <w:r w:rsidRPr="003D7D2C">
              <w:t>[7]</w:t>
            </w:r>
          </w:p>
        </w:tc>
        <w:tc>
          <w:tcPr>
            <w:tcW w:w="794" w:type="dxa"/>
          </w:tcPr>
          <w:p w:rsidR="000079EF" w:rsidRPr="0098223D" w:rsidRDefault="000079EF" w:rsidP="00FE6F3C">
            <w:pPr>
              <w:pStyle w:val="TabNumeri"/>
            </w:pPr>
            <w:r>
              <w:t>1,7</w:t>
            </w:r>
          </w:p>
        </w:tc>
        <w:tc>
          <w:tcPr>
            <w:tcW w:w="342" w:type="dxa"/>
          </w:tcPr>
          <w:p w:rsidR="000079EF" w:rsidRPr="00D17697" w:rsidRDefault="000079EF" w:rsidP="00FE6F3C">
            <w:pPr>
              <w:pStyle w:val="TabNumeri"/>
            </w:pPr>
          </w:p>
        </w:tc>
      </w:tr>
      <w:tr w:rsidR="000079EF" w:rsidTr="00FE6F3C">
        <w:tblPrEx>
          <w:tblBorders>
            <w:bottom w:val="none" w:sz="0" w:space="0" w:color="auto"/>
          </w:tblBorders>
        </w:tblPrEx>
        <w:trPr>
          <w:trHeight w:val="255"/>
        </w:trPr>
        <w:tc>
          <w:tcPr>
            <w:tcW w:w="2552" w:type="dxa"/>
          </w:tcPr>
          <w:p w:rsidR="000079EF" w:rsidRDefault="000079EF" w:rsidP="00FE6F3C">
            <w:pPr>
              <w:pStyle w:val="TabEtichette"/>
              <w:rPr>
                <w:rFonts w:eastAsia="Arial Unicode MS"/>
              </w:rPr>
            </w:pPr>
            <w:r>
              <w:t>- macc. attrez. mezzi trasp.</w:t>
            </w:r>
          </w:p>
        </w:tc>
        <w:tc>
          <w:tcPr>
            <w:tcW w:w="794" w:type="dxa"/>
          </w:tcPr>
          <w:p w:rsidR="000079EF" w:rsidRPr="003D7D2C" w:rsidRDefault="000079EF" w:rsidP="00FE6F3C">
            <w:pPr>
              <w:pStyle w:val="TabNumeri"/>
            </w:pPr>
            <w:r w:rsidRPr="003D7D2C">
              <w:t>3,9</w:t>
            </w:r>
          </w:p>
        </w:tc>
        <w:tc>
          <w:tcPr>
            <w:tcW w:w="340" w:type="dxa"/>
          </w:tcPr>
          <w:p w:rsidR="000079EF" w:rsidRPr="003D7D2C" w:rsidRDefault="000079EF" w:rsidP="00FE6F3C">
            <w:pPr>
              <w:pStyle w:val="TabNumeri"/>
            </w:pPr>
            <w:r w:rsidRPr="003D7D2C">
              <w:t>[10]</w:t>
            </w:r>
          </w:p>
        </w:tc>
        <w:tc>
          <w:tcPr>
            <w:tcW w:w="794" w:type="dxa"/>
          </w:tcPr>
          <w:p w:rsidR="000079EF" w:rsidRPr="003D7D2C" w:rsidRDefault="000079EF" w:rsidP="00FE6F3C">
            <w:pPr>
              <w:pStyle w:val="TabNumeri"/>
            </w:pPr>
            <w:r w:rsidRPr="003D7D2C">
              <w:t>n.d.</w:t>
            </w:r>
          </w:p>
        </w:tc>
        <w:tc>
          <w:tcPr>
            <w:tcW w:w="340" w:type="dxa"/>
          </w:tcPr>
          <w:p w:rsidR="000079EF" w:rsidRPr="003D7D2C" w:rsidRDefault="000079EF" w:rsidP="00FE6F3C">
            <w:pPr>
              <w:pStyle w:val="TabNumeri"/>
            </w:pPr>
          </w:p>
        </w:tc>
        <w:tc>
          <w:tcPr>
            <w:tcW w:w="794" w:type="dxa"/>
          </w:tcPr>
          <w:p w:rsidR="000079EF" w:rsidRPr="003D7D2C" w:rsidRDefault="000079EF" w:rsidP="00FE6F3C">
            <w:pPr>
              <w:pStyle w:val="TabNumeri"/>
            </w:pPr>
            <w:r w:rsidRPr="003D7D2C">
              <w:t>2,7</w:t>
            </w:r>
          </w:p>
        </w:tc>
        <w:tc>
          <w:tcPr>
            <w:tcW w:w="340" w:type="dxa"/>
          </w:tcPr>
          <w:p w:rsidR="000079EF" w:rsidRPr="003D7D2C" w:rsidRDefault="000079EF" w:rsidP="00FE6F3C">
            <w:pPr>
              <w:pStyle w:val="TabNumeri"/>
            </w:pPr>
          </w:p>
        </w:tc>
        <w:tc>
          <w:tcPr>
            <w:tcW w:w="794" w:type="dxa"/>
          </w:tcPr>
          <w:p w:rsidR="000079EF" w:rsidRPr="003D7D2C" w:rsidRDefault="000079EF" w:rsidP="00FE6F3C">
            <w:pPr>
              <w:pStyle w:val="TabNumeri"/>
            </w:pPr>
            <w:r w:rsidRPr="003D7D2C">
              <w:t>4,6</w:t>
            </w:r>
          </w:p>
        </w:tc>
        <w:tc>
          <w:tcPr>
            <w:tcW w:w="340" w:type="dxa"/>
          </w:tcPr>
          <w:p w:rsidR="000079EF" w:rsidRPr="003D7D2C" w:rsidRDefault="000079EF" w:rsidP="00FE6F3C">
            <w:pPr>
              <w:pStyle w:val="TabNumeri"/>
            </w:pPr>
            <w:r w:rsidRPr="003D7D2C">
              <w:t>[6]</w:t>
            </w:r>
          </w:p>
        </w:tc>
        <w:tc>
          <w:tcPr>
            <w:tcW w:w="794" w:type="dxa"/>
          </w:tcPr>
          <w:p w:rsidR="000079EF" w:rsidRPr="003D7D2C" w:rsidRDefault="000079EF" w:rsidP="00FE6F3C">
            <w:pPr>
              <w:pStyle w:val="TabNumeri"/>
            </w:pPr>
            <w:r w:rsidRPr="003D7D2C">
              <w:t>2,1</w:t>
            </w:r>
          </w:p>
        </w:tc>
        <w:tc>
          <w:tcPr>
            <w:tcW w:w="340" w:type="dxa"/>
          </w:tcPr>
          <w:p w:rsidR="000079EF" w:rsidRPr="003D7D2C" w:rsidRDefault="000079EF" w:rsidP="00FE6F3C">
            <w:pPr>
              <w:pStyle w:val="TabNumeri"/>
            </w:pPr>
            <w:r w:rsidRPr="003D7D2C">
              <w:t>[8]</w:t>
            </w:r>
          </w:p>
        </w:tc>
        <w:tc>
          <w:tcPr>
            <w:tcW w:w="794" w:type="dxa"/>
          </w:tcPr>
          <w:p w:rsidR="000079EF" w:rsidRPr="00787E0A" w:rsidRDefault="000079EF" w:rsidP="00FE6F3C">
            <w:pPr>
              <w:pStyle w:val="TabNumeri"/>
            </w:pPr>
            <w:r w:rsidRPr="00787E0A">
              <w:t>n.d.</w:t>
            </w:r>
          </w:p>
        </w:tc>
        <w:tc>
          <w:tcPr>
            <w:tcW w:w="342" w:type="dxa"/>
          </w:tcPr>
          <w:p w:rsidR="000079EF" w:rsidRPr="00D17697" w:rsidRDefault="000079EF" w:rsidP="00FE6F3C">
            <w:pPr>
              <w:pStyle w:val="TabNumeri"/>
            </w:pPr>
          </w:p>
        </w:tc>
      </w:tr>
      <w:tr w:rsidR="000079EF" w:rsidTr="00FE6F3C">
        <w:tblPrEx>
          <w:tblBorders>
            <w:bottom w:val="none" w:sz="0" w:space="0" w:color="auto"/>
          </w:tblBorders>
        </w:tblPrEx>
        <w:trPr>
          <w:trHeight w:val="255"/>
        </w:trPr>
        <w:tc>
          <w:tcPr>
            <w:tcW w:w="2552" w:type="dxa"/>
          </w:tcPr>
          <w:p w:rsidR="000079EF" w:rsidRDefault="000079EF" w:rsidP="00FE6F3C">
            <w:pPr>
              <w:pStyle w:val="TabEtichette"/>
              <w:rPr>
                <w:rFonts w:eastAsia="Arial Unicode MS"/>
              </w:rPr>
            </w:pPr>
            <w:r>
              <w:t>- costruzioni</w:t>
            </w:r>
          </w:p>
        </w:tc>
        <w:tc>
          <w:tcPr>
            <w:tcW w:w="794" w:type="dxa"/>
          </w:tcPr>
          <w:p w:rsidR="000079EF" w:rsidRPr="003D7D2C" w:rsidRDefault="000079EF" w:rsidP="00FE6F3C">
            <w:pPr>
              <w:pStyle w:val="TabNumeri"/>
            </w:pPr>
            <w:r w:rsidRPr="003D7D2C">
              <w:t>1,1</w:t>
            </w:r>
          </w:p>
        </w:tc>
        <w:tc>
          <w:tcPr>
            <w:tcW w:w="340" w:type="dxa"/>
          </w:tcPr>
          <w:p w:rsidR="000079EF" w:rsidRPr="003D7D2C" w:rsidRDefault="000079EF" w:rsidP="00FE6F3C">
            <w:pPr>
              <w:pStyle w:val="TabNumeri"/>
            </w:pPr>
          </w:p>
        </w:tc>
        <w:tc>
          <w:tcPr>
            <w:tcW w:w="794" w:type="dxa"/>
          </w:tcPr>
          <w:p w:rsidR="000079EF" w:rsidRPr="003D7D2C" w:rsidRDefault="000079EF" w:rsidP="00FE6F3C">
            <w:pPr>
              <w:pStyle w:val="TabNumeri"/>
            </w:pPr>
            <w:r w:rsidRPr="003D7D2C">
              <w:t>n.d.</w:t>
            </w:r>
          </w:p>
        </w:tc>
        <w:tc>
          <w:tcPr>
            <w:tcW w:w="340" w:type="dxa"/>
          </w:tcPr>
          <w:p w:rsidR="000079EF" w:rsidRPr="003D7D2C" w:rsidRDefault="000079EF" w:rsidP="00FE6F3C">
            <w:pPr>
              <w:pStyle w:val="TabNumeri"/>
            </w:pPr>
          </w:p>
        </w:tc>
        <w:tc>
          <w:tcPr>
            <w:tcW w:w="794" w:type="dxa"/>
          </w:tcPr>
          <w:p w:rsidR="000079EF" w:rsidRPr="003D7D2C" w:rsidRDefault="000079EF" w:rsidP="00FE6F3C">
            <w:pPr>
              <w:pStyle w:val="TabNumeri"/>
            </w:pPr>
            <w:r w:rsidRPr="003D7D2C">
              <w:t>1,3</w:t>
            </w:r>
          </w:p>
        </w:tc>
        <w:tc>
          <w:tcPr>
            <w:tcW w:w="340" w:type="dxa"/>
          </w:tcPr>
          <w:p w:rsidR="000079EF" w:rsidRPr="003D7D2C" w:rsidRDefault="000079EF" w:rsidP="00FE6F3C">
            <w:pPr>
              <w:pStyle w:val="TabNumeri"/>
            </w:pPr>
          </w:p>
        </w:tc>
        <w:tc>
          <w:tcPr>
            <w:tcW w:w="794" w:type="dxa"/>
          </w:tcPr>
          <w:p w:rsidR="000079EF" w:rsidRPr="003D7D2C" w:rsidRDefault="000079EF" w:rsidP="00FE6F3C">
            <w:pPr>
              <w:pStyle w:val="TabNumeri"/>
            </w:pPr>
            <w:r w:rsidRPr="003D7D2C">
              <w:t>1,0</w:t>
            </w:r>
          </w:p>
        </w:tc>
        <w:tc>
          <w:tcPr>
            <w:tcW w:w="340" w:type="dxa"/>
          </w:tcPr>
          <w:p w:rsidR="000079EF" w:rsidRPr="003D7D2C" w:rsidRDefault="000079EF" w:rsidP="00FE6F3C">
            <w:pPr>
              <w:pStyle w:val="TabNumeri"/>
            </w:pPr>
          </w:p>
        </w:tc>
        <w:tc>
          <w:tcPr>
            <w:tcW w:w="794" w:type="dxa"/>
          </w:tcPr>
          <w:p w:rsidR="000079EF" w:rsidRPr="003D7D2C" w:rsidRDefault="000079EF" w:rsidP="00FE6F3C">
            <w:pPr>
              <w:pStyle w:val="TabNumeri"/>
            </w:pPr>
            <w:r w:rsidRPr="003D7D2C">
              <w:t>0,1</w:t>
            </w:r>
          </w:p>
        </w:tc>
        <w:tc>
          <w:tcPr>
            <w:tcW w:w="340" w:type="dxa"/>
          </w:tcPr>
          <w:p w:rsidR="000079EF" w:rsidRPr="003D7D2C" w:rsidRDefault="000079EF" w:rsidP="00FE6F3C">
            <w:pPr>
              <w:pStyle w:val="TabNumeri"/>
            </w:pPr>
            <w:r w:rsidRPr="003D7D2C">
              <w:t>[8]</w:t>
            </w:r>
          </w:p>
        </w:tc>
        <w:tc>
          <w:tcPr>
            <w:tcW w:w="794" w:type="dxa"/>
          </w:tcPr>
          <w:p w:rsidR="000079EF" w:rsidRPr="00787E0A" w:rsidRDefault="000079EF" w:rsidP="00FE6F3C">
            <w:pPr>
              <w:pStyle w:val="TabNumeri"/>
            </w:pPr>
            <w:r w:rsidRPr="00787E0A">
              <w:t>n.d.</w:t>
            </w:r>
          </w:p>
        </w:tc>
        <w:tc>
          <w:tcPr>
            <w:tcW w:w="342" w:type="dxa"/>
          </w:tcPr>
          <w:p w:rsidR="000079EF" w:rsidRPr="00D17697" w:rsidRDefault="000079EF" w:rsidP="00FE6F3C">
            <w:pPr>
              <w:pStyle w:val="TabNumeri"/>
            </w:pPr>
          </w:p>
        </w:tc>
      </w:tr>
      <w:tr w:rsidR="00566C64" w:rsidTr="00EE7CE2">
        <w:tblPrEx>
          <w:tblBorders>
            <w:bottom w:val="none" w:sz="0" w:space="0" w:color="auto"/>
          </w:tblBorders>
        </w:tblPrEx>
        <w:trPr>
          <w:trHeight w:val="255"/>
        </w:trPr>
        <w:tc>
          <w:tcPr>
            <w:tcW w:w="2552" w:type="dxa"/>
            <w:shd w:val="clear" w:color="auto" w:fill="F2F2F2"/>
          </w:tcPr>
          <w:p w:rsidR="000079EF" w:rsidRDefault="000079EF" w:rsidP="00FE6F3C">
            <w:pPr>
              <w:pStyle w:val="TabEtichette"/>
              <w:rPr>
                <w:rFonts w:eastAsia="Arial Unicode MS"/>
              </w:rPr>
            </w:pPr>
            <w:r>
              <w:t>Occupazione [a]</w:t>
            </w:r>
          </w:p>
        </w:tc>
        <w:tc>
          <w:tcPr>
            <w:tcW w:w="794" w:type="dxa"/>
            <w:shd w:val="clear" w:color="auto" w:fill="F2F2F2"/>
          </w:tcPr>
          <w:p w:rsidR="000079EF" w:rsidRPr="003D7D2C" w:rsidRDefault="000079EF" w:rsidP="00FE6F3C">
            <w:pPr>
              <w:pStyle w:val="TabNumeri"/>
            </w:pPr>
            <w:r w:rsidRPr="003D7D2C">
              <w:t>1,4</w:t>
            </w:r>
          </w:p>
        </w:tc>
        <w:tc>
          <w:tcPr>
            <w:tcW w:w="340" w:type="dxa"/>
            <w:shd w:val="clear" w:color="auto" w:fill="F2F2F2"/>
          </w:tcPr>
          <w:p w:rsidR="000079EF" w:rsidRPr="003D7D2C" w:rsidRDefault="000079EF" w:rsidP="00FE6F3C">
            <w:pPr>
              <w:pStyle w:val="TabNumeri"/>
            </w:pPr>
          </w:p>
        </w:tc>
        <w:tc>
          <w:tcPr>
            <w:tcW w:w="794" w:type="dxa"/>
            <w:shd w:val="clear" w:color="auto" w:fill="F2F2F2"/>
          </w:tcPr>
          <w:p w:rsidR="000079EF" w:rsidRPr="003D7D2C" w:rsidRDefault="000079EF" w:rsidP="00FE6F3C">
            <w:pPr>
              <w:pStyle w:val="TabNumeri"/>
            </w:pPr>
            <w:r w:rsidRPr="003D7D2C">
              <w:t>0,9</w:t>
            </w:r>
          </w:p>
        </w:tc>
        <w:tc>
          <w:tcPr>
            <w:tcW w:w="340" w:type="dxa"/>
            <w:shd w:val="clear" w:color="auto" w:fill="F2F2F2"/>
          </w:tcPr>
          <w:p w:rsidR="000079EF" w:rsidRPr="003D7D2C" w:rsidRDefault="000079EF" w:rsidP="00FE6F3C">
            <w:pPr>
              <w:pStyle w:val="TabNumeri"/>
            </w:pPr>
          </w:p>
        </w:tc>
        <w:tc>
          <w:tcPr>
            <w:tcW w:w="794" w:type="dxa"/>
            <w:shd w:val="clear" w:color="auto" w:fill="F2F2F2"/>
          </w:tcPr>
          <w:p w:rsidR="000079EF" w:rsidRPr="003D7D2C" w:rsidRDefault="000079EF" w:rsidP="00FE6F3C">
            <w:pPr>
              <w:pStyle w:val="TabNumeri"/>
            </w:pPr>
            <w:r w:rsidRPr="003D7D2C">
              <w:t>1,1</w:t>
            </w:r>
          </w:p>
        </w:tc>
        <w:tc>
          <w:tcPr>
            <w:tcW w:w="340" w:type="dxa"/>
            <w:shd w:val="clear" w:color="auto" w:fill="F2F2F2"/>
          </w:tcPr>
          <w:p w:rsidR="000079EF" w:rsidRPr="003D7D2C" w:rsidRDefault="000079EF" w:rsidP="00FE6F3C">
            <w:pPr>
              <w:pStyle w:val="TabNumeri"/>
            </w:pPr>
          </w:p>
        </w:tc>
        <w:tc>
          <w:tcPr>
            <w:tcW w:w="794" w:type="dxa"/>
            <w:shd w:val="clear" w:color="auto" w:fill="F2F2F2"/>
          </w:tcPr>
          <w:p w:rsidR="000079EF" w:rsidRPr="003D7D2C" w:rsidRDefault="000079EF" w:rsidP="00FE6F3C">
            <w:pPr>
              <w:pStyle w:val="TabNumeri"/>
            </w:pPr>
            <w:r w:rsidRPr="003D7D2C">
              <w:t>0,7</w:t>
            </w:r>
          </w:p>
        </w:tc>
        <w:tc>
          <w:tcPr>
            <w:tcW w:w="340" w:type="dxa"/>
            <w:shd w:val="clear" w:color="auto" w:fill="F2F2F2"/>
          </w:tcPr>
          <w:p w:rsidR="000079EF" w:rsidRPr="003D7D2C" w:rsidRDefault="000079EF" w:rsidP="00FE6F3C">
            <w:pPr>
              <w:pStyle w:val="TabNumeri"/>
            </w:pPr>
          </w:p>
        </w:tc>
        <w:tc>
          <w:tcPr>
            <w:tcW w:w="794" w:type="dxa"/>
            <w:shd w:val="clear" w:color="auto" w:fill="F2F2F2"/>
          </w:tcPr>
          <w:p w:rsidR="000079EF" w:rsidRPr="003D7D2C" w:rsidRDefault="000079EF" w:rsidP="00FE6F3C">
            <w:pPr>
              <w:pStyle w:val="TabNumeri"/>
            </w:pPr>
            <w:r w:rsidRPr="003D7D2C">
              <w:t>0,3</w:t>
            </w:r>
          </w:p>
        </w:tc>
        <w:tc>
          <w:tcPr>
            <w:tcW w:w="340" w:type="dxa"/>
            <w:shd w:val="clear" w:color="auto" w:fill="F2F2F2"/>
          </w:tcPr>
          <w:p w:rsidR="000079EF" w:rsidRPr="003D7D2C" w:rsidRDefault="000079EF" w:rsidP="00FE6F3C">
            <w:pPr>
              <w:pStyle w:val="TabNumeri"/>
            </w:pPr>
            <w:r w:rsidRPr="003D7D2C">
              <w:t>[8]</w:t>
            </w:r>
          </w:p>
        </w:tc>
        <w:tc>
          <w:tcPr>
            <w:tcW w:w="794" w:type="dxa"/>
            <w:shd w:val="clear" w:color="auto" w:fill="F2F2F2"/>
          </w:tcPr>
          <w:p w:rsidR="000079EF" w:rsidRPr="0098223D" w:rsidRDefault="000079EF" w:rsidP="00FE6F3C">
            <w:pPr>
              <w:pStyle w:val="TabNumeri"/>
            </w:pPr>
            <w:r>
              <w:t>0,9</w:t>
            </w:r>
          </w:p>
        </w:tc>
        <w:tc>
          <w:tcPr>
            <w:tcW w:w="342" w:type="dxa"/>
            <w:shd w:val="clear" w:color="auto" w:fill="F2F2F2"/>
          </w:tcPr>
          <w:p w:rsidR="000079EF" w:rsidRPr="00D17697" w:rsidRDefault="000079EF" w:rsidP="00FE6F3C">
            <w:pPr>
              <w:pStyle w:val="TabNumeri"/>
            </w:pPr>
          </w:p>
        </w:tc>
      </w:tr>
      <w:tr w:rsidR="000079EF" w:rsidTr="00FE6F3C">
        <w:tblPrEx>
          <w:tblBorders>
            <w:bottom w:val="none" w:sz="0" w:space="0" w:color="auto"/>
          </w:tblBorders>
        </w:tblPrEx>
        <w:trPr>
          <w:trHeight w:val="255"/>
        </w:trPr>
        <w:tc>
          <w:tcPr>
            <w:tcW w:w="2552" w:type="dxa"/>
          </w:tcPr>
          <w:p w:rsidR="000079EF" w:rsidRDefault="000079EF" w:rsidP="00FE6F3C">
            <w:pPr>
              <w:pStyle w:val="TabEtichette"/>
              <w:rPr>
                <w:rFonts w:eastAsia="Arial Unicode MS"/>
              </w:rPr>
            </w:pPr>
            <w:r>
              <w:t>Disoccupazione [b]</w:t>
            </w:r>
          </w:p>
        </w:tc>
        <w:tc>
          <w:tcPr>
            <w:tcW w:w="794" w:type="dxa"/>
          </w:tcPr>
          <w:p w:rsidR="000079EF" w:rsidRPr="003D7D2C" w:rsidRDefault="000079EF" w:rsidP="00FE6F3C">
            <w:pPr>
              <w:pStyle w:val="TabNumeri"/>
            </w:pPr>
            <w:r w:rsidRPr="003D7D2C">
              <w:t>11,7</w:t>
            </w:r>
          </w:p>
        </w:tc>
        <w:tc>
          <w:tcPr>
            <w:tcW w:w="340" w:type="dxa"/>
          </w:tcPr>
          <w:p w:rsidR="000079EF" w:rsidRPr="003D7D2C" w:rsidRDefault="000079EF" w:rsidP="00FE6F3C">
            <w:pPr>
              <w:pStyle w:val="TabNumeri"/>
            </w:pPr>
          </w:p>
        </w:tc>
        <w:tc>
          <w:tcPr>
            <w:tcW w:w="794" w:type="dxa"/>
          </w:tcPr>
          <w:p w:rsidR="000079EF" w:rsidRPr="003D7D2C" w:rsidRDefault="000079EF" w:rsidP="00FE6F3C">
            <w:pPr>
              <w:pStyle w:val="TabNumeri"/>
            </w:pPr>
            <w:r w:rsidRPr="003D7D2C">
              <w:t>11,5</w:t>
            </w:r>
          </w:p>
        </w:tc>
        <w:tc>
          <w:tcPr>
            <w:tcW w:w="340" w:type="dxa"/>
          </w:tcPr>
          <w:p w:rsidR="000079EF" w:rsidRPr="003D7D2C" w:rsidRDefault="000079EF" w:rsidP="00FE6F3C">
            <w:pPr>
              <w:pStyle w:val="TabNumeri"/>
            </w:pPr>
          </w:p>
        </w:tc>
        <w:tc>
          <w:tcPr>
            <w:tcW w:w="794" w:type="dxa"/>
          </w:tcPr>
          <w:p w:rsidR="000079EF" w:rsidRPr="003D7D2C" w:rsidRDefault="000079EF" w:rsidP="00FE6F3C">
            <w:pPr>
              <w:pStyle w:val="TabNumeri"/>
            </w:pPr>
            <w:r w:rsidRPr="003D7D2C">
              <w:t>11,4</w:t>
            </w:r>
          </w:p>
        </w:tc>
        <w:tc>
          <w:tcPr>
            <w:tcW w:w="340" w:type="dxa"/>
          </w:tcPr>
          <w:p w:rsidR="000079EF" w:rsidRPr="003D7D2C" w:rsidRDefault="000079EF" w:rsidP="00FE6F3C">
            <w:pPr>
              <w:pStyle w:val="TabNumeri"/>
            </w:pPr>
          </w:p>
        </w:tc>
        <w:tc>
          <w:tcPr>
            <w:tcW w:w="794" w:type="dxa"/>
          </w:tcPr>
          <w:p w:rsidR="000079EF" w:rsidRPr="003D7D2C" w:rsidRDefault="000079EF" w:rsidP="00FE6F3C">
            <w:pPr>
              <w:pStyle w:val="TabNumeri"/>
            </w:pPr>
            <w:r w:rsidRPr="003D7D2C">
              <w:t>11,6</w:t>
            </w:r>
          </w:p>
        </w:tc>
        <w:tc>
          <w:tcPr>
            <w:tcW w:w="340" w:type="dxa"/>
          </w:tcPr>
          <w:p w:rsidR="000079EF" w:rsidRPr="003D7D2C" w:rsidRDefault="000079EF" w:rsidP="00FE6F3C">
            <w:pPr>
              <w:pStyle w:val="TabNumeri"/>
            </w:pPr>
          </w:p>
        </w:tc>
        <w:tc>
          <w:tcPr>
            <w:tcW w:w="794" w:type="dxa"/>
          </w:tcPr>
          <w:p w:rsidR="000079EF" w:rsidRPr="003D7D2C" w:rsidRDefault="000079EF" w:rsidP="00FE6F3C">
            <w:pPr>
              <w:pStyle w:val="TabNumeri"/>
            </w:pPr>
            <w:r w:rsidRPr="003D7D2C">
              <w:t>11,4</w:t>
            </w:r>
          </w:p>
        </w:tc>
        <w:tc>
          <w:tcPr>
            <w:tcW w:w="340" w:type="dxa"/>
          </w:tcPr>
          <w:p w:rsidR="000079EF" w:rsidRPr="003D7D2C" w:rsidRDefault="000079EF" w:rsidP="00FE6F3C">
            <w:pPr>
              <w:pStyle w:val="TabNumeri"/>
            </w:pPr>
            <w:r w:rsidRPr="003D7D2C">
              <w:t>[7]</w:t>
            </w:r>
          </w:p>
        </w:tc>
        <w:tc>
          <w:tcPr>
            <w:tcW w:w="794" w:type="dxa"/>
          </w:tcPr>
          <w:p w:rsidR="000079EF" w:rsidRPr="0098223D" w:rsidRDefault="000079EF" w:rsidP="00FE6F3C">
            <w:pPr>
              <w:pStyle w:val="TabNumeri"/>
            </w:pPr>
            <w:r>
              <w:t>11,1</w:t>
            </w:r>
          </w:p>
        </w:tc>
        <w:tc>
          <w:tcPr>
            <w:tcW w:w="342" w:type="dxa"/>
          </w:tcPr>
          <w:p w:rsidR="000079EF" w:rsidRPr="00D17697" w:rsidRDefault="000079EF" w:rsidP="00FE6F3C">
            <w:pPr>
              <w:pStyle w:val="TabNumeri"/>
            </w:pPr>
          </w:p>
        </w:tc>
      </w:tr>
      <w:tr w:rsidR="00566C64" w:rsidTr="00EE7CE2">
        <w:tblPrEx>
          <w:tblBorders>
            <w:bottom w:val="none" w:sz="0" w:space="0" w:color="auto"/>
          </w:tblBorders>
        </w:tblPrEx>
        <w:trPr>
          <w:trHeight w:val="255"/>
        </w:trPr>
        <w:tc>
          <w:tcPr>
            <w:tcW w:w="2552" w:type="dxa"/>
            <w:shd w:val="clear" w:color="auto" w:fill="F2F2F2"/>
          </w:tcPr>
          <w:p w:rsidR="000079EF" w:rsidRDefault="000079EF" w:rsidP="00FE6F3C">
            <w:pPr>
              <w:pStyle w:val="TabEtichette"/>
              <w:rPr>
                <w:rFonts w:eastAsia="Arial Unicode MS"/>
              </w:rPr>
            </w:pPr>
            <w:r>
              <w:t>Prezzi al consumo</w:t>
            </w:r>
          </w:p>
        </w:tc>
        <w:tc>
          <w:tcPr>
            <w:tcW w:w="794" w:type="dxa"/>
            <w:shd w:val="clear" w:color="auto" w:fill="F2F2F2"/>
          </w:tcPr>
          <w:p w:rsidR="000079EF" w:rsidRPr="003D7D2C" w:rsidRDefault="000079EF" w:rsidP="00FE6F3C">
            <w:pPr>
              <w:pStyle w:val="TabNumeri"/>
            </w:pPr>
            <w:r w:rsidRPr="003D7D2C">
              <w:t>-0,1</w:t>
            </w:r>
          </w:p>
        </w:tc>
        <w:tc>
          <w:tcPr>
            <w:tcW w:w="340" w:type="dxa"/>
            <w:shd w:val="clear" w:color="auto" w:fill="F2F2F2"/>
          </w:tcPr>
          <w:p w:rsidR="000079EF" w:rsidRPr="003D7D2C" w:rsidRDefault="000079EF" w:rsidP="00FE6F3C">
            <w:pPr>
              <w:pStyle w:val="TabNumeri"/>
            </w:pPr>
          </w:p>
        </w:tc>
        <w:tc>
          <w:tcPr>
            <w:tcW w:w="794" w:type="dxa"/>
            <w:shd w:val="clear" w:color="auto" w:fill="F2F2F2"/>
          </w:tcPr>
          <w:p w:rsidR="000079EF" w:rsidRPr="003D7D2C" w:rsidRDefault="000079EF" w:rsidP="00FE6F3C">
            <w:pPr>
              <w:pStyle w:val="TabNumeri"/>
            </w:pPr>
            <w:r w:rsidRPr="003D7D2C">
              <w:t>-0,1</w:t>
            </w:r>
          </w:p>
        </w:tc>
        <w:tc>
          <w:tcPr>
            <w:tcW w:w="340" w:type="dxa"/>
            <w:shd w:val="clear" w:color="auto" w:fill="F2F2F2"/>
          </w:tcPr>
          <w:p w:rsidR="000079EF" w:rsidRPr="003D7D2C" w:rsidRDefault="000079EF" w:rsidP="00FE6F3C">
            <w:pPr>
              <w:pStyle w:val="TabNumeri"/>
            </w:pPr>
          </w:p>
        </w:tc>
        <w:tc>
          <w:tcPr>
            <w:tcW w:w="794" w:type="dxa"/>
            <w:shd w:val="clear" w:color="auto" w:fill="F2F2F2"/>
          </w:tcPr>
          <w:p w:rsidR="000079EF" w:rsidRPr="003D7D2C" w:rsidRDefault="000079EF" w:rsidP="00FE6F3C">
            <w:pPr>
              <w:pStyle w:val="TabNumeri"/>
            </w:pPr>
            <w:r w:rsidRPr="003D7D2C">
              <w:t>-0,2</w:t>
            </w:r>
          </w:p>
        </w:tc>
        <w:tc>
          <w:tcPr>
            <w:tcW w:w="340" w:type="dxa"/>
            <w:shd w:val="clear" w:color="auto" w:fill="F2F2F2"/>
          </w:tcPr>
          <w:p w:rsidR="000079EF" w:rsidRPr="003D7D2C" w:rsidRDefault="000079EF" w:rsidP="00FE6F3C">
            <w:pPr>
              <w:pStyle w:val="TabNumeri"/>
            </w:pPr>
          </w:p>
        </w:tc>
        <w:tc>
          <w:tcPr>
            <w:tcW w:w="794" w:type="dxa"/>
            <w:shd w:val="clear" w:color="auto" w:fill="F2F2F2"/>
          </w:tcPr>
          <w:p w:rsidR="000079EF" w:rsidRPr="003D7D2C" w:rsidRDefault="000079EF" w:rsidP="00FE6F3C">
            <w:pPr>
              <w:pStyle w:val="TabNumeri"/>
            </w:pPr>
            <w:r w:rsidRPr="003D7D2C">
              <w:t>1,4</w:t>
            </w:r>
          </w:p>
        </w:tc>
        <w:tc>
          <w:tcPr>
            <w:tcW w:w="340" w:type="dxa"/>
            <w:shd w:val="clear" w:color="auto" w:fill="F2F2F2"/>
          </w:tcPr>
          <w:p w:rsidR="000079EF" w:rsidRPr="003D7D2C" w:rsidRDefault="000079EF" w:rsidP="00FE6F3C">
            <w:pPr>
              <w:pStyle w:val="TabNumeri"/>
            </w:pPr>
            <w:r w:rsidRPr="003D7D2C">
              <w:t>[1]</w:t>
            </w:r>
          </w:p>
        </w:tc>
        <w:tc>
          <w:tcPr>
            <w:tcW w:w="794" w:type="dxa"/>
            <w:shd w:val="clear" w:color="auto" w:fill="F2F2F2"/>
          </w:tcPr>
          <w:p w:rsidR="000079EF" w:rsidRPr="003D7D2C" w:rsidRDefault="000079EF" w:rsidP="00FE6F3C">
            <w:pPr>
              <w:pStyle w:val="TabNumeri"/>
            </w:pPr>
            <w:r w:rsidRPr="003D7D2C">
              <w:t>1,3</w:t>
            </w:r>
          </w:p>
        </w:tc>
        <w:tc>
          <w:tcPr>
            <w:tcW w:w="340" w:type="dxa"/>
            <w:shd w:val="clear" w:color="auto" w:fill="F2F2F2"/>
          </w:tcPr>
          <w:p w:rsidR="000079EF" w:rsidRPr="003D7D2C" w:rsidRDefault="000079EF" w:rsidP="00FE6F3C">
            <w:pPr>
              <w:pStyle w:val="TabNumeri"/>
            </w:pPr>
            <w:r w:rsidRPr="003D7D2C">
              <w:t>[8]</w:t>
            </w:r>
          </w:p>
        </w:tc>
        <w:tc>
          <w:tcPr>
            <w:tcW w:w="794" w:type="dxa"/>
            <w:shd w:val="clear" w:color="auto" w:fill="F2F2F2"/>
          </w:tcPr>
          <w:p w:rsidR="000079EF" w:rsidRPr="0098223D" w:rsidRDefault="000079EF" w:rsidP="00FE6F3C">
            <w:pPr>
              <w:pStyle w:val="TabNumeri"/>
            </w:pPr>
            <w:r>
              <w:t>0,8</w:t>
            </w:r>
          </w:p>
        </w:tc>
        <w:tc>
          <w:tcPr>
            <w:tcW w:w="342" w:type="dxa"/>
            <w:shd w:val="clear" w:color="auto" w:fill="F2F2F2"/>
          </w:tcPr>
          <w:p w:rsidR="000079EF" w:rsidRPr="00D17697" w:rsidRDefault="000079EF" w:rsidP="00FE6F3C">
            <w:pPr>
              <w:pStyle w:val="TabNumeri"/>
            </w:pPr>
            <w:r>
              <w:t>[1]</w:t>
            </w:r>
          </w:p>
        </w:tc>
      </w:tr>
      <w:tr w:rsidR="000079EF" w:rsidTr="00FE6F3C">
        <w:tblPrEx>
          <w:tblBorders>
            <w:bottom w:val="none" w:sz="0" w:space="0" w:color="auto"/>
          </w:tblBorders>
        </w:tblPrEx>
        <w:trPr>
          <w:trHeight w:val="255"/>
        </w:trPr>
        <w:tc>
          <w:tcPr>
            <w:tcW w:w="2552" w:type="dxa"/>
          </w:tcPr>
          <w:p w:rsidR="000079EF" w:rsidRDefault="000079EF" w:rsidP="00FE6F3C">
            <w:pPr>
              <w:pStyle w:val="TabEtichette"/>
              <w:rPr>
                <w:rFonts w:eastAsia="Arial Unicode MS"/>
              </w:rPr>
            </w:pPr>
            <w:r>
              <w:t>Saldo c. cor. Bil Pag [c]</w:t>
            </w:r>
          </w:p>
        </w:tc>
        <w:tc>
          <w:tcPr>
            <w:tcW w:w="794" w:type="dxa"/>
          </w:tcPr>
          <w:p w:rsidR="000079EF" w:rsidRPr="003D7D2C" w:rsidRDefault="000079EF" w:rsidP="00FE6F3C">
            <w:pPr>
              <w:pStyle w:val="TabNumeri"/>
            </w:pPr>
            <w:r w:rsidRPr="003D7D2C">
              <w:t>n.d.</w:t>
            </w:r>
          </w:p>
        </w:tc>
        <w:tc>
          <w:tcPr>
            <w:tcW w:w="340" w:type="dxa"/>
          </w:tcPr>
          <w:p w:rsidR="000079EF" w:rsidRPr="003D7D2C" w:rsidRDefault="000079EF" w:rsidP="00FE6F3C">
            <w:pPr>
              <w:pStyle w:val="TabNumeri"/>
            </w:pPr>
          </w:p>
        </w:tc>
        <w:tc>
          <w:tcPr>
            <w:tcW w:w="794" w:type="dxa"/>
          </w:tcPr>
          <w:p w:rsidR="000079EF" w:rsidRPr="003D7D2C" w:rsidRDefault="000079EF" w:rsidP="00FE6F3C">
            <w:pPr>
              <w:pStyle w:val="TabNumeri"/>
            </w:pPr>
            <w:r w:rsidRPr="003D7D2C">
              <w:t>2,2</w:t>
            </w:r>
          </w:p>
        </w:tc>
        <w:tc>
          <w:tcPr>
            <w:tcW w:w="340" w:type="dxa"/>
          </w:tcPr>
          <w:p w:rsidR="000079EF" w:rsidRPr="003D7D2C" w:rsidRDefault="000079EF" w:rsidP="00FE6F3C">
            <w:pPr>
              <w:pStyle w:val="TabNumeri"/>
            </w:pPr>
          </w:p>
        </w:tc>
        <w:tc>
          <w:tcPr>
            <w:tcW w:w="794" w:type="dxa"/>
          </w:tcPr>
          <w:p w:rsidR="000079EF" w:rsidRPr="003D7D2C" w:rsidRDefault="000079EF" w:rsidP="00FE6F3C">
            <w:pPr>
              <w:pStyle w:val="TabNumeri"/>
            </w:pPr>
            <w:r w:rsidRPr="003D7D2C">
              <w:t>3,6</w:t>
            </w:r>
          </w:p>
        </w:tc>
        <w:tc>
          <w:tcPr>
            <w:tcW w:w="340" w:type="dxa"/>
          </w:tcPr>
          <w:p w:rsidR="000079EF" w:rsidRPr="003D7D2C" w:rsidRDefault="000079EF" w:rsidP="00FE6F3C">
            <w:pPr>
              <w:pStyle w:val="TabNumeri"/>
            </w:pPr>
            <w:r w:rsidRPr="003D7D2C">
              <w:t xml:space="preserve"> [5]</w:t>
            </w:r>
          </w:p>
        </w:tc>
        <w:tc>
          <w:tcPr>
            <w:tcW w:w="794" w:type="dxa"/>
          </w:tcPr>
          <w:p w:rsidR="000079EF" w:rsidRPr="003D7D2C" w:rsidRDefault="000079EF" w:rsidP="00FE6F3C">
            <w:pPr>
              <w:pStyle w:val="TabNumeri"/>
            </w:pPr>
            <w:r w:rsidRPr="003D7D2C">
              <w:t>2,1</w:t>
            </w:r>
          </w:p>
        </w:tc>
        <w:tc>
          <w:tcPr>
            <w:tcW w:w="340" w:type="dxa"/>
          </w:tcPr>
          <w:p w:rsidR="000079EF" w:rsidRPr="003D7D2C" w:rsidRDefault="000079EF" w:rsidP="00FE6F3C">
            <w:pPr>
              <w:pStyle w:val="TabNumeri"/>
            </w:pPr>
          </w:p>
        </w:tc>
        <w:tc>
          <w:tcPr>
            <w:tcW w:w="794" w:type="dxa"/>
          </w:tcPr>
          <w:p w:rsidR="000079EF" w:rsidRPr="003D7D2C" w:rsidRDefault="000079EF" w:rsidP="00FE6F3C">
            <w:pPr>
              <w:pStyle w:val="TabNumeri"/>
            </w:pPr>
            <w:r w:rsidRPr="003D7D2C">
              <w:t>2,2</w:t>
            </w:r>
          </w:p>
        </w:tc>
        <w:tc>
          <w:tcPr>
            <w:tcW w:w="340" w:type="dxa"/>
          </w:tcPr>
          <w:p w:rsidR="000079EF" w:rsidRPr="003D7D2C" w:rsidRDefault="000079EF" w:rsidP="00FE6F3C">
            <w:pPr>
              <w:pStyle w:val="TabNumeri"/>
            </w:pPr>
            <w:r w:rsidRPr="003D7D2C">
              <w:t>[4 7]</w:t>
            </w:r>
          </w:p>
        </w:tc>
        <w:tc>
          <w:tcPr>
            <w:tcW w:w="794" w:type="dxa"/>
          </w:tcPr>
          <w:p w:rsidR="000079EF" w:rsidRPr="0098223D" w:rsidRDefault="000079EF" w:rsidP="00FE6F3C">
            <w:pPr>
              <w:pStyle w:val="TabNumeri"/>
            </w:pPr>
            <w:r>
              <w:t>2,9</w:t>
            </w:r>
          </w:p>
        </w:tc>
        <w:tc>
          <w:tcPr>
            <w:tcW w:w="342" w:type="dxa"/>
          </w:tcPr>
          <w:p w:rsidR="000079EF" w:rsidRPr="00D17697" w:rsidRDefault="000079EF" w:rsidP="00FE6F3C">
            <w:pPr>
              <w:pStyle w:val="TabNumeri"/>
            </w:pPr>
          </w:p>
        </w:tc>
      </w:tr>
      <w:tr w:rsidR="00566C64" w:rsidTr="00EE7CE2">
        <w:tblPrEx>
          <w:tblBorders>
            <w:bottom w:val="none" w:sz="0" w:space="0" w:color="auto"/>
          </w:tblBorders>
        </w:tblPrEx>
        <w:trPr>
          <w:trHeight w:val="255"/>
        </w:trPr>
        <w:tc>
          <w:tcPr>
            <w:tcW w:w="2552" w:type="dxa"/>
            <w:shd w:val="clear" w:color="auto" w:fill="F2F2F2"/>
          </w:tcPr>
          <w:p w:rsidR="000079EF" w:rsidRDefault="000079EF" w:rsidP="00FE6F3C">
            <w:pPr>
              <w:pStyle w:val="TabEtichette"/>
              <w:rPr>
                <w:rFonts w:eastAsia="Arial Unicode MS"/>
              </w:rPr>
            </w:pPr>
            <w:r>
              <w:t>Avanzo primario [c]</w:t>
            </w:r>
          </w:p>
        </w:tc>
        <w:tc>
          <w:tcPr>
            <w:tcW w:w="794" w:type="dxa"/>
            <w:shd w:val="clear" w:color="auto" w:fill="F2F2F2"/>
          </w:tcPr>
          <w:p w:rsidR="000079EF" w:rsidRPr="003D7D2C" w:rsidRDefault="000079EF" w:rsidP="00FE6F3C">
            <w:pPr>
              <w:pStyle w:val="TabNumeri"/>
            </w:pPr>
            <w:r w:rsidRPr="003D7D2C">
              <w:t>1,5</w:t>
            </w:r>
          </w:p>
        </w:tc>
        <w:tc>
          <w:tcPr>
            <w:tcW w:w="340" w:type="dxa"/>
            <w:shd w:val="clear" w:color="auto" w:fill="F2F2F2"/>
          </w:tcPr>
          <w:p w:rsidR="000079EF" w:rsidRPr="003D7D2C" w:rsidRDefault="000079EF" w:rsidP="00FE6F3C">
            <w:pPr>
              <w:pStyle w:val="TabNumeri"/>
            </w:pPr>
          </w:p>
        </w:tc>
        <w:tc>
          <w:tcPr>
            <w:tcW w:w="794" w:type="dxa"/>
            <w:shd w:val="clear" w:color="auto" w:fill="F2F2F2"/>
          </w:tcPr>
          <w:p w:rsidR="000079EF" w:rsidRPr="003D7D2C" w:rsidRDefault="000079EF" w:rsidP="00FE6F3C">
            <w:pPr>
              <w:pStyle w:val="TabNumeri"/>
            </w:pPr>
            <w:r w:rsidRPr="003D7D2C">
              <w:t>1,3</w:t>
            </w:r>
          </w:p>
        </w:tc>
        <w:tc>
          <w:tcPr>
            <w:tcW w:w="340" w:type="dxa"/>
            <w:shd w:val="clear" w:color="auto" w:fill="F2F2F2"/>
          </w:tcPr>
          <w:p w:rsidR="000079EF" w:rsidRPr="003D7D2C" w:rsidRDefault="000079EF" w:rsidP="00FE6F3C">
            <w:pPr>
              <w:pStyle w:val="TabNumeri"/>
            </w:pPr>
          </w:p>
        </w:tc>
        <w:tc>
          <w:tcPr>
            <w:tcW w:w="794" w:type="dxa"/>
            <w:shd w:val="clear" w:color="auto" w:fill="F2F2F2"/>
          </w:tcPr>
          <w:p w:rsidR="000079EF" w:rsidRPr="003D7D2C" w:rsidRDefault="000079EF" w:rsidP="00FE6F3C">
            <w:pPr>
              <w:pStyle w:val="TabNumeri"/>
            </w:pPr>
            <w:r w:rsidRPr="003D7D2C">
              <w:t>1,6</w:t>
            </w:r>
          </w:p>
        </w:tc>
        <w:tc>
          <w:tcPr>
            <w:tcW w:w="340" w:type="dxa"/>
            <w:shd w:val="clear" w:color="auto" w:fill="F2F2F2"/>
          </w:tcPr>
          <w:p w:rsidR="000079EF" w:rsidRPr="003D7D2C" w:rsidRDefault="000079EF" w:rsidP="00FE6F3C">
            <w:pPr>
              <w:pStyle w:val="TabNumeri"/>
            </w:pPr>
          </w:p>
        </w:tc>
        <w:tc>
          <w:tcPr>
            <w:tcW w:w="794" w:type="dxa"/>
            <w:shd w:val="clear" w:color="auto" w:fill="F2F2F2"/>
          </w:tcPr>
          <w:p w:rsidR="000079EF" w:rsidRPr="003D7D2C" w:rsidRDefault="000079EF" w:rsidP="00FE6F3C">
            <w:pPr>
              <w:pStyle w:val="TabNumeri"/>
            </w:pPr>
            <w:r w:rsidRPr="003D7D2C">
              <w:t>1,5</w:t>
            </w:r>
          </w:p>
        </w:tc>
        <w:tc>
          <w:tcPr>
            <w:tcW w:w="340" w:type="dxa"/>
            <w:shd w:val="clear" w:color="auto" w:fill="F2F2F2"/>
          </w:tcPr>
          <w:p w:rsidR="000079EF" w:rsidRPr="003D7D2C" w:rsidRDefault="000079EF" w:rsidP="00FE6F3C">
            <w:pPr>
              <w:pStyle w:val="TabNumeri"/>
            </w:pPr>
          </w:p>
        </w:tc>
        <w:tc>
          <w:tcPr>
            <w:tcW w:w="794" w:type="dxa"/>
            <w:shd w:val="clear" w:color="auto" w:fill="F2F2F2"/>
          </w:tcPr>
          <w:p w:rsidR="000079EF" w:rsidRPr="003D7D2C" w:rsidRDefault="000079EF" w:rsidP="00FE6F3C">
            <w:pPr>
              <w:pStyle w:val="TabNumeri"/>
            </w:pPr>
            <w:r w:rsidRPr="003D7D2C">
              <w:t>1,1</w:t>
            </w:r>
          </w:p>
        </w:tc>
        <w:tc>
          <w:tcPr>
            <w:tcW w:w="340" w:type="dxa"/>
            <w:shd w:val="clear" w:color="auto" w:fill="F2F2F2"/>
          </w:tcPr>
          <w:p w:rsidR="000079EF" w:rsidRPr="003D7D2C" w:rsidRDefault="000079EF" w:rsidP="00FE6F3C">
            <w:pPr>
              <w:pStyle w:val="TabNumeri"/>
            </w:pPr>
            <w:r w:rsidRPr="003D7D2C">
              <w:t>[7]</w:t>
            </w:r>
          </w:p>
        </w:tc>
        <w:tc>
          <w:tcPr>
            <w:tcW w:w="794" w:type="dxa"/>
            <w:shd w:val="clear" w:color="auto" w:fill="F2F2F2"/>
          </w:tcPr>
          <w:p w:rsidR="000079EF" w:rsidRPr="0098223D" w:rsidRDefault="000079EF" w:rsidP="00FE6F3C">
            <w:pPr>
              <w:pStyle w:val="TabNumeri"/>
            </w:pPr>
            <w:r>
              <w:t>n.d.</w:t>
            </w:r>
          </w:p>
        </w:tc>
        <w:tc>
          <w:tcPr>
            <w:tcW w:w="342" w:type="dxa"/>
            <w:shd w:val="clear" w:color="auto" w:fill="F2F2F2"/>
          </w:tcPr>
          <w:p w:rsidR="000079EF" w:rsidRPr="00D17697" w:rsidRDefault="000079EF" w:rsidP="00FE6F3C">
            <w:pPr>
              <w:pStyle w:val="TabNumeri"/>
            </w:pPr>
          </w:p>
        </w:tc>
      </w:tr>
      <w:tr w:rsidR="000079EF" w:rsidTr="00FE6F3C">
        <w:tblPrEx>
          <w:tblBorders>
            <w:bottom w:val="none" w:sz="0" w:space="0" w:color="auto"/>
          </w:tblBorders>
        </w:tblPrEx>
        <w:trPr>
          <w:trHeight w:val="255"/>
        </w:trPr>
        <w:tc>
          <w:tcPr>
            <w:tcW w:w="2552" w:type="dxa"/>
          </w:tcPr>
          <w:p w:rsidR="000079EF" w:rsidRDefault="000079EF" w:rsidP="00FE6F3C">
            <w:pPr>
              <w:pStyle w:val="TabEtichette"/>
              <w:rPr>
                <w:rFonts w:eastAsia="Arial Unicode MS"/>
              </w:rPr>
            </w:pPr>
            <w:r>
              <w:t>Indebitamento A. P. [c]</w:t>
            </w:r>
          </w:p>
        </w:tc>
        <w:tc>
          <w:tcPr>
            <w:tcW w:w="794" w:type="dxa"/>
          </w:tcPr>
          <w:p w:rsidR="000079EF" w:rsidRPr="003D7D2C" w:rsidRDefault="000079EF" w:rsidP="00FE6F3C">
            <w:pPr>
              <w:pStyle w:val="TabNumeri"/>
            </w:pPr>
            <w:r w:rsidRPr="003D7D2C">
              <w:t>2,4</w:t>
            </w:r>
          </w:p>
        </w:tc>
        <w:tc>
          <w:tcPr>
            <w:tcW w:w="340" w:type="dxa"/>
          </w:tcPr>
          <w:p w:rsidR="000079EF" w:rsidRPr="003D7D2C" w:rsidRDefault="000079EF" w:rsidP="00FE6F3C">
            <w:pPr>
              <w:pStyle w:val="TabNumeri"/>
            </w:pPr>
          </w:p>
        </w:tc>
        <w:tc>
          <w:tcPr>
            <w:tcW w:w="794" w:type="dxa"/>
          </w:tcPr>
          <w:p w:rsidR="000079EF" w:rsidRPr="003D7D2C" w:rsidRDefault="000079EF" w:rsidP="00FE6F3C">
            <w:pPr>
              <w:pStyle w:val="TabNumeri"/>
            </w:pPr>
            <w:r w:rsidRPr="003D7D2C">
              <w:t>2,5</w:t>
            </w:r>
          </w:p>
        </w:tc>
        <w:tc>
          <w:tcPr>
            <w:tcW w:w="340" w:type="dxa"/>
          </w:tcPr>
          <w:p w:rsidR="000079EF" w:rsidRPr="003D7D2C" w:rsidRDefault="000079EF" w:rsidP="00FE6F3C">
            <w:pPr>
              <w:pStyle w:val="TabNumeri"/>
            </w:pPr>
          </w:p>
        </w:tc>
        <w:tc>
          <w:tcPr>
            <w:tcW w:w="794" w:type="dxa"/>
          </w:tcPr>
          <w:p w:rsidR="000079EF" w:rsidRPr="003D7D2C" w:rsidRDefault="000079EF" w:rsidP="00FE6F3C">
            <w:pPr>
              <w:pStyle w:val="TabNumeri"/>
            </w:pPr>
            <w:r w:rsidRPr="003D7D2C">
              <w:t>2,4</w:t>
            </w:r>
          </w:p>
        </w:tc>
        <w:tc>
          <w:tcPr>
            <w:tcW w:w="340" w:type="dxa"/>
          </w:tcPr>
          <w:p w:rsidR="000079EF" w:rsidRPr="003D7D2C" w:rsidRDefault="000079EF" w:rsidP="00FE6F3C">
            <w:pPr>
              <w:pStyle w:val="TabNumeri"/>
            </w:pPr>
          </w:p>
        </w:tc>
        <w:tc>
          <w:tcPr>
            <w:tcW w:w="794" w:type="dxa"/>
          </w:tcPr>
          <w:p w:rsidR="000079EF" w:rsidRPr="003D7D2C" w:rsidRDefault="000079EF" w:rsidP="00FE6F3C">
            <w:pPr>
              <w:pStyle w:val="TabNumeri"/>
            </w:pPr>
            <w:r w:rsidRPr="003D7D2C">
              <w:t>2,4</w:t>
            </w:r>
          </w:p>
        </w:tc>
        <w:tc>
          <w:tcPr>
            <w:tcW w:w="340" w:type="dxa"/>
          </w:tcPr>
          <w:p w:rsidR="000079EF" w:rsidRPr="003D7D2C" w:rsidRDefault="000079EF" w:rsidP="00FE6F3C">
            <w:pPr>
              <w:pStyle w:val="TabNumeri"/>
            </w:pPr>
          </w:p>
        </w:tc>
        <w:tc>
          <w:tcPr>
            <w:tcW w:w="794" w:type="dxa"/>
          </w:tcPr>
          <w:p w:rsidR="000079EF" w:rsidRPr="003D7D2C" w:rsidRDefault="000079EF" w:rsidP="00FE6F3C">
            <w:pPr>
              <w:pStyle w:val="TabNumeri"/>
            </w:pPr>
            <w:r w:rsidRPr="003D7D2C">
              <w:t>2,5</w:t>
            </w:r>
          </w:p>
        </w:tc>
        <w:tc>
          <w:tcPr>
            <w:tcW w:w="340" w:type="dxa"/>
          </w:tcPr>
          <w:p w:rsidR="000079EF" w:rsidRPr="003D7D2C" w:rsidRDefault="000079EF" w:rsidP="00FE6F3C">
            <w:pPr>
              <w:pStyle w:val="TabNumeri"/>
            </w:pPr>
            <w:r w:rsidRPr="003D7D2C">
              <w:t>[8]</w:t>
            </w:r>
          </w:p>
        </w:tc>
        <w:tc>
          <w:tcPr>
            <w:tcW w:w="794" w:type="dxa"/>
          </w:tcPr>
          <w:p w:rsidR="000079EF" w:rsidRPr="0098223D" w:rsidRDefault="000079EF" w:rsidP="00FE6F3C">
            <w:pPr>
              <w:pStyle w:val="TabNumeri"/>
            </w:pPr>
            <w:r>
              <w:t>2,3</w:t>
            </w:r>
          </w:p>
        </w:tc>
        <w:tc>
          <w:tcPr>
            <w:tcW w:w="342" w:type="dxa"/>
          </w:tcPr>
          <w:p w:rsidR="000079EF" w:rsidRPr="00D17697" w:rsidRDefault="000079EF" w:rsidP="00FE6F3C">
            <w:pPr>
              <w:pStyle w:val="TabNumeri"/>
            </w:pPr>
          </w:p>
        </w:tc>
      </w:tr>
      <w:tr w:rsidR="00566C64" w:rsidTr="00EE7CE2">
        <w:tblPrEx>
          <w:tblBorders>
            <w:bottom w:val="none" w:sz="0" w:space="0" w:color="auto"/>
          </w:tblBorders>
        </w:tblPrEx>
        <w:trPr>
          <w:trHeight w:val="255"/>
        </w:trPr>
        <w:tc>
          <w:tcPr>
            <w:tcW w:w="2552" w:type="dxa"/>
            <w:shd w:val="clear" w:color="auto" w:fill="F2F2F2"/>
          </w:tcPr>
          <w:p w:rsidR="000079EF" w:rsidRDefault="000079EF" w:rsidP="00FE6F3C">
            <w:pPr>
              <w:pStyle w:val="TabEtichette"/>
              <w:rPr>
                <w:rFonts w:eastAsia="Arial Unicode MS"/>
              </w:rPr>
            </w:pPr>
            <w:r>
              <w:t>Debito A. Pubblica [c]</w:t>
            </w:r>
          </w:p>
        </w:tc>
        <w:tc>
          <w:tcPr>
            <w:tcW w:w="794" w:type="dxa"/>
            <w:shd w:val="clear" w:color="auto" w:fill="F2F2F2"/>
          </w:tcPr>
          <w:p w:rsidR="000079EF" w:rsidRPr="003D7D2C" w:rsidRDefault="000079EF" w:rsidP="00FE6F3C">
            <w:pPr>
              <w:pStyle w:val="TabNumeri"/>
            </w:pPr>
            <w:r w:rsidRPr="003D7D2C">
              <w:t>132,6</w:t>
            </w:r>
          </w:p>
        </w:tc>
        <w:tc>
          <w:tcPr>
            <w:tcW w:w="340" w:type="dxa"/>
            <w:shd w:val="clear" w:color="auto" w:fill="F2F2F2"/>
          </w:tcPr>
          <w:p w:rsidR="000079EF" w:rsidRPr="003D7D2C" w:rsidRDefault="000079EF" w:rsidP="00FE6F3C">
            <w:pPr>
              <w:pStyle w:val="TabNumeri"/>
            </w:pPr>
          </w:p>
        </w:tc>
        <w:tc>
          <w:tcPr>
            <w:tcW w:w="794" w:type="dxa"/>
            <w:shd w:val="clear" w:color="auto" w:fill="F2F2F2"/>
          </w:tcPr>
          <w:p w:rsidR="000079EF" w:rsidRPr="003D7D2C" w:rsidRDefault="000079EF" w:rsidP="00FE6F3C">
            <w:pPr>
              <w:pStyle w:val="TabNumeri"/>
            </w:pPr>
            <w:r w:rsidRPr="003D7D2C">
              <w:t>133,2</w:t>
            </w:r>
          </w:p>
        </w:tc>
        <w:tc>
          <w:tcPr>
            <w:tcW w:w="340" w:type="dxa"/>
            <w:shd w:val="clear" w:color="auto" w:fill="F2F2F2"/>
          </w:tcPr>
          <w:p w:rsidR="000079EF" w:rsidRPr="003D7D2C" w:rsidRDefault="000079EF" w:rsidP="00FE6F3C">
            <w:pPr>
              <w:pStyle w:val="TabNumeri"/>
            </w:pPr>
          </w:p>
        </w:tc>
        <w:tc>
          <w:tcPr>
            <w:tcW w:w="794" w:type="dxa"/>
            <w:shd w:val="clear" w:color="auto" w:fill="F2F2F2"/>
          </w:tcPr>
          <w:p w:rsidR="000079EF" w:rsidRPr="003D7D2C" w:rsidRDefault="000079EF" w:rsidP="00FE6F3C">
            <w:pPr>
              <w:pStyle w:val="TabNumeri"/>
            </w:pPr>
            <w:r w:rsidRPr="003D7D2C">
              <w:t>132,7</w:t>
            </w:r>
          </w:p>
        </w:tc>
        <w:tc>
          <w:tcPr>
            <w:tcW w:w="340" w:type="dxa"/>
            <w:shd w:val="clear" w:color="auto" w:fill="F2F2F2"/>
          </w:tcPr>
          <w:p w:rsidR="000079EF" w:rsidRPr="003D7D2C" w:rsidRDefault="000079EF" w:rsidP="00FE6F3C">
            <w:pPr>
              <w:pStyle w:val="TabNumeri"/>
            </w:pPr>
          </w:p>
        </w:tc>
        <w:tc>
          <w:tcPr>
            <w:tcW w:w="794" w:type="dxa"/>
            <w:shd w:val="clear" w:color="auto" w:fill="F2F2F2"/>
          </w:tcPr>
          <w:p w:rsidR="000079EF" w:rsidRPr="003D7D2C" w:rsidRDefault="000079EF" w:rsidP="00FE6F3C">
            <w:pPr>
              <w:pStyle w:val="TabNumeri"/>
            </w:pPr>
            <w:r w:rsidRPr="003D7D2C">
              <w:t>133,3</w:t>
            </w:r>
          </w:p>
        </w:tc>
        <w:tc>
          <w:tcPr>
            <w:tcW w:w="340" w:type="dxa"/>
            <w:shd w:val="clear" w:color="auto" w:fill="F2F2F2"/>
          </w:tcPr>
          <w:p w:rsidR="000079EF" w:rsidRPr="003D7D2C" w:rsidRDefault="000079EF" w:rsidP="00FE6F3C">
            <w:pPr>
              <w:pStyle w:val="TabNumeri"/>
            </w:pPr>
          </w:p>
        </w:tc>
        <w:tc>
          <w:tcPr>
            <w:tcW w:w="794" w:type="dxa"/>
            <w:shd w:val="clear" w:color="auto" w:fill="F2F2F2"/>
          </w:tcPr>
          <w:p w:rsidR="000079EF" w:rsidRPr="003D7D2C" w:rsidRDefault="000079EF" w:rsidP="00FE6F3C">
            <w:pPr>
              <w:pStyle w:val="TabNumeri"/>
            </w:pPr>
            <w:r w:rsidRPr="003D7D2C">
              <w:t>133,4</w:t>
            </w:r>
          </w:p>
        </w:tc>
        <w:tc>
          <w:tcPr>
            <w:tcW w:w="340" w:type="dxa"/>
            <w:shd w:val="clear" w:color="auto" w:fill="F2F2F2"/>
          </w:tcPr>
          <w:p w:rsidR="000079EF" w:rsidRPr="003D7D2C" w:rsidRDefault="000079EF" w:rsidP="00FE6F3C">
            <w:pPr>
              <w:pStyle w:val="TabNumeri"/>
            </w:pPr>
            <w:r w:rsidRPr="003D7D2C">
              <w:t>[7]</w:t>
            </w:r>
          </w:p>
        </w:tc>
        <w:tc>
          <w:tcPr>
            <w:tcW w:w="794" w:type="dxa"/>
            <w:shd w:val="clear" w:color="auto" w:fill="F2F2F2"/>
          </w:tcPr>
          <w:p w:rsidR="000079EF" w:rsidRDefault="000079EF" w:rsidP="00FE6F3C">
            <w:pPr>
              <w:pStyle w:val="TabNumeri"/>
            </w:pPr>
            <w:r>
              <w:t>132,7</w:t>
            </w:r>
          </w:p>
        </w:tc>
        <w:tc>
          <w:tcPr>
            <w:tcW w:w="342" w:type="dxa"/>
            <w:shd w:val="clear" w:color="auto" w:fill="F2F2F2"/>
          </w:tcPr>
          <w:p w:rsidR="000079EF" w:rsidRDefault="000079EF" w:rsidP="00FE6F3C">
            <w:pPr>
              <w:pStyle w:val="TabNumeri"/>
            </w:pPr>
          </w:p>
        </w:tc>
      </w:tr>
      <w:tr w:rsidR="000079EF" w:rsidRPr="004A56D7" w:rsidTr="00FE6F3C">
        <w:tblPrEx>
          <w:tblBorders>
            <w:bottom w:val="none" w:sz="0" w:space="0" w:color="auto"/>
          </w:tblBorders>
        </w:tblPrEx>
        <w:tc>
          <w:tcPr>
            <w:tcW w:w="9358" w:type="dxa"/>
            <w:gridSpan w:val="13"/>
            <w:tcBorders>
              <w:top w:val="single" w:sz="4" w:space="0" w:color="A50021"/>
            </w:tcBorders>
          </w:tcPr>
          <w:p w:rsidR="000079EF" w:rsidRPr="003D7D2C" w:rsidRDefault="000079EF" w:rsidP="00FE6F3C">
            <w:pPr>
              <w:pStyle w:val="TabNoteSuperiori"/>
            </w:pPr>
            <w:r w:rsidRPr="003D7D2C">
              <w:t>[a] Unità di lavoro standard. [b] Tasso percentuale. [c] Percentuale sul Pil. [1] Tasso di inflazione armonizzato Ue. [2] Deflattore dei consumi privati. [3] Programmata. [4] Saldo conto corrente e conto capitale (in % del Pil). [5] Saldo commerciale (in % del Pil). [6] Investment in equipment. [7] Rapporto di previsione, 20/12/2016. [8] Aggiornamento del Rapporto di previsione, 15/2/</w:t>
            </w:r>
            <w:r w:rsidRPr="003D7D2C">
              <w:fldChar w:fldCharType="begin"/>
            </w:r>
            <w:r w:rsidRPr="003D7D2C">
              <w:instrText xml:space="preserve"> DATE  \@ "yyyy"  \* MERGEFORMAT </w:instrText>
            </w:r>
            <w:r w:rsidRPr="003D7D2C">
              <w:fldChar w:fldCharType="separate"/>
            </w:r>
            <w:r w:rsidR="00762F0B">
              <w:rPr>
                <w:noProof/>
              </w:rPr>
              <w:t>2017</w:t>
            </w:r>
            <w:r w:rsidRPr="003D7D2C">
              <w:fldChar w:fldCharType="end"/>
            </w:r>
            <w:r w:rsidRPr="003D7D2C">
              <w:t xml:space="preserve">. [9] Dato relativo al solo Pil tratto da Imf, World Economic Outlook Update, 16 gennaio </w:t>
            </w:r>
            <w:r w:rsidRPr="003D7D2C">
              <w:fldChar w:fldCharType="begin"/>
            </w:r>
            <w:r w:rsidRPr="003D7D2C">
              <w:instrText xml:space="preserve"> DATE  \@ "yyyy"  \* MERGEFORMAT </w:instrText>
            </w:r>
            <w:r w:rsidRPr="003D7D2C">
              <w:fldChar w:fldCharType="separate"/>
            </w:r>
            <w:r w:rsidR="00762F0B">
              <w:rPr>
                <w:noProof/>
              </w:rPr>
              <w:t>2017</w:t>
            </w:r>
            <w:r w:rsidRPr="003D7D2C">
              <w:fldChar w:fldCharType="end"/>
            </w:r>
            <w:r w:rsidRPr="003D7D2C">
              <w:t>. [10] Solo macchinari e attrezature.</w:t>
            </w:r>
          </w:p>
          <w:p w:rsidR="000079EF" w:rsidRPr="003D7D2C" w:rsidRDefault="000079EF" w:rsidP="00FE6F3C">
            <w:pPr>
              <w:pStyle w:val="TabNoteInferiori"/>
            </w:pPr>
            <w:r w:rsidRPr="003D7D2C">
              <w:t>Fonte Istat, Pil e indebitamento AP, Prezzi al consumo, Mercato del lavoro ; Fmi, World Economic Outlook; Centro Studi Confind</w:t>
            </w:r>
            <w:r w:rsidRPr="003D7D2C">
              <w:t>u</w:t>
            </w:r>
            <w:r w:rsidRPr="003D7D2C">
              <w:t>stria, Scenari economici; Prometeia, Rapporto di Previsione e Aggiornamento del rapporto di previsione; Europen Commission, E</w:t>
            </w:r>
            <w:r w:rsidRPr="003D7D2C">
              <w:t>u</w:t>
            </w:r>
            <w:r w:rsidRPr="003D7D2C">
              <w:t xml:space="preserve">ropean Economic Forecast, Winter </w:t>
            </w:r>
            <w:r w:rsidRPr="003D7D2C">
              <w:fldChar w:fldCharType="begin"/>
            </w:r>
            <w:r w:rsidRPr="003D7D2C">
              <w:instrText xml:space="preserve"> DATE  \@ "yyyy"  \* MERGEFORMAT </w:instrText>
            </w:r>
            <w:r w:rsidRPr="003D7D2C">
              <w:fldChar w:fldCharType="separate"/>
            </w:r>
            <w:r w:rsidR="00762F0B">
              <w:rPr>
                <w:noProof/>
              </w:rPr>
              <w:t>2017</w:t>
            </w:r>
            <w:r w:rsidRPr="003D7D2C">
              <w:fldChar w:fldCharType="end"/>
            </w:r>
            <w:r w:rsidRPr="003D7D2C">
              <w:t xml:space="preserve">; Oecd, Economic Survey of Italy </w:t>
            </w:r>
          </w:p>
        </w:tc>
      </w:tr>
    </w:tbl>
    <w:p w:rsidR="004618CE" w:rsidRPr="004618CE" w:rsidRDefault="004618CE" w:rsidP="00D95582">
      <w:r w:rsidRPr="004618CE">
        <w:t>Il costo del credito si collocava su livelli minimi nel confronto storico a novembre 2016. Il tasso medio sui nuovi prestiti alle imprese è sceso all’1,6 per cento. Il costo dei nuovi mutui è sceso al 2,2 per cento per le erogazioni a tasso fisso e all’1,7 per cento per quelle a tasso variabile. Il differenziale con l’area dell’euro si è mantenuto su valori prossimi allo zero per i prestiti alle imprese ed è lievemente aumentato per quelli alle famiglie.</w:t>
      </w:r>
    </w:p>
    <w:p w:rsidR="004618CE" w:rsidRPr="004618CE" w:rsidRDefault="004618CE" w:rsidP="00346F88">
      <w:r w:rsidRPr="004618CE">
        <w:t>Continua a ridursi, ma resta elevata la consistenza dei crediti in sofferenza ereditati dalla lunga crisi. Il flusso di nuovi prestiti deteriorati in rapporto ai finanziamenti in essere è sceso ulteriormente, sui valori minimi dalla fine del 2008.</w:t>
      </w:r>
    </w:p>
    <w:p w:rsidR="004618CE" w:rsidRPr="004618CE" w:rsidRDefault="004618CE" w:rsidP="0056538B">
      <w:r w:rsidRPr="004618CE">
        <w:t>Come sottolineato dal Bollettino economico, il Governo ha autorizzato il finanziamento di eventuali interventi di concessione di garanzie o di rafforzamento patrimoniale a sostegno di banche o gruppi bancari italiani; procederà alla ricapitalizzazione precauzionale chiesta da Banca Monte dei Paschi di Siena, nel rispetto del quadro europeo in tema di risanamento e risoluzione delle crisi bancarie e di aiuti di Stato.</w:t>
      </w:r>
    </w:p>
    <w:p w:rsidR="004618CE" w:rsidRDefault="004618CE" w:rsidP="00890B91">
      <w:pPr>
        <w:pStyle w:val="Titolo4"/>
      </w:pPr>
      <w:bookmarkStart w:id="5" w:name="_Toc469060255"/>
      <w:r>
        <w:lastRenderedPageBreak/>
        <w:t>Finanza pubblica</w:t>
      </w:r>
      <w:bookmarkEnd w:id="5"/>
    </w:p>
    <w:p w:rsidR="004618CE" w:rsidRPr="00DB344E" w:rsidRDefault="004618CE" w:rsidP="00240360">
      <w:r w:rsidRPr="004618CE">
        <w:t xml:space="preserve">Il deficit pubblico in rapporto al prodotto interno lordo si è ridotto </w:t>
      </w:r>
      <w:r w:rsidRPr="00DB344E">
        <w:t>al 2,4 per cento nel 2016, grazie a un marginale aumento dell’avanzo primario e soprattutto a una lieve ulteriore diminuzione della spesa per interessi sul debito pubblico, effetto della gestione del debito e dell’intervento sui tassi e della politica di espansione monetaria della Banca centrale europea.</w:t>
      </w:r>
    </w:p>
    <w:p w:rsidR="004618CE" w:rsidRPr="00DB344E" w:rsidRDefault="004618CE" w:rsidP="00240360">
      <w:r w:rsidRPr="00DB344E">
        <w:t>In dettaglio, la spesa complessiva si è ridotta di uno 0,1 per cento, per effetto di un aumento delle spese correnti dell’1,3 per cento e di una riduzione delle spese in conto capitale del 15,6 per cento.</w:t>
      </w:r>
    </w:p>
    <w:p w:rsidR="004618CE" w:rsidRPr="00DB344E" w:rsidRDefault="004618CE" w:rsidP="00240360">
      <w:r w:rsidRPr="00DB344E">
        <w:t>L’aumento delle entrate è risultato dello 0,4 per cento, inferiore alla crescita del prodotto interno lordo in termini nominali, permettendo una diminuzione della pressione fiscale al 42,9 per cento.</w:t>
      </w:r>
    </w:p>
    <w:p w:rsidR="004618CE" w:rsidRPr="004618CE" w:rsidRDefault="004618CE" w:rsidP="00240360">
      <w:r w:rsidRPr="00DB344E">
        <w:t>Secondo le più recenti previsioni, nel 2017 il disavanzo pubblico dovrebbe stabilizzarsi attorno al 2,4 per cento del prodotto interno lordo, proseguendo opportunamente nel sostegno della crescita</w:t>
      </w:r>
      <w:r w:rsidRPr="004618CE">
        <w:t xml:space="preserve"> economica, per effetto di una compensazione di una lieve riduzione dell’avanzo primario con un’ulteriore leggera diminuzione dell’onere per interessi. La direzione di quest’ultima variazione appare comunque soggetta a rischio di valutazione in futuro a fronte dell’effetto sui mercati internazionali di una possibile maggiore velocità nel processo di normalizzazione dei tassi da parte della Federal Reserve nel corso del 2017.</w:t>
      </w:r>
    </w:p>
    <w:p w:rsidR="004618CE" w:rsidRPr="004618CE" w:rsidRDefault="004618CE" w:rsidP="00240360">
      <w:r w:rsidRPr="004618CE">
        <w:t>Nel 2016 il debito pubblico in rapporto al Pil è aumentato ancora, raggiungendo il 132,6 per cento. Nel 2017 una nuova crescita potrebbe risultare contenuta per effetto di un’ulteriore riduzione della spesa per interessi e da un aumento delle entrate derivante da una maggiore crescita del prodotto interno lordo nominale, nonostante un ulteriore declino della pressione fiscale. Si verrà cosi a determinare una stabilizzazione del rapporto sui livelli raggiunti o un suo lieve declino.</w:t>
      </w:r>
    </w:p>
    <w:p w:rsidR="00F858D8" w:rsidRDefault="00CF2079" w:rsidP="00F858D8">
      <w:pPr>
        <w:pStyle w:val="Titolo2"/>
      </w:pPr>
      <w:r>
        <w:t>X</w:t>
      </w:r>
      <w:r w:rsidR="00F858D8">
        <w:t>.</w:t>
      </w:r>
      <w:r w:rsidR="00FB413C">
        <w:t>4</w:t>
      </w:r>
      <w:r w:rsidR="00F858D8">
        <w:t>.</w:t>
      </w:r>
      <w:r w:rsidR="00F858D8">
        <w:tab/>
      </w:r>
      <w:bookmarkStart w:id="6" w:name="OLE_LINK1"/>
      <w:r w:rsidR="00F858D8">
        <w:t>Il quadro regionale</w:t>
      </w:r>
      <w:bookmarkEnd w:id="6"/>
    </w:p>
    <w:p w:rsidR="00DB344E" w:rsidRDefault="00DB344E" w:rsidP="001F4DC8">
      <w:pPr>
        <w:pStyle w:val="Titolo4"/>
      </w:pPr>
      <w:r>
        <w:t>Pil e conto economico</w:t>
      </w:r>
    </w:p>
    <w:tbl>
      <w:tblPr>
        <w:tblpPr w:topFromText="284" w:horzAnchor="margin" w:tblpXSpec="center" w:tblpYSpec="bottom"/>
        <w:tblOverlap w:val="never"/>
        <w:tblW w:w="0" w:type="auto"/>
        <w:tblLayout w:type="fixed"/>
        <w:tblCellMar>
          <w:left w:w="0" w:type="dxa"/>
          <w:right w:w="0" w:type="dxa"/>
        </w:tblCellMar>
        <w:tblLook w:val="04A0" w:firstRow="1" w:lastRow="0" w:firstColumn="1" w:lastColumn="0" w:noHBand="0" w:noVBand="1"/>
      </w:tblPr>
      <w:tblGrid>
        <w:gridCol w:w="9356"/>
      </w:tblGrid>
      <w:tr w:rsidR="00566C64" w:rsidTr="00EE7CE2">
        <w:tc>
          <w:tcPr>
            <w:tcW w:w="9356" w:type="dxa"/>
            <w:shd w:val="clear" w:color="auto" w:fill="auto"/>
          </w:tcPr>
          <w:p w:rsidR="007D7338" w:rsidRDefault="007D7338" w:rsidP="00EE7CE2">
            <w:pPr>
              <w:pStyle w:val="FigTitolo"/>
              <w:ind w:left="1134" w:hanging="1134"/>
            </w:pPr>
            <w:r>
              <w:t xml:space="preserve">Previsione regionale e </w:t>
            </w:r>
            <w:r w:rsidRPr="00366816">
              <w:t>nazionale</w:t>
            </w:r>
            <w:r>
              <w:t>: tasso di variazione e numero indice del Pil (2000=100)</w:t>
            </w:r>
          </w:p>
          <w:p w:rsidR="007D7338" w:rsidRDefault="00762F0B" w:rsidP="00EE7CE2">
            <w:pPr>
              <w:pStyle w:val="Figure"/>
            </w:pPr>
            <w:r w:rsidRPr="00AD0198">
              <w:rPr>
                <w:noProof/>
              </w:rPr>
              <w:drawing>
                <wp:inline distT="0" distB="0" distL="0" distR="0" wp14:anchorId="0AF4B587" wp14:editId="68E4B18A">
                  <wp:extent cx="5904000" cy="2340000"/>
                  <wp:effectExtent l="0" t="0" r="1905" b="3175"/>
                  <wp:docPr id="9" name="Gra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7D7338" w:rsidRDefault="007D7338" w:rsidP="00EE7CE2">
            <w:pPr>
              <w:pStyle w:val="TabNoteInferiori"/>
            </w:pPr>
            <w:r w:rsidRPr="0029075E">
              <w:t xml:space="preserve">Fonte: </w:t>
            </w:r>
            <w:r w:rsidRPr="00B60C06">
              <w:t xml:space="preserve">elaborazione Unioncamere E.R. su dati Prometeia, Scenari per le economie locali, gennaio </w:t>
            </w:r>
            <w:r>
              <w:fldChar w:fldCharType="begin"/>
            </w:r>
            <w:r>
              <w:instrText xml:space="preserve"> DATE  \@ "yyyy"  \* MERGEFORMAT </w:instrText>
            </w:r>
            <w:r>
              <w:fldChar w:fldCharType="separate"/>
            </w:r>
            <w:r w:rsidR="00762F0B">
              <w:rPr>
                <w:noProof/>
              </w:rPr>
              <w:t>2017</w:t>
            </w:r>
            <w:r>
              <w:fldChar w:fldCharType="end"/>
            </w:r>
            <w:r>
              <w:t>.</w:t>
            </w:r>
          </w:p>
        </w:tc>
      </w:tr>
    </w:tbl>
    <w:p w:rsidR="00DB344E" w:rsidRDefault="00DB344E" w:rsidP="00EB4E86">
      <w:r>
        <w:t>La crescita stimata del prodotto interno lordo per il 2016 dovrebbe essere stata dell’1,4 per cento, ma quella attesa nel 2017 non dovrebbe andare oltre l’1,1 per cento. Con questo ritmo di crescita più contenuto il Pil regionale nel 2017 dovrebbe risultare superiore del 5,7 per cento rispetto ai livelli minimi toccati al culmine della crisi nel 2009. L’andamento regionale risulta leggermente migliore rispetto a quello non brillante prospettato per la ripresa nazionale.</w:t>
      </w:r>
    </w:p>
    <w:p w:rsidR="00DB344E" w:rsidRDefault="00DB344E" w:rsidP="00EB4E86">
      <w:r>
        <w:t xml:space="preserve">La ripresa della domanda interna regionale dovrebbe avere trainato la crescita nel 2016, con un andamento lievemente superiore rispetto a quello riferito al Pil, ma dovrebbe perdere slancio nel 2017. Nel 2016 i consumi dovrebbero avere confermato la tendenza positiva (+1,7 per cento), ma secondo le stime correnti, questa risulterà molto più contenuta nel 2017. L’effetto cumulato della crisi appare comunque evidente. Nonostante la ripresa, nel 2017 i consumi privati aggregati risulteranno sostanzialmente analoghi rispetto al picco del 2011, ma con un livello di ineguaglianza probabilmente più elevato. Gli investimenti fissi lordi dovrebbero avere consolidato la leggera tendenza alla ripresa nel 2016, ma nel corso del 2017 l’incertezza a livello internazionale e nazionale, anche da un punto di vista politico, ne conterrà sensibilmente la ripresa (+1,6 per cento), subiranno quindi gli effetti del leggero peggioramento negli ultimi dodici mesi del buon clima di fiducia delle imprese e dello stop all’allentamento </w:t>
      </w:r>
      <w:r>
        <w:lastRenderedPageBreak/>
        <w:t>della stretta creditizia, nonostante le agevolazioni fiscali. I livelli di accumulazione raggiunti prima della crisi restano lontanissimi. Nel 2017 gli investimenti risulteranno inferiori del 28,9 per cento rispetto a quelli riferiti al precedente massimo risalente al 2008.</w:t>
      </w:r>
    </w:p>
    <w:p w:rsidR="00DB344E" w:rsidRPr="009F0E61" w:rsidRDefault="00DB344E" w:rsidP="00EB4E86">
      <w:r>
        <w:t>La frenata della crescita del commercio mondiale dovrebbe avere fortemente ridotto la dinamica delle esportazioni nel 2016 (+1,9 per cento), nonostante tutto un livello superiore alla tendenza sperimentata a livello nazionale. La lenta ripresa del commercio mondiale e le incertezze a livello europeo conterranno l’accelerazione della dinamica delle esportazioni nel 2017 (+3,4 per cento), nonostante il permanere del cambio su livelli atti a sostenere la competitività delle imprese. Al termine del 2017 il valore reale delle esportazioni regionali dovrebbe superare dell’16,1 per cento il livello massimo precedente la crisi, toccato nel 2007. Si tratta di un dato che conferma la crescente importanza dei mercati esteri per l’economia regionale e la grande capacità di una parte delle imprese di operare competitivamente su di essi. Mostra, però, anche le enormi difficoltà cui andrebbe incontro il sistema economico regionale nel caso in cui gli effetti di restrizioni sui mercati internazionali non potessero essere controbilanciati da un’adeguata domanda interna. Con la ripresa, nel 2016, dovrebbe avere trovato conferma la forte dinamica della crescita delle importazioni (+4,6 per cento), che non dipendono solo dai consumi, ma sono altresì un input del sistema produttivo, che dovrebbe essere andata ben al di là di quella delle esportazioni. Per il 2017, il modello di previsione se ne attende un forte rallentamento.</w:t>
      </w:r>
    </w:p>
    <w:p w:rsidR="00DB344E" w:rsidRDefault="00DB344E" w:rsidP="001F4DC8">
      <w:pPr>
        <w:pStyle w:val="Titolo4"/>
      </w:pPr>
      <w:r>
        <w:t>La formazione del valore aggiunto: i settori</w:t>
      </w:r>
    </w:p>
    <w:tbl>
      <w:tblPr>
        <w:tblpPr w:topFromText="425" w:bottomFromText="425" w:horzAnchor="margin" w:tblpXSpec="center" w:tblpYSpec="bottom"/>
        <w:tblOverlap w:val="never"/>
        <w:tblW w:w="9356" w:type="dxa"/>
        <w:tblLayout w:type="fixed"/>
        <w:tblCellMar>
          <w:left w:w="0" w:type="dxa"/>
          <w:right w:w="0" w:type="dxa"/>
        </w:tblCellMar>
        <w:tblLook w:val="0000" w:firstRow="0" w:lastRow="0" w:firstColumn="0" w:lastColumn="0" w:noHBand="0" w:noVBand="0"/>
      </w:tblPr>
      <w:tblGrid>
        <w:gridCol w:w="4820"/>
        <w:gridCol w:w="1134"/>
        <w:gridCol w:w="1134"/>
        <w:gridCol w:w="1134"/>
        <w:gridCol w:w="1134"/>
      </w:tblGrid>
      <w:tr w:rsidR="007D7338" w:rsidTr="00FE6F3C">
        <w:tc>
          <w:tcPr>
            <w:tcW w:w="9356" w:type="dxa"/>
            <w:gridSpan w:val="5"/>
            <w:tcBorders>
              <w:bottom w:val="single" w:sz="4" w:space="0" w:color="800000"/>
            </w:tcBorders>
          </w:tcPr>
          <w:p w:rsidR="007D7338" w:rsidRPr="007C570B" w:rsidRDefault="007D7338" w:rsidP="00A71672">
            <w:pPr>
              <w:pStyle w:val="TabTitolo"/>
              <w:ind w:left="1134" w:hanging="1134"/>
            </w:pPr>
            <w:r>
              <w:t>Il quadro regionale. Tassi di variazione percentuali</w:t>
            </w:r>
            <w:r w:rsidRPr="007C570B">
              <w:t xml:space="preserve"> su valori </w:t>
            </w:r>
            <w:r>
              <w:t>concatenati, anno di riferim</w:t>
            </w:r>
            <w:r w:rsidR="00A71672">
              <w:t>ento</w:t>
            </w:r>
            <w:r>
              <w:t xml:space="preserve"> 2010</w:t>
            </w:r>
          </w:p>
        </w:tc>
      </w:tr>
      <w:tr w:rsidR="007D7338" w:rsidTr="00FE6F3C">
        <w:tc>
          <w:tcPr>
            <w:tcW w:w="4820" w:type="dxa"/>
            <w:tcBorders>
              <w:bottom w:val="single" w:sz="4" w:space="0" w:color="800000"/>
            </w:tcBorders>
            <w:vAlign w:val="bottom"/>
          </w:tcPr>
          <w:p w:rsidR="007D7338" w:rsidRDefault="007D7338" w:rsidP="00FE6F3C">
            <w:pPr>
              <w:pStyle w:val="TabIntestazioni"/>
              <w:rPr>
                <w:rFonts w:eastAsia="Arial Unicode MS"/>
              </w:rPr>
            </w:pPr>
          </w:p>
        </w:tc>
        <w:tc>
          <w:tcPr>
            <w:tcW w:w="1134" w:type="dxa"/>
            <w:tcBorders>
              <w:bottom w:val="single" w:sz="4" w:space="0" w:color="800000"/>
            </w:tcBorders>
            <w:vAlign w:val="bottom"/>
          </w:tcPr>
          <w:p w:rsidR="007D7338" w:rsidRDefault="007D7338" w:rsidP="00FE6F3C">
            <w:pPr>
              <w:pStyle w:val="TabIntestazioni"/>
            </w:pPr>
            <w:r>
              <w:t>2015</w:t>
            </w:r>
          </w:p>
        </w:tc>
        <w:tc>
          <w:tcPr>
            <w:tcW w:w="1134" w:type="dxa"/>
            <w:tcBorders>
              <w:bottom w:val="single" w:sz="4" w:space="0" w:color="800000"/>
            </w:tcBorders>
            <w:vAlign w:val="bottom"/>
          </w:tcPr>
          <w:p w:rsidR="007D7338" w:rsidRDefault="007D7338" w:rsidP="00FE6F3C">
            <w:pPr>
              <w:pStyle w:val="TabIntestazioni"/>
            </w:pPr>
            <w:r>
              <w:t>2016</w:t>
            </w:r>
          </w:p>
        </w:tc>
        <w:tc>
          <w:tcPr>
            <w:tcW w:w="1134" w:type="dxa"/>
            <w:tcBorders>
              <w:bottom w:val="single" w:sz="4" w:space="0" w:color="800000"/>
            </w:tcBorders>
            <w:vAlign w:val="bottom"/>
          </w:tcPr>
          <w:p w:rsidR="007D7338" w:rsidRDefault="007D7338" w:rsidP="00FE6F3C">
            <w:pPr>
              <w:pStyle w:val="TabIntestazioni"/>
            </w:pPr>
            <w:r>
              <w:t>2017</w:t>
            </w:r>
          </w:p>
        </w:tc>
        <w:tc>
          <w:tcPr>
            <w:tcW w:w="1134" w:type="dxa"/>
            <w:tcBorders>
              <w:bottom w:val="single" w:sz="4" w:space="0" w:color="800000"/>
            </w:tcBorders>
            <w:vAlign w:val="bottom"/>
          </w:tcPr>
          <w:p w:rsidR="007D7338" w:rsidRDefault="007D7338" w:rsidP="00FE6F3C">
            <w:pPr>
              <w:pStyle w:val="TabIntestazioni"/>
            </w:pPr>
            <w:r>
              <w:t>2018</w:t>
            </w:r>
          </w:p>
        </w:tc>
      </w:tr>
      <w:tr w:rsidR="007D7338" w:rsidTr="00FE6F3C">
        <w:trPr>
          <w:trHeight w:hRule="exact" w:val="57"/>
        </w:trPr>
        <w:tc>
          <w:tcPr>
            <w:tcW w:w="4820" w:type="dxa"/>
            <w:tcBorders>
              <w:top w:val="single" w:sz="4" w:space="0" w:color="800000"/>
            </w:tcBorders>
          </w:tcPr>
          <w:p w:rsidR="007D7338" w:rsidRPr="00686A56" w:rsidRDefault="007D7338" w:rsidP="00FE6F3C">
            <w:pPr>
              <w:pStyle w:val="TabEtichette"/>
              <w:rPr>
                <w:rFonts w:eastAsia="Arial Unicode MS"/>
              </w:rPr>
            </w:pPr>
          </w:p>
        </w:tc>
        <w:tc>
          <w:tcPr>
            <w:tcW w:w="1134" w:type="dxa"/>
            <w:tcBorders>
              <w:top w:val="single" w:sz="4" w:space="0" w:color="800000"/>
            </w:tcBorders>
          </w:tcPr>
          <w:p w:rsidR="007D7338" w:rsidRPr="001B69AC" w:rsidRDefault="007D7338" w:rsidP="00FE6F3C">
            <w:pPr>
              <w:pStyle w:val="TabNumeri"/>
            </w:pPr>
          </w:p>
        </w:tc>
        <w:tc>
          <w:tcPr>
            <w:tcW w:w="1134" w:type="dxa"/>
            <w:tcBorders>
              <w:top w:val="single" w:sz="4" w:space="0" w:color="800000"/>
            </w:tcBorders>
          </w:tcPr>
          <w:p w:rsidR="007D7338" w:rsidRPr="001B69AC" w:rsidRDefault="007D7338" w:rsidP="00FE6F3C">
            <w:pPr>
              <w:pStyle w:val="TabNumeri"/>
            </w:pPr>
          </w:p>
        </w:tc>
        <w:tc>
          <w:tcPr>
            <w:tcW w:w="1134" w:type="dxa"/>
            <w:tcBorders>
              <w:top w:val="single" w:sz="4" w:space="0" w:color="800000"/>
            </w:tcBorders>
          </w:tcPr>
          <w:p w:rsidR="007D7338" w:rsidRPr="001B69AC" w:rsidRDefault="007D7338" w:rsidP="00FE6F3C">
            <w:pPr>
              <w:pStyle w:val="TabNumeri"/>
            </w:pPr>
          </w:p>
        </w:tc>
        <w:tc>
          <w:tcPr>
            <w:tcW w:w="1134" w:type="dxa"/>
            <w:tcBorders>
              <w:top w:val="single" w:sz="4" w:space="0" w:color="800000"/>
            </w:tcBorders>
          </w:tcPr>
          <w:p w:rsidR="007D7338" w:rsidRPr="001B69AC" w:rsidRDefault="007D7338" w:rsidP="00FE6F3C">
            <w:pPr>
              <w:pStyle w:val="TabNumeri"/>
            </w:pPr>
          </w:p>
        </w:tc>
      </w:tr>
      <w:tr w:rsidR="007D7338" w:rsidTr="00FE6F3C">
        <w:trPr>
          <w:trHeight w:val="227"/>
        </w:trPr>
        <w:tc>
          <w:tcPr>
            <w:tcW w:w="4820" w:type="dxa"/>
          </w:tcPr>
          <w:p w:rsidR="007D7338" w:rsidRPr="00F039B7" w:rsidRDefault="007D7338" w:rsidP="00FE6F3C">
            <w:pPr>
              <w:pStyle w:val="TabEtichette"/>
              <w:rPr>
                <w:rFonts w:eastAsia="Arial Unicode MS"/>
                <w:b/>
                <w:bCs/>
              </w:rPr>
            </w:pPr>
            <w:r w:rsidRPr="00F039B7">
              <w:rPr>
                <w:b/>
                <w:bCs/>
              </w:rPr>
              <w:t>Conto economico</w:t>
            </w:r>
          </w:p>
        </w:tc>
        <w:tc>
          <w:tcPr>
            <w:tcW w:w="1134" w:type="dxa"/>
          </w:tcPr>
          <w:p w:rsidR="007D7338" w:rsidRPr="001B69AC" w:rsidRDefault="007D7338" w:rsidP="00FE6F3C">
            <w:pPr>
              <w:pStyle w:val="TabNumeri"/>
            </w:pPr>
          </w:p>
        </w:tc>
        <w:tc>
          <w:tcPr>
            <w:tcW w:w="1134" w:type="dxa"/>
          </w:tcPr>
          <w:p w:rsidR="007D7338" w:rsidRPr="001B69AC" w:rsidRDefault="007D7338" w:rsidP="00FE6F3C">
            <w:pPr>
              <w:pStyle w:val="TabNumeri"/>
            </w:pPr>
          </w:p>
        </w:tc>
        <w:tc>
          <w:tcPr>
            <w:tcW w:w="1134" w:type="dxa"/>
          </w:tcPr>
          <w:p w:rsidR="007D7338" w:rsidRPr="001B69AC" w:rsidRDefault="007D7338" w:rsidP="00FE6F3C">
            <w:pPr>
              <w:pStyle w:val="TabNumeri"/>
            </w:pPr>
          </w:p>
        </w:tc>
        <w:tc>
          <w:tcPr>
            <w:tcW w:w="1134" w:type="dxa"/>
          </w:tcPr>
          <w:p w:rsidR="007D7338" w:rsidRPr="001B69AC" w:rsidRDefault="007D7338" w:rsidP="00FE6F3C">
            <w:pPr>
              <w:pStyle w:val="TabNumeri"/>
            </w:pPr>
          </w:p>
        </w:tc>
      </w:tr>
      <w:tr w:rsidR="007D7338" w:rsidTr="00FE6F3C">
        <w:trPr>
          <w:trHeight w:val="227"/>
        </w:trPr>
        <w:tc>
          <w:tcPr>
            <w:tcW w:w="4820" w:type="dxa"/>
          </w:tcPr>
          <w:p w:rsidR="007D7338" w:rsidRDefault="007D7338" w:rsidP="00FE6F3C">
            <w:pPr>
              <w:pStyle w:val="TabEtichette"/>
              <w:rPr>
                <w:rFonts w:eastAsia="Arial Unicode MS"/>
              </w:rPr>
            </w:pPr>
            <w:r>
              <w:t>Prodotto interno lordo</w:t>
            </w:r>
          </w:p>
        </w:tc>
        <w:tc>
          <w:tcPr>
            <w:tcW w:w="1134" w:type="dxa"/>
          </w:tcPr>
          <w:p w:rsidR="007D7338" w:rsidRPr="00683343" w:rsidRDefault="007D7338" w:rsidP="00FE6F3C">
            <w:pPr>
              <w:pStyle w:val="tabnum"/>
            </w:pPr>
            <w:r w:rsidRPr="00683343">
              <w:t>0,9</w:t>
            </w:r>
          </w:p>
        </w:tc>
        <w:tc>
          <w:tcPr>
            <w:tcW w:w="1134" w:type="dxa"/>
          </w:tcPr>
          <w:p w:rsidR="007D7338" w:rsidRPr="00683343" w:rsidRDefault="007D7338" w:rsidP="00FE6F3C">
            <w:pPr>
              <w:pStyle w:val="tabnum"/>
            </w:pPr>
            <w:r w:rsidRPr="00683343">
              <w:t>1,4</w:t>
            </w:r>
          </w:p>
        </w:tc>
        <w:tc>
          <w:tcPr>
            <w:tcW w:w="1134" w:type="dxa"/>
          </w:tcPr>
          <w:p w:rsidR="007D7338" w:rsidRPr="00683343" w:rsidRDefault="007D7338" w:rsidP="00FE6F3C">
            <w:pPr>
              <w:pStyle w:val="tabnum"/>
            </w:pPr>
            <w:r w:rsidRPr="00683343">
              <w:t>1,1</w:t>
            </w:r>
          </w:p>
        </w:tc>
        <w:tc>
          <w:tcPr>
            <w:tcW w:w="1134" w:type="dxa"/>
          </w:tcPr>
          <w:p w:rsidR="007D7338" w:rsidRPr="00683343" w:rsidRDefault="007D7338" w:rsidP="00FE6F3C">
            <w:pPr>
              <w:pStyle w:val="tabnum"/>
            </w:pPr>
            <w:r w:rsidRPr="00683343">
              <w:t>1,2</w:t>
            </w:r>
          </w:p>
        </w:tc>
      </w:tr>
      <w:tr w:rsidR="007D7338" w:rsidTr="00FE6F3C">
        <w:trPr>
          <w:trHeight w:val="227"/>
        </w:trPr>
        <w:tc>
          <w:tcPr>
            <w:tcW w:w="4820" w:type="dxa"/>
          </w:tcPr>
          <w:p w:rsidR="007D7338" w:rsidRDefault="007D7338" w:rsidP="00FE6F3C">
            <w:pPr>
              <w:pStyle w:val="TabEtichette"/>
              <w:rPr>
                <w:rFonts w:eastAsia="Arial Unicode MS"/>
              </w:rPr>
            </w:pPr>
            <w:r>
              <w:t>Domanda interna</w:t>
            </w:r>
            <w:r>
              <w:rPr>
                <w:vertAlign w:val="superscript"/>
              </w:rPr>
              <w:t>(1</w:t>
            </w:r>
            <w:r w:rsidRPr="002F2B82">
              <w:rPr>
                <w:vertAlign w:val="superscript"/>
              </w:rPr>
              <w:t>)</w:t>
            </w:r>
          </w:p>
        </w:tc>
        <w:tc>
          <w:tcPr>
            <w:tcW w:w="1134" w:type="dxa"/>
          </w:tcPr>
          <w:p w:rsidR="007D7338" w:rsidRPr="00683343" w:rsidRDefault="007D7338" w:rsidP="00FE6F3C">
            <w:pPr>
              <w:pStyle w:val="tabnum"/>
            </w:pPr>
            <w:r w:rsidRPr="00683343">
              <w:t>1,5</w:t>
            </w:r>
          </w:p>
        </w:tc>
        <w:tc>
          <w:tcPr>
            <w:tcW w:w="1134" w:type="dxa"/>
          </w:tcPr>
          <w:p w:rsidR="007D7338" w:rsidRPr="00683343" w:rsidRDefault="007D7338" w:rsidP="00FE6F3C">
            <w:pPr>
              <w:pStyle w:val="tabnum"/>
            </w:pPr>
            <w:r w:rsidRPr="00683343">
              <w:t>1,7</w:t>
            </w:r>
          </w:p>
        </w:tc>
        <w:tc>
          <w:tcPr>
            <w:tcW w:w="1134" w:type="dxa"/>
          </w:tcPr>
          <w:p w:rsidR="007D7338" w:rsidRPr="00683343" w:rsidRDefault="007D7338" w:rsidP="00FE6F3C">
            <w:pPr>
              <w:pStyle w:val="tabnum"/>
            </w:pPr>
            <w:r w:rsidRPr="00683343">
              <w:t>0,9</w:t>
            </w:r>
          </w:p>
        </w:tc>
        <w:tc>
          <w:tcPr>
            <w:tcW w:w="1134" w:type="dxa"/>
          </w:tcPr>
          <w:p w:rsidR="007D7338" w:rsidRPr="00683343" w:rsidRDefault="007D7338" w:rsidP="00FE6F3C">
            <w:pPr>
              <w:pStyle w:val="tabnum"/>
            </w:pPr>
            <w:r w:rsidRPr="00683343">
              <w:t>1,0</w:t>
            </w:r>
          </w:p>
        </w:tc>
      </w:tr>
      <w:tr w:rsidR="007D7338" w:rsidTr="00FE6F3C">
        <w:trPr>
          <w:trHeight w:val="227"/>
        </w:trPr>
        <w:tc>
          <w:tcPr>
            <w:tcW w:w="4820" w:type="dxa"/>
          </w:tcPr>
          <w:p w:rsidR="007D7338" w:rsidRDefault="007D7338" w:rsidP="00FE6F3C">
            <w:pPr>
              <w:pStyle w:val="TabEtichette"/>
              <w:rPr>
                <w:rFonts w:eastAsia="Arial Unicode MS"/>
              </w:rPr>
            </w:pPr>
            <w:r>
              <w:t xml:space="preserve">   Consumi delle famiglie</w:t>
            </w:r>
          </w:p>
        </w:tc>
        <w:tc>
          <w:tcPr>
            <w:tcW w:w="1134" w:type="dxa"/>
          </w:tcPr>
          <w:p w:rsidR="007D7338" w:rsidRPr="00683343" w:rsidRDefault="007D7338" w:rsidP="00FE6F3C">
            <w:pPr>
              <w:pStyle w:val="tabnum"/>
            </w:pPr>
            <w:r w:rsidRPr="00683343">
              <w:t>1,8</w:t>
            </w:r>
          </w:p>
        </w:tc>
        <w:tc>
          <w:tcPr>
            <w:tcW w:w="1134" w:type="dxa"/>
          </w:tcPr>
          <w:p w:rsidR="007D7338" w:rsidRPr="00683343" w:rsidRDefault="007D7338" w:rsidP="00FE6F3C">
            <w:pPr>
              <w:pStyle w:val="tabnum"/>
            </w:pPr>
            <w:r w:rsidRPr="00683343">
              <w:t>1,7</w:t>
            </w:r>
          </w:p>
        </w:tc>
        <w:tc>
          <w:tcPr>
            <w:tcW w:w="1134" w:type="dxa"/>
          </w:tcPr>
          <w:p w:rsidR="007D7338" w:rsidRPr="00683343" w:rsidRDefault="007D7338" w:rsidP="00FE6F3C">
            <w:pPr>
              <w:pStyle w:val="tabnum"/>
            </w:pPr>
            <w:r w:rsidRPr="00683343">
              <w:t>0,9</w:t>
            </w:r>
          </w:p>
        </w:tc>
        <w:tc>
          <w:tcPr>
            <w:tcW w:w="1134" w:type="dxa"/>
          </w:tcPr>
          <w:p w:rsidR="007D7338" w:rsidRPr="00683343" w:rsidRDefault="007D7338" w:rsidP="00FE6F3C">
            <w:pPr>
              <w:pStyle w:val="tabnum"/>
            </w:pPr>
            <w:r w:rsidRPr="00683343">
              <w:t>0,9</w:t>
            </w:r>
          </w:p>
        </w:tc>
      </w:tr>
      <w:tr w:rsidR="007D7338" w:rsidTr="00FE6F3C">
        <w:trPr>
          <w:trHeight w:val="227"/>
        </w:trPr>
        <w:tc>
          <w:tcPr>
            <w:tcW w:w="4820" w:type="dxa"/>
          </w:tcPr>
          <w:p w:rsidR="007D7338" w:rsidRDefault="007D7338" w:rsidP="00FE6F3C">
            <w:pPr>
              <w:pStyle w:val="TabEtichette"/>
              <w:rPr>
                <w:rFonts w:eastAsia="Arial Unicode MS"/>
              </w:rPr>
            </w:pPr>
            <w:r>
              <w:t xml:space="preserve">   Consumi delle AAPP e ISP</w:t>
            </w:r>
          </w:p>
        </w:tc>
        <w:tc>
          <w:tcPr>
            <w:tcW w:w="1134" w:type="dxa"/>
          </w:tcPr>
          <w:p w:rsidR="007D7338" w:rsidRPr="00683343" w:rsidRDefault="007D7338" w:rsidP="00FE6F3C">
            <w:pPr>
              <w:pStyle w:val="tabnum"/>
            </w:pPr>
            <w:r w:rsidRPr="00683343">
              <w:t>-0,4</w:t>
            </w:r>
          </w:p>
        </w:tc>
        <w:tc>
          <w:tcPr>
            <w:tcW w:w="1134" w:type="dxa"/>
          </w:tcPr>
          <w:p w:rsidR="007D7338" w:rsidRPr="00683343" w:rsidRDefault="007D7338" w:rsidP="00FE6F3C">
            <w:pPr>
              <w:pStyle w:val="tabnum"/>
            </w:pPr>
            <w:r w:rsidRPr="00683343">
              <w:t>0,9</w:t>
            </w:r>
          </w:p>
        </w:tc>
        <w:tc>
          <w:tcPr>
            <w:tcW w:w="1134" w:type="dxa"/>
          </w:tcPr>
          <w:p w:rsidR="007D7338" w:rsidRPr="00683343" w:rsidRDefault="007D7338" w:rsidP="00FE6F3C">
            <w:pPr>
              <w:pStyle w:val="tabnum"/>
            </w:pPr>
            <w:r w:rsidRPr="00683343">
              <w:t>0,5</w:t>
            </w:r>
          </w:p>
        </w:tc>
        <w:tc>
          <w:tcPr>
            <w:tcW w:w="1134" w:type="dxa"/>
          </w:tcPr>
          <w:p w:rsidR="007D7338" w:rsidRPr="00683343" w:rsidRDefault="007D7338" w:rsidP="00FE6F3C">
            <w:pPr>
              <w:pStyle w:val="tabnum"/>
            </w:pPr>
            <w:r w:rsidRPr="00683343">
              <w:t>0,4</w:t>
            </w:r>
          </w:p>
        </w:tc>
      </w:tr>
      <w:tr w:rsidR="007D7338" w:rsidTr="00FE6F3C">
        <w:trPr>
          <w:trHeight w:val="227"/>
        </w:trPr>
        <w:tc>
          <w:tcPr>
            <w:tcW w:w="4820" w:type="dxa"/>
          </w:tcPr>
          <w:p w:rsidR="007D7338" w:rsidRDefault="007D7338" w:rsidP="00FE6F3C">
            <w:pPr>
              <w:pStyle w:val="TabEtichette"/>
              <w:rPr>
                <w:rFonts w:eastAsia="Arial Unicode MS"/>
              </w:rPr>
            </w:pPr>
            <w:r>
              <w:t xml:space="preserve">   Investimenti fissi lordi</w:t>
            </w:r>
          </w:p>
        </w:tc>
        <w:tc>
          <w:tcPr>
            <w:tcW w:w="1134" w:type="dxa"/>
          </w:tcPr>
          <w:p w:rsidR="007D7338" w:rsidRPr="00683343" w:rsidRDefault="007D7338" w:rsidP="00FE6F3C">
            <w:pPr>
              <w:pStyle w:val="tabnum"/>
            </w:pPr>
            <w:r w:rsidRPr="00683343">
              <w:t>2,3</w:t>
            </w:r>
          </w:p>
        </w:tc>
        <w:tc>
          <w:tcPr>
            <w:tcW w:w="1134" w:type="dxa"/>
          </w:tcPr>
          <w:p w:rsidR="007D7338" w:rsidRPr="00683343" w:rsidRDefault="007D7338" w:rsidP="00FE6F3C">
            <w:pPr>
              <w:pStyle w:val="tabnum"/>
            </w:pPr>
            <w:r w:rsidRPr="00683343">
              <w:t>2,7</w:t>
            </w:r>
          </w:p>
        </w:tc>
        <w:tc>
          <w:tcPr>
            <w:tcW w:w="1134" w:type="dxa"/>
          </w:tcPr>
          <w:p w:rsidR="007D7338" w:rsidRPr="00683343" w:rsidRDefault="007D7338" w:rsidP="00FE6F3C">
            <w:pPr>
              <w:pStyle w:val="tabnum"/>
            </w:pPr>
            <w:r w:rsidRPr="00683343">
              <w:t>1,6</w:t>
            </w:r>
          </w:p>
        </w:tc>
        <w:tc>
          <w:tcPr>
            <w:tcW w:w="1134" w:type="dxa"/>
          </w:tcPr>
          <w:p w:rsidR="007D7338" w:rsidRPr="00683343" w:rsidRDefault="007D7338" w:rsidP="00FE6F3C">
            <w:pPr>
              <w:pStyle w:val="tabnum"/>
            </w:pPr>
            <w:r w:rsidRPr="00683343">
              <w:t>1,6</w:t>
            </w:r>
          </w:p>
        </w:tc>
      </w:tr>
      <w:tr w:rsidR="007D7338" w:rsidTr="00FE6F3C">
        <w:trPr>
          <w:trHeight w:val="227"/>
        </w:trPr>
        <w:tc>
          <w:tcPr>
            <w:tcW w:w="4820" w:type="dxa"/>
          </w:tcPr>
          <w:p w:rsidR="007D7338" w:rsidRDefault="007D7338" w:rsidP="00FE6F3C">
            <w:pPr>
              <w:pStyle w:val="TabEtichette"/>
              <w:rPr>
                <w:rFonts w:eastAsia="Arial Unicode MS"/>
              </w:rPr>
            </w:pPr>
            <w:r>
              <w:t>Importazioni di beni dall’estero</w:t>
            </w:r>
          </w:p>
        </w:tc>
        <w:tc>
          <w:tcPr>
            <w:tcW w:w="1134" w:type="dxa"/>
          </w:tcPr>
          <w:p w:rsidR="007D7338" w:rsidRPr="00683343" w:rsidRDefault="007D7338" w:rsidP="00FE6F3C">
            <w:pPr>
              <w:pStyle w:val="tabnum"/>
            </w:pPr>
            <w:r w:rsidRPr="00683343">
              <w:t>6,6</w:t>
            </w:r>
          </w:p>
        </w:tc>
        <w:tc>
          <w:tcPr>
            <w:tcW w:w="1134" w:type="dxa"/>
          </w:tcPr>
          <w:p w:rsidR="007D7338" w:rsidRPr="00683343" w:rsidRDefault="007D7338" w:rsidP="00FE6F3C">
            <w:pPr>
              <w:pStyle w:val="tabnum"/>
            </w:pPr>
            <w:r w:rsidRPr="00683343">
              <w:t>4,6</w:t>
            </w:r>
          </w:p>
        </w:tc>
        <w:tc>
          <w:tcPr>
            <w:tcW w:w="1134" w:type="dxa"/>
          </w:tcPr>
          <w:p w:rsidR="007D7338" w:rsidRPr="00683343" w:rsidRDefault="007D7338" w:rsidP="00FE6F3C">
            <w:pPr>
              <w:pStyle w:val="tabnum"/>
            </w:pPr>
            <w:r w:rsidRPr="00683343">
              <w:t>1,3</w:t>
            </w:r>
          </w:p>
        </w:tc>
        <w:tc>
          <w:tcPr>
            <w:tcW w:w="1134" w:type="dxa"/>
          </w:tcPr>
          <w:p w:rsidR="007D7338" w:rsidRPr="00683343" w:rsidRDefault="007D7338" w:rsidP="00FE6F3C">
            <w:pPr>
              <w:pStyle w:val="tabnum"/>
            </w:pPr>
            <w:r w:rsidRPr="00683343">
              <w:t>1,8</w:t>
            </w:r>
          </w:p>
        </w:tc>
      </w:tr>
      <w:tr w:rsidR="007D7338" w:rsidTr="00FE6F3C">
        <w:trPr>
          <w:trHeight w:val="227"/>
        </w:trPr>
        <w:tc>
          <w:tcPr>
            <w:tcW w:w="4820" w:type="dxa"/>
          </w:tcPr>
          <w:p w:rsidR="007D7338" w:rsidRDefault="007D7338" w:rsidP="00FE6F3C">
            <w:pPr>
              <w:pStyle w:val="TabEtichette"/>
              <w:rPr>
                <w:rFonts w:eastAsia="Arial Unicode MS"/>
              </w:rPr>
            </w:pPr>
            <w:r>
              <w:t>Esportazioni di beni verso l’estero</w:t>
            </w:r>
          </w:p>
        </w:tc>
        <w:tc>
          <w:tcPr>
            <w:tcW w:w="1134" w:type="dxa"/>
          </w:tcPr>
          <w:p w:rsidR="007D7338" w:rsidRPr="00683343" w:rsidRDefault="007D7338" w:rsidP="00FE6F3C">
            <w:pPr>
              <w:pStyle w:val="tabnum"/>
            </w:pPr>
            <w:r w:rsidRPr="00683343">
              <w:t>4,8</w:t>
            </w:r>
          </w:p>
        </w:tc>
        <w:tc>
          <w:tcPr>
            <w:tcW w:w="1134" w:type="dxa"/>
          </w:tcPr>
          <w:p w:rsidR="007D7338" w:rsidRPr="00683343" w:rsidRDefault="007D7338" w:rsidP="00FE6F3C">
            <w:pPr>
              <w:pStyle w:val="tabnum"/>
            </w:pPr>
            <w:r w:rsidRPr="00683343">
              <w:t>1,9</w:t>
            </w:r>
          </w:p>
        </w:tc>
        <w:tc>
          <w:tcPr>
            <w:tcW w:w="1134" w:type="dxa"/>
          </w:tcPr>
          <w:p w:rsidR="007D7338" w:rsidRPr="00683343" w:rsidRDefault="007D7338" w:rsidP="00FE6F3C">
            <w:pPr>
              <w:pStyle w:val="tabnum"/>
            </w:pPr>
            <w:r w:rsidRPr="00683343">
              <w:t>3,4</w:t>
            </w:r>
          </w:p>
        </w:tc>
        <w:tc>
          <w:tcPr>
            <w:tcW w:w="1134" w:type="dxa"/>
          </w:tcPr>
          <w:p w:rsidR="007D7338" w:rsidRPr="00683343" w:rsidRDefault="007D7338" w:rsidP="00FE6F3C">
            <w:pPr>
              <w:pStyle w:val="tabnum"/>
            </w:pPr>
            <w:r w:rsidRPr="00683343">
              <w:t>3,4</w:t>
            </w:r>
          </w:p>
        </w:tc>
      </w:tr>
      <w:tr w:rsidR="007D7338" w:rsidTr="00FE6F3C">
        <w:trPr>
          <w:trHeight w:val="227"/>
        </w:trPr>
        <w:tc>
          <w:tcPr>
            <w:tcW w:w="4820" w:type="dxa"/>
          </w:tcPr>
          <w:p w:rsidR="007D7338" w:rsidRPr="00F039B7" w:rsidRDefault="007D7338" w:rsidP="00FE6F3C">
            <w:pPr>
              <w:pStyle w:val="TabEtichSuperiori"/>
              <w:rPr>
                <w:rFonts w:eastAsia="Arial Unicode MS"/>
                <w:b/>
              </w:rPr>
            </w:pPr>
            <w:r w:rsidRPr="00F039B7">
              <w:rPr>
                <w:b/>
              </w:rPr>
              <w:t>Valore aggiunto ai prezzi base</w:t>
            </w:r>
          </w:p>
        </w:tc>
        <w:tc>
          <w:tcPr>
            <w:tcW w:w="1134" w:type="dxa"/>
          </w:tcPr>
          <w:p w:rsidR="007D7338" w:rsidRPr="00683343" w:rsidRDefault="007D7338" w:rsidP="00FE6F3C">
            <w:pPr>
              <w:pStyle w:val="tabnum"/>
            </w:pPr>
          </w:p>
        </w:tc>
        <w:tc>
          <w:tcPr>
            <w:tcW w:w="1134" w:type="dxa"/>
          </w:tcPr>
          <w:p w:rsidR="007D7338" w:rsidRPr="00683343" w:rsidRDefault="007D7338" w:rsidP="00FE6F3C">
            <w:pPr>
              <w:pStyle w:val="tabnum"/>
            </w:pPr>
          </w:p>
        </w:tc>
        <w:tc>
          <w:tcPr>
            <w:tcW w:w="1134" w:type="dxa"/>
          </w:tcPr>
          <w:p w:rsidR="007D7338" w:rsidRPr="00683343" w:rsidRDefault="007D7338" w:rsidP="00FE6F3C">
            <w:pPr>
              <w:pStyle w:val="tabnum"/>
            </w:pPr>
          </w:p>
        </w:tc>
        <w:tc>
          <w:tcPr>
            <w:tcW w:w="1134" w:type="dxa"/>
          </w:tcPr>
          <w:p w:rsidR="007D7338" w:rsidRPr="00683343" w:rsidRDefault="007D7338" w:rsidP="00FE6F3C">
            <w:pPr>
              <w:pStyle w:val="tabnum"/>
            </w:pPr>
          </w:p>
        </w:tc>
      </w:tr>
      <w:tr w:rsidR="007D7338" w:rsidTr="00FE6F3C">
        <w:trPr>
          <w:trHeight w:val="227"/>
        </w:trPr>
        <w:tc>
          <w:tcPr>
            <w:tcW w:w="4820" w:type="dxa"/>
          </w:tcPr>
          <w:p w:rsidR="007D7338" w:rsidRDefault="007D7338" w:rsidP="00FE6F3C">
            <w:pPr>
              <w:pStyle w:val="TabEtichette"/>
              <w:rPr>
                <w:rFonts w:eastAsia="Arial Unicode MS"/>
              </w:rPr>
            </w:pPr>
            <w:r>
              <w:t>Agricoltura</w:t>
            </w:r>
          </w:p>
        </w:tc>
        <w:tc>
          <w:tcPr>
            <w:tcW w:w="1134" w:type="dxa"/>
          </w:tcPr>
          <w:p w:rsidR="007D7338" w:rsidRPr="00683343" w:rsidRDefault="007D7338" w:rsidP="00FE6F3C">
            <w:pPr>
              <w:pStyle w:val="tabnum"/>
            </w:pPr>
            <w:r w:rsidRPr="00683343">
              <w:t>-1,0</w:t>
            </w:r>
          </w:p>
        </w:tc>
        <w:tc>
          <w:tcPr>
            <w:tcW w:w="1134" w:type="dxa"/>
          </w:tcPr>
          <w:p w:rsidR="007D7338" w:rsidRPr="00683343" w:rsidRDefault="007D7338" w:rsidP="00FE6F3C">
            <w:pPr>
              <w:pStyle w:val="tabnum"/>
            </w:pPr>
            <w:r w:rsidRPr="00683343">
              <w:t>0,9</w:t>
            </w:r>
          </w:p>
        </w:tc>
        <w:tc>
          <w:tcPr>
            <w:tcW w:w="1134" w:type="dxa"/>
          </w:tcPr>
          <w:p w:rsidR="007D7338" w:rsidRPr="00683343" w:rsidRDefault="007D7338" w:rsidP="00FE6F3C">
            <w:pPr>
              <w:pStyle w:val="tabnum"/>
            </w:pPr>
            <w:r w:rsidRPr="00683343">
              <w:t>-0,0</w:t>
            </w:r>
          </w:p>
        </w:tc>
        <w:tc>
          <w:tcPr>
            <w:tcW w:w="1134" w:type="dxa"/>
          </w:tcPr>
          <w:p w:rsidR="007D7338" w:rsidRPr="00683343" w:rsidRDefault="007D7338" w:rsidP="00FE6F3C">
            <w:pPr>
              <w:pStyle w:val="tabnum"/>
            </w:pPr>
            <w:r w:rsidRPr="00683343">
              <w:t>0,4</w:t>
            </w:r>
          </w:p>
        </w:tc>
      </w:tr>
      <w:tr w:rsidR="007D7338" w:rsidTr="00FE6F3C">
        <w:trPr>
          <w:trHeight w:val="227"/>
        </w:trPr>
        <w:tc>
          <w:tcPr>
            <w:tcW w:w="4820" w:type="dxa"/>
          </w:tcPr>
          <w:p w:rsidR="007D7338" w:rsidRDefault="007D7338" w:rsidP="00FE6F3C">
            <w:pPr>
              <w:pStyle w:val="TabEtichette"/>
              <w:rPr>
                <w:rFonts w:eastAsia="Arial Unicode MS"/>
              </w:rPr>
            </w:pPr>
            <w:r>
              <w:t>Industria</w:t>
            </w:r>
          </w:p>
        </w:tc>
        <w:tc>
          <w:tcPr>
            <w:tcW w:w="1134" w:type="dxa"/>
          </w:tcPr>
          <w:p w:rsidR="007D7338" w:rsidRPr="00683343" w:rsidRDefault="007D7338" w:rsidP="00FE6F3C">
            <w:pPr>
              <w:pStyle w:val="tabnum"/>
            </w:pPr>
            <w:r w:rsidRPr="00683343">
              <w:t>4,5</w:t>
            </w:r>
          </w:p>
        </w:tc>
        <w:tc>
          <w:tcPr>
            <w:tcW w:w="1134" w:type="dxa"/>
          </w:tcPr>
          <w:p w:rsidR="007D7338" w:rsidRPr="00683343" w:rsidRDefault="007D7338" w:rsidP="00FE6F3C">
            <w:pPr>
              <w:pStyle w:val="tabnum"/>
            </w:pPr>
            <w:r w:rsidRPr="00683343">
              <w:t>2,1</w:t>
            </w:r>
          </w:p>
        </w:tc>
        <w:tc>
          <w:tcPr>
            <w:tcW w:w="1134" w:type="dxa"/>
          </w:tcPr>
          <w:p w:rsidR="007D7338" w:rsidRPr="00683343" w:rsidRDefault="007D7338" w:rsidP="00FE6F3C">
            <w:pPr>
              <w:pStyle w:val="tabnum"/>
            </w:pPr>
            <w:r w:rsidRPr="00683343">
              <w:t>1,8</w:t>
            </w:r>
          </w:p>
        </w:tc>
        <w:tc>
          <w:tcPr>
            <w:tcW w:w="1134" w:type="dxa"/>
          </w:tcPr>
          <w:p w:rsidR="007D7338" w:rsidRPr="00683343" w:rsidRDefault="007D7338" w:rsidP="00FE6F3C">
            <w:pPr>
              <w:pStyle w:val="tabnum"/>
            </w:pPr>
            <w:r w:rsidRPr="00683343">
              <w:t>1,8</w:t>
            </w:r>
          </w:p>
        </w:tc>
      </w:tr>
      <w:tr w:rsidR="007D7338" w:rsidTr="00FE6F3C">
        <w:trPr>
          <w:trHeight w:val="227"/>
        </w:trPr>
        <w:tc>
          <w:tcPr>
            <w:tcW w:w="4820" w:type="dxa"/>
          </w:tcPr>
          <w:p w:rsidR="007D7338" w:rsidRDefault="007D7338" w:rsidP="00FE6F3C">
            <w:pPr>
              <w:pStyle w:val="TabEtichette"/>
              <w:rPr>
                <w:rFonts w:eastAsia="Arial Unicode MS"/>
              </w:rPr>
            </w:pPr>
            <w:r>
              <w:t>Costruzioni</w:t>
            </w:r>
          </w:p>
        </w:tc>
        <w:tc>
          <w:tcPr>
            <w:tcW w:w="1134" w:type="dxa"/>
          </w:tcPr>
          <w:p w:rsidR="007D7338" w:rsidRPr="00683343" w:rsidRDefault="007D7338" w:rsidP="00FE6F3C">
            <w:pPr>
              <w:pStyle w:val="tabnum"/>
            </w:pPr>
            <w:r w:rsidRPr="00683343">
              <w:t>-10,9</w:t>
            </w:r>
          </w:p>
        </w:tc>
        <w:tc>
          <w:tcPr>
            <w:tcW w:w="1134" w:type="dxa"/>
          </w:tcPr>
          <w:p w:rsidR="007D7338" w:rsidRPr="00683343" w:rsidRDefault="007D7338" w:rsidP="00FE6F3C">
            <w:pPr>
              <w:pStyle w:val="tabnum"/>
            </w:pPr>
            <w:r w:rsidRPr="00683343">
              <w:t>0,8</w:t>
            </w:r>
          </w:p>
        </w:tc>
        <w:tc>
          <w:tcPr>
            <w:tcW w:w="1134" w:type="dxa"/>
          </w:tcPr>
          <w:p w:rsidR="007D7338" w:rsidRPr="00683343" w:rsidRDefault="007D7338" w:rsidP="00FE6F3C">
            <w:pPr>
              <w:pStyle w:val="tabnum"/>
            </w:pPr>
            <w:r w:rsidRPr="00683343">
              <w:t>0,8</w:t>
            </w:r>
          </w:p>
        </w:tc>
        <w:tc>
          <w:tcPr>
            <w:tcW w:w="1134" w:type="dxa"/>
          </w:tcPr>
          <w:p w:rsidR="007D7338" w:rsidRPr="00683343" w:rsidRDefault="007D7338" w:rsidP="00FE6F3C">
            <w:pPr>
              <w:pStyle w:val="tabnum"/>
            </w:pPr>
            <w:r w:rsidRPr="00683343">
              <w:t>1,5</w:t>
            </w:r>
          </w:p>
        </w:tc>
      </w:tr>
      <w:tr w:rsidR="007D7338" w:rsidTr="00FE6F3C">
        <w:trPr>
          <w:trHeight w:val="227"/>
        </w:trPr>
        <w:tc>
          <w:tcPr>
            <w:tcW w:w="4820" w:type="dxa"/>
          </w:tcPr>
          <w:p w:rsidR="007D7338" w:rsidRDefault="007D7338" w:rsidP="00FE6F3C">
            <w:pPr>
              <w:pStyle w:val="TabEtichette"/>
              <w:rPr>
                <w:rFonts w:eastAsia="Arial Unicode MS"/>
              </w:rPr>
            </w:pPr>
            <w:r>
              <w:t>Servizi</w:t>
            </w:r>
          </w:p>
        </w:tc>
        <w:tc>
          <w:tcPr>
            <w:tcW w:w="1134" w:type="dxa"/>
          </w:tcPr>
          <w:p w:rsidR="007D7338" w:rsidRPr="00683343" w:rsidRDefault="007D7338" w:rsidP="00FE6F3C">
            <w:pPr>
              <w:pStyle w:val="tabnum"/>
            </w:pPr>
            <w:r w:rsidRPr="00683343">
              <w:t>0,1</w:t>
            </w:r>
          </w:p>
        </w:tc>
        <w:tc>
          <w:tcPr>
            <w:tcW w:w="1134" w:type="dxa"/>
          </w:tcPr>
          <w:p w:rsidR="007D7338" w:rsidRPr="00683343" w:rsidRDefault="007D7338" w:rsidP="00FE6F3C">
            <w:pPr>
              <w:pStyle w:val="tabnum"/>
            </w:pPr>
            <w:r w:rsidRPr="00683343">
              <w:t>1,0</w:t>
            </w:r>
          </w:p>
        </w:tc>
        <w:tc>
          <w:tcPr>
            <w:tcW w:w="1134" w:type="dxa"/>
          </w:tcPr>
          <w:p w:rsidR="007D7338" w:rsidRPr="00683343" w:rsidRDefault="007D7338" w:rsidP="00FE6F3C">
            <w:pPr>
              <w:pStyle w:val="tabnum"/>
            </w:pPr>
            <w:r w:rsidRPr="00683343">
              <w:t>0,8</w:t>
            </w:r>
          </w:p>
        </w:tc>
        <w:tc>
          <w:tcPr>
            <w:tcW w:w="1134" w:type="dxa"/>
          </w:tcPr>
          <w:p w:rsidR="007D7338" w:rsidRPr="00683343" w:rsidRDefault="007D7338" w:rsidP="00FE6F3C">
            <w:pPr>
              <w:pStyle w:val="tabnum"/>
            </w:pPr>
            <w:r w:rsidRPr="00683343">
              <w:t>1,0</w:t>
            </w:r>
          </w:p>
        </w:tc>
      </w:tr>
      <w:tr w:rsidR="007D7338" w:rsidTr="00FE6F3C">
        <w:trPr>
          <w:trHeight w:val="227"/>
        </w:trPr>
        <w:tc>
          <w:tcPr>
            <w:tcW w:w="4820" w:type="dxa"/>
          </w:tcPr>
          <w:p w:rsidR="007D7338" w:rsidRDefault="007D7338" w:rsidP="00FE6F3C">
            <w:pPr>
              <w:pStyle w:val="TabEtichette"/>
              <w:rPr>
                <w:rFonts w:eastAsia="Arial Unicode MS"/>
              </w:rPr>
            </w:pPr>
            <w:r>
              <w:t>Totale</w:t>
            </w:r>
          </w:p>
        </w:tc>
        <w:tc>
          <w:tcPr>
            <w:tcW w:w="1134" w:type="dxa"/>
          </w:tcPr>
          <w:p w:rsidR="007D7338" w:rsidRPr="00683343" w:rsidRDefault="007D7338" w:rsidP="00FE6F3C">
            <w:pPr>
              <w:pStyle w:val="tabnum"/>
            </w:pPr>
            <w:r w:rsidRPr="00683343">
              <w:t>0,7</w:t>
            </w:r>
          </w:p>
        </w:tc>
        <w:tc>
          <w:tcPr>
            <w:tcW w:w="1134" w:type="dxa"/>
          </w:tcPr>
          <w:p w:rsidR="007D7338" w:rsidRPr="00683343" w:rsidRDefault="007D7338" w:rsidP="00FE6F3C">
            <w:pPr>
              <w:pStyle w:val="tabnum"/>
            </w:pPr>
            <w:r w:rsidRPr="00683343">
              <w:t>1,3</w:t>
            </w:r>
          </w:p>
        </w:tc>
        <w:tc>
          <w:tcPr>
            <w:tcW w:w="1134" w:type="dxa"/>
          </w:tcPr>
          <w:p w:rsidR="007D7338" w:rsidRPr="00683343" w:rsidRDefault="007D7338" w:rsidP="00FE6F3C">
            <w:pPr>
              <w:pStyle w:val="tabnum"/>
            </w:pPr>
            <w:r w:rsidRPr="00683343">
              <w:t>1,0</w:t>
            </w:r>
          </w:p>
        </w:tc>
        <w:tc>
          <w:tcPr>
            <w:tcW w:w="1134" w:type="dxa"/>
          </w:tcPr>
          <w:p w:rsidR="007D7338" w:rsidRPr="00683343" w:rsidRDefault="007D7338" w:rsidP="00FE6F3C">
            <w:pPr>
              <w:pStyle w:val="tabnum"/>
            </w:pPr>
            <w:r w:rsidRPr="00683343">
              <w:t>1,2</w:t>
            </w:r>
          </w:p>
        </w:tc>
      </w:tr>
      <w:tr w:rsidR="007D7338" w:rsidTr="00FE6F3C">
        <w:trPr>
          <w:trHeight w:val="227"/>
        </w:trPr>
        <w:tc>
          <w:tcPr>
            <w:tcW w:w="4820" w:type="dxa"/>
          </w:tcPr>
          <w:p w:rsidR="007D7338" w:rsidRPr="00F039B7" w:rsidRDefault="00A71672" w:rsidP="00FE6F3C">
            <w:pPr>
              <w:pStyle w:val="TabEtichSuperiori"/>
              <w:rPr>
                <w:rFonts w:eastAsia="Arial Unicode MS"/>
                <w:b/>
                <w:bCs/>
              </w:rPr>
            </w:pPr>
            <w:r w:rsidRPr="00F039B7">
              <w:rPr>
                <w:b/>
                <w:bCs/>
              </w:rPr>
              <w:t>Unità</w:t>
            </w:r>
            <w:r w:rsidR="007D7338" w:rsidRPr="00F039B7">
              <w:rPr>
                <w:b/>
                <w:bCs/>
              </w:rPr>
              <w:t xml:space="preserve"> di lavoro</w:t>
            </w:r>
          </w:p>
        </w:tc>
        <w:tc>
          <w:tcPr>
            <w:tcW w:w="1134" w:type="dxa"/>
          </w:tcPr>
          <w:p w:rsidR="007D7338" w:rsidRPr="00683343" w:rsidRDefault="007D7338" w:rsidP="00FE6F3C">
            <w:pPr>
              <w:pStyle w:val="tabnum"/>
            </w:pPr>
          </w:p>
        </w:tc>
        <w:tc>
          <w:tcPr>
            <w:tcW w:w="1134" w:type="dxa"/>
          </w:tcPr>
          <w:p w:rsidR="007D7338" w:rsidRPr="00683343" w:rsidRDefault="007D7338" w:rsidP="00FE6F3C">
            <w:pPr>
              <w:pStyle w:val="tabnum"/>
            </w:pPr>
          </w:p>
        </w:tc>
        <w:tc>
          <w:tcPr>
            <w:tcW w:w="1134" w:type="dxa"/>
          </w:tcPr>
          <w:p w:rsidR="007D7338" w:rsidRPr="00683343" w:rsidRDefault="007D7338" w:rsidP="00FE6F3C">
            <w:pPr>
              <w:pStyle w:val="tabnum"/>
            </w:pPr>
          </w:p>
        </w:tc>
        <w:tc>
          <w:tcPr>
            <w:tcW w:w="1134" w:type="dxa"/>
          </w:tcPr>
          <w:p w:rsidR="007D7338" w:rsidRPr="00683343" w:rsidRDefault="007D7338" w:rsidP="00FE6F3C">
            <w:pPr>
              <w:pStyle w:val="tabnum"/>
            </w:pPr>
          </w:p>
        </w:tc>
      </w:tr>
      <w:tr w:rsidR="007D7338" w:rsidTr="00FE6F3C">
        <w:trPr>
          <w:trHeight w:val="227"/>
        </w:trPr>
        <w:tc>
          <w:tcPr>
            <w:tcW w:w="4820" w:type="dxa"/>
          </w:tcPr>
          <w:p w:rsidR="007D7338" w:rsidRDefault="007D7338" w:rsidP="00FE6F3C">
            <w:pPr>
              <w:pStyle w:val="TabEtichette"/>
              <w:rPr>
                <w:rFonts w:eastAsia="Arial Unicode MS"/>
              </w:rPr>
            </w:pPr>
            <w:r>
              <w:t>Agricoltura</w:t>
            </w:r>
          </w:p>
        </w:tc>
        <w:tc>
          <w:tcPr>
            <w:tcW w:w="1134" w:type="dxa"/>
          </w:tcPr>
          <w:p w:rsidR="007D7338" w:rsidRPr="00683343" w:rsidRDefault="007D7338" w:rsidP="00FE6F3C">
            <w:pPr>
              <w:pStyle w:val="tabnum"/>
            </w:pPr>
            <w:r w:rsidRPr="00683343">
              <w:t>2,7</w:t>
            </w:r>
          </w:p>
        </w:tc>
        <w:tc>
          <w:tcPr>
            <w:tcW w:w="1134" w:type="dxa"/>
          </w:tcPr>
          <w:p w:rsidR="007D7338" w:rsidRPr="00683343" w:rsidRDefault="007D7338" w:rsidP="00FE6F3C">
            <w:pPr>
              <w:pStyle w:val="tabnum"/>
            </w:pPr>
            <w:r w:rsidRPr="00683343">
              <w:t>11,6</w:t>
            </w:r>
          </w:p>
        </w:tc>
        <w:tc>
          <w:tcPr>
            <w:tcW w:w="1134" w:type="dxa"/>
          </w:tcPr>
          <w:p w:rsidR="007D7338" w:rsidRPr="00683343" w:rsidRDefault="007D7338" w:rsidP="00FE6F3C">
            <w:pPr>
              <w:pStyle w:val="tabnum"/>
            </w:pPr>
            <w:r w:rsidRPr="00683343">
              <w:t>-3,6</w:t>
            </w:r>
          </w:p>
        </w:tc>
        <w:tc>
          <w:tcPr>
            <w:tcW w:w="1134" w:type="dxa"/>
          </w:tcPr>
          <w:p w:rsidR="007D7338" w:rsidRPr="00683343" w:rsidRDefault="007D7338" w:rsidP="00FE6F3C">
            <w:pPr>
              <w:pStyle w:val="tabnum"/>
            </w:pPr>
            <w:r w:rsidRPr="00683343">
              <w:t>-2,7</w:t>
            </w:r>
          </w:p>
        </w:tc>
      </w:tr>
      <w:tr w:rsidR="007D7338" w:rsidTr="00FE6F3C">
        <w:trPr>
          <w:trHeight w:val="227"/>
        </w:trPr>
        <w:tc>
          <w:tcPr>
            <w:tcW w:w="4820" w:type="dxa"/>
          </w:tcPr>
          <w:p w:rsidR="007D7338" w:rsidRDefault="007D7338" w:rsidP="00FE6F3C">
            <w:pPr>
              <w:pStyle w:val="TabEtichette"/>
              <w:rPr>
                <w:rFonts w:eastAsia="Arial Unicode MS"/>
              </w:rPr>
            </w:pPr>
            <w:r>
              <w:t>Industria</w:t>
            </w:r>
          </w:p>
        </w:tc>
        <w:tc>
          <w:tcPr>
            <w:tcW w:w="1134" w:type="dxa"/>
          </w:tcPr>
          <w:p w:rsidR="007D7338" w:rsidRPr="00683343" w:rsidRDefault="007D7338" w:rsidP="00FE6F3C">
            <w:pPr>
              <w:pStyle w:val="tabnum"/>
            </w:pPr>
            <w:r w:rsidRPr="00683343">
              <w:t>2,9</w:t>
            </w:r>
          </w:p>
        </w:tc>
        <w:tc>
          <w:tcPr>
            <w:tcW w:w="1134" w:type="dxa"/>
          </w:tcPr>
          <w:p w:rsidR="007D7338" w:rsidRPr="00683343" w:rsidRDefault="007D7338" w:rsidP="00FE6F3C">
            <w:pPr>
              <w:pStyle w:val="tabnum"/>
            </w:pPr>
            <w:r w:rsidRPr="00683343">
              <w:t>0,2</w:t>
            </w:r>
          </w:p>
        </w:tc>
        <w:tc>
          <w:tcPr>
            <w:tcW w:w="1134" w:type="dxa"/>
          </w:tcPr>
          <w:p w:rsidR="007D7338" w:rsidRPr="00683343" w:rsidRDefault="007D7338" w:rsidP="00FE6F3C">
            <w:pPr>
              <w:pStyle w:val="tabnum"/>
            </w:pPr>
            <w:r w:rsidRPr="00683343">
              <w:t>1,0</w:t>
            </w:r>
          </w:p>
        </w:tc>
        <w:tc>
          <w:tcPr>
            <w:tcW w:w="1134" w:type="dxa"/>
          </w:tcPr>
          <w:p w:rsidR="007D7338" w:rsidRPr="00683343" w:rsidRDefault="007D7338" w:rsidP="00FE6F3C">
            <w:pPr>
              <w:pStyle w:val="tabnum"/>
            </w:pPr>
            <w:r w:rsidRPr="00683343">
              <w:t>0,8</w:t>
            </w:r>
          </w:p>
        </w:tc>
      </w:tr>
      <w:tr w:rsidR="007D7338" w:rsidTr="00FE6F3C">
        <w:trPr>
          <w:trHeight w:val="227"/>
        </w:trPr>
        <w:tc>
          <w:tcPr>
            <w:tcW w:w="4820" w:type="dxa"/>
          </w:tcPr>
          <w:p w:rsidR="007D7338" w:rsidRDefault="007D7338" w:rsidP="00FE6F3C">
            <w:pPr>
              <w:pStyle w:val="TabEtichette"/>
              <w:rPr>
                <w:rFonts w:eastAsia="Arial Unicode MS"/>
              </w:rPr>
            </w:pPr>
            <w:r>
              <w:t>Costruzioni</w:t>
            </w:r>
          </w:p>
        </w:tc>
        <w:tc>
          <w:tcPr>
            <w:tcW w:w="1134" w:type="dxa"/>
          </w:tcPr>
          <w:p w:rsidR="007D7338" w:rsidRPr="00683343" w:rsidRDefault="007D7338" w:rsidP="00FE6F3C">
            <w:pPr>
              <w:pStyle w:val="tabnum"/>
            </w:pPr>
            <w:r w:rsidRPr="00683343">
              <w:t>-9,7</w:t>
            </w:r>
          </w:p>
        </w:tc>
        <w:tc>
          <w:tcPr>
            <w:tcW w:w="1134" w:type="dxa"/>
          </w:tcPr>
          <w:p w:rsidR="007D7338" w:rsidRPr="00683343" w:rsidRDefault="007D7338" w:rsidP="00FE6F3C">
            <w:pPr>
              <w:pStyle w:val="tabnum"/>
            </w:pPr>
            <w:r w:rsidRPr="00683343">
              <w:t>-4,8</w:t>
            </w:r>
          </w:p>
        </w:tc>
        <w:tc>
          <w:tcPr>
            <w:tcW w:w="1134" w:type="dxa"/>
          </w:tcPr>
          <w:p w:rsidR="007D7338" w:rsidRPr="00683343" w:rsidRDefault="007D7338" w:rsidP="00FE6F3C">
            <w:pPr>
              <w:pStyle w:val="tabnum"/>
            </w:pPr>
            <w:r w:rsidRPr="00683343">
              <w:t>0,0</w:t>
            </w:r>
          </w:p>
        </w:tc>
        <w:tc>
          <w:tcPr>
            <w:tcW w:w="1134" w:type="dxa"/>
          </w:tcPr>
          <w:p w:rsidR="007D7338" w:rsidRPr="00683343" w:rsidRDefault="007D7338" w:rsidP="00FE6F3C">
            <w:pPr>
              <w:pStyle w:val="tabnum"/>
            </w:pPr>
            <w:r w:rsidRPr="00683343">
              <w:t>0,3</w:t>
            </w:r>
          </w:p>
        </w:tc>
      </w:tr>
      <w:tr w:rsidR="007D7338" w:rsidTr="00FE6F3C">
        <w:trPr>
          <w:trHeight w:val="227"/>
        </w:trPr>
        <w:tc>
          <w:tcPr>
            <w:tcW w:w="4820" w:type="dxa"/>
          </w:tcPr>
          <w:p w:rsidR="007D7338" w:rsidRDefault="007D7338" w:rsidP="00FE6F3C">
            <w:pPr>
              <w:pStyle w:val="TabEtichette"/>
              <w:rPr>
                <w:rFonts w:eastAsia="Arial Unicode MS"/>
              </w:rPr>
            </w:pPr>
            <w:r>
              <w:t>Servizi</w:t>
            </w:r>
          </w:p>
        </w:tc>
        <w:tc>
          <w:tcPr>
            <w:tcW w:w="1134" w:type="dxa"/>
          </w:tcPr>
          <w:p w:rsidR="007D7338" w:rsidRPr="00683343" w:rsidRDefault="007D7338" w:rsidP="00FE6F3C">
            <w:pPr>
              <w:pStyle w:val="tabnum"/>
            </w:pPr>
            <w:r w:rsidRPr="00683343">
              <w:t>-0,1</w:t>
            </w:r>
          </w:p>
        </w:tc>
        <w:tc>
          <w:tcPr>
            <w:tcW w:w="1134" w:type="dxa"/>
          </w:tcPr>
          <w:p w:rsidR="007D7338" w:rsidRPr="00683343" w:rsidRDefault="007D7338" w:rsidP="00FE6F3C">
            <w:pPr>
              <w:pStyle w:val="tabnum"/>
            </w:pPr>
            <w:r w:rsidRPr="00683343">
              <w:t>3,1</w:t>
            </w:r>
          </w:p>
        </w:tc>
        <w:tc>
          <w:tcPr>
            <w:tcW w:w="1134" w:type="dxa"/>
          </w:tcPr>
          <w:p w:rsidR="007D7338" w:rsidRPr="00683343" w:rsidRDefault="007D7338" w:rsidP="00FE6F3C">
            <w:pPr>
              <w:pStyle w:val="tabnum"/>
            </w:pPr>
            <w:r w:rsidRPr="00683343">
              <w:t>0,8</w:t>
            </w:r>
          </w:p>
        </w:tc>
        <w:tc>
          <w:tcPr>
            <w:tcW w:w="1134" w:type="dxa"/>
          </w:tcPr>
          <w:p w:rsidR="007D7338" w:rsidRPr="00683343" w:rsidRDefault="007D7338" w:rsidP="00FE6F3C">
            <w:pPr>
              <w:pStyle w:val="tabnum"/>
            </w:pPr>
            <w:r w:rsidRPr="00683343">
              <w:t>0,5</w:t>
            </w:r>
          </w:p>
        </w:tc>
      </w:tr>
      <w:tr w:rsidR="007D7338" w:rsidTr="00FE6F3C">
        <w:trPr>
          <w:trHeight w:val="227"/>
        </w:trPr>
        <w:tc>
          <w:tcPr>
            <w:tcW w:w="4820" w:type="dxa"/>
          </w:tcPr>
          <w:p w:rsidR="007D7338" w:rsidRDefault="007D7338" w:rsidP="00FE6F3C">
            <w:pPr>
              <w:pStyle w:val="TabEtichette"/>
              <w:rPr>
                <w:rFonts w:eastAsia="Arial Unicode MS"/>
              </w:rPr>
            </w:pPr>
            <w:r>
              <w:t>Totale</w:t>
            </w:r>
          </w:p>
        </w:tc>
        <w:tc>
          <w:tcPr>
            <w:tcW w:w="1134" w:type="dxa"/>
          </w:tcPr>
          <w:p w:rsidR="007D7338" w:rsidRPr="00683343" w:rsidRDefault="007D7338" w:rsidP="00FE6F3C">
            <w:pPr>
              <w:pStyle w:val="tabnum"/>
            </w:pPr>
            <w:r w:rsidRPr="00683343">
              <w:t>0,1</w:t>
            </w:r>
          </w:p>
        </w:tc>
        <w:tc>
          <w:tcPr>
            <w:tcW w:w="1134" w:type="dxa"/>
          </w:tcPr>
          <w:p w:rsidR="007D7338" w:rsidRPr="00683343" w:rsidRDefault="007D7338" w:rsidP="00FE6F3C">
            <w:pPr>
              <w:pStyle w:val="tabnum"/>
            </w:pPr>
            <w:r w:rsidRPr="00683343">
              <w:t>2,3</w:t>
            </w:r>
          </w:p>
        </w:tc>
        <w:tc>
          <w:tcPr>
            <w:tcW w:w="1134" w:type="dxa"/>
          </w:tcPr>
          <w:p w:rsidR="007D7338" w:rsidRPr="00683343" w:rsidRDefault="007D7338" w:rsidP="00FE6F3C">
            <w:pPr>
              <w:pStyle w:val="tabnum"/>
            </w:pPr>
            <w:r w:rsidRPr="00683343">
              <w:t>0,6</w:t>
            </w:r>
          </w:p>
        </w:tc>
        <w:tc>
          <w:tcPr>
            <w:tcW w:w="1134" w:type="dxa"/>
          </w:tcPr>
          <w:p w:rsidR="007D7338" w:rsidRPr="00683343" w:rsidRDefault="007D7338" w:rsidP="00FE6F3C">
            <w:pPr>
              <w:pStyle w:val="tabnum"/>
            </w:pPr>
            <w:r w:rsidRPr="00683343">
              <w:t>0,4</w:t>
            </w:r>
          </w:p>
        </w:tc>
      </w:tr>
      <w:tr w:rsidR="007D7338" w:rsidTr="00FE6F3C">
        <w:trPr>
          <w:trHeight w:val="227"/>
        </w:trPr>
        <w:tc>
          <w:tcPr>
            <w:tcW w:w="4820" w:type="dxa"/>
          </w:tcPr>
          <w:p w:rsidR="007D7338" w:rsidRPr="00F039B7" w:rsidRDefault="007D7338" w:rsidP="00FE6F3C">
            <w:pPr>
              <w:pStyle w:val="TabEtichSuperiori"/>
              <w:rPr>
                <w:rFonts w:eastAsia="Arial Unicode MS"/>
                <w:b/>
                <w:bCs/>
              </w:rPr>
            </w:pPr>
            <w:r w:rsidRPr="00F039B7">
              <w:rPr>
                <w:b/>
                <w:bCs/>
              </w:rPr>
              <w:t>Rapporti caratteristici</w:t>
            </w:r>
          </w:p>
        </w:tc>
        <w:tc>
          <w:tcPr>
            <w:tcW w:w="1134" w:type="dxa"/>
          </w:tcPr>
          <w:p w:rsidR="007D7338" w:rsidRPr="00683343" w:rsidRDefault="007D7338" w:rsidP="00FE6F3C">
            <w:pPr>
              <w:pStyle w:val="tabnum"/>
            </w:pPr>
          </w:p>
        </w:tc>
        <w:tc>
          <w:tcPr>
            <w:tcW w:w="1134" w:type="dxa"/>
          </w:tcPr>
          <w:p w:rsidR="007D7338" w:rsidRPr="00683343" w:rsidRDefault="007D7338" w:rsidP="00FE6F3C">
            <w:pPr>
              <w:pStyle w:val="tabnum"/>
            </w:pPr>
          </w:p>
        </w:tc>
        <w:tc>
          <w:tcPr>
            <w:tcW w:w="1134" w:type="dxa"/>
          </w:tcPr>
          <w:p w:rsidR="007D7338" w:rsidRPr="00683343" w:rsidRDefault="007D7338" w:rsidP="00FE6F3C">
            <w:pPr>
              <w:pStyle w:val="tabnum"/>
            </w:pPr>
          </w:p>
        </w:tc>
        <w:tc>
          <w:tcPr>
            <w:tcW w:w="1134" w:type="dxa"/>
          </w:tcPr>
          <w:p w:rsidR="007D7338" w:rsidRPr="00683343" w:rsidRDefault="007D7338" w:rsidP="00FE6F3C">
            <w:pPr>
              <w:pStyle w:val="tabnum"/>
            </w:pPr>
          </w:p>
        </w:tc>
      </w:tr>
      <w:tr w:rsidR="007D7338" w:rsidTr="00FE6F3C">
        <w:trPr>
          <w:trHeight w:val="227"/>
        </w:trPr>
        <w:tc>
          <w:tcPr>
            <w:tcW w:w="4820" w:type="dxa"/>
          </w:tcPr>
          <w:p w:rsidR="007D7338" w:rsidRPr="00983308" w:rsidRDefault="007D7338" w:rsidP="00FE6F3C">
            <w:pPr>
              <w:pStyle w:val="TabEtichette"/>
            </w:pPr>
            <w:r w:rsidRPr="00983308">
              <w:t>Forze di lavoro</w:t>
            </w:r>
          </w:p>
        </w:tc>
        <w:tc>
          <w:tcPr>
            <w:tcW w:w="1134" w:type="dxa"/>
          </w:tcPr>
          <w:p w:rsidR="007D7338" w:rsidRPr="00683343" w:rsidRDefault="007D7338" w:rsidP="00FE6F3C">
            <w:pPr>
              <w:pStyle w:val="tabnum"/>
            </w:pPr>
            <w:r w:rsidRPr="00683343">
              <w:t>-0,3</w:t>
            </w:r>
          </w:p>
        </w:tc>
        <w:tc>
          <w:tcPr>
            <w:tcW w:w="1134" w:type="dxa"/>
          </w:tcPr>
          <w:p w:rsidR="007D7338" w:rsidRPr="00683343" w:rsidRDefault="007D7338" w:rsidP="00FE6F3C">
            <w:pPr>
              <w:pStyle w:val="tabnum"/>
            </w:pPr>
            <w:r w:rsidRPr="00683343">
              <w:t>1,6</w:t>
            </w:r>
          </w:p>
        </w:tc>
        <w:tc>
          <w:tcPr>
            <w:tcW w:w="1134" w:type="dxa"/>
          </w:tcPr>
          <w:p w:rsidR="007D7338" w:rsidRPr="00683343" w:rsidRDefault="007D7338" w:rsidP="00FE6F3C">
            <w:pPr>
              <w:pStyle w:val="tabnum"/>
            </w:pPr>
            <w:r w:rsidRPr="00683343">
              <w:t>0,3</w:t>
            </w:r>
          </w:p>
        </w:tc>
        <w:tc>
          <w:tcPr>
            <w:tcW w:w="1134" w:type="dxa"/>
          </w:tcPr>
          <w:p w:rsidR="007D7338" w:rsidRPr="00683343" w:rsidRDefault="007D7338" w:rsidP="00FE6F3C">
            <w:pPr>
              <w:pStyle w:val="tabnum"/>
            </w:pPr>
            <w:r w:rsidRPr="00683343">
              <w:t>0,5</w:t>
            </w:r>
          </w:p>
        </w:tc>
      </w:tr>
      <w:tr w:rsidR="007D7338" w:rsidTr="00FE6F3C">
        <w:trPr>
          <w:trHeight w:val="227"/>
        </w:trPr>
        <w:tc>
          <w:tcPr>
            <w:tcW w:w="4820" w:type="dxa"/>
          </w:tcPr>
          <w:p w:rsidR="007D7338" w:rsidRDefault="007D7338" w:rsidP="00FE6F3C">
            <w:pPr>
              <w:pStyle w:val="TabEtichette"/>
            </w:pPr>
            <w:r w:rsidRPr="00983308">
              <w:t>Occupati</w:t>
            </w:r>
          </w:p>
        </w:tc>
        <w:tc>
          <w:tcPr>
            <w:tcW w:w="1134" w:type="dxa"/>
          </w:tcPr>
          <w:p w:rsidR="007D7338" w:rsidRPr="00683343" w:rsidRDefault="007D7338" w:rsidP="00FE6F3C">
            <w:pPr>
              <w:pStyle w:val="tabnum"/>
            </w:pPr>
            <w:r w:rsidRPr="00683343">
              <w:t>0,4</w:t>
            </w:r>
          </w:p>
        </w:tc>
        <w:tc>
          <w:tcPr>
            <w:tcW w:w="1134" w:type="dxa"/>
          </w:tcPr>
          <w:p w:rsidR="007D7338" w:rsidRPr="00683343" w:rsidRDefault="007D7338" w:rsidP="00FE6F3C">
            <w:pPr>
              <w:pStyle w:val="tabnum"/>
            </w:pPr>
            <w:r w:rsidRPr="00683343">
              <w:t>2,5</w:t>
            </w:r>
          </w:p>
        </w:tc>
        <w:tc>
          <w:tcPr>
            <w:tcW w:w="1134" w:type="dxa"/>
          </w:tcPr>
          <w:p w:rsidR="007D7338" w:rsidRPr="00683343" w:rsidRDefault="007D7338" w:rsidP="00FE6F3C">
            <w:pPr>
              <w:pStyle w:val="tabnum"/>
            </w:pPr>
            <w:r w:rsidRPr="00683343">
              <w:t>0,7</w:t>
            </w:r>
          </w:p>
        </w:tc>
        <w:tc>
          <w:tcPr>
            <w:tcW w:w="1134" w:type="dxa"/>
          </w:tcPr>
          <w:p w:rsidR="007D7338" w:rsidRPr="00683343" w:rsidRDefault="007D7338" w:rsidP="00FE6F3C">
            <w:pPr>
              <w:pStyle w:val="tabnum"/>
            </w:pPr>
            <w:r w:rsidRPr="00683343">
              <w:t>0,6</w:t>
            </w:r>
          </w:p>
        </w:tc>
      </w:tr>
      <w:tr w:rsidR="007D7338" w:rsidTr="00FE6F3C">
        <w:trPr>
          <w:trHeight w:val="227"/>
        </w:trPr>
        <w:tc>
          <w:tcPr>
            <w:tcW w:w="4820" w:type="dxa"/>
          </w:tcPr>
          <w:p w:rsidR="007D7338" w:rsidRPr="007427DC" w:rsidRDefault="007D7338" w:rsidP="00FE6F3C">
            <w:pPr>
              <w:pStyle w:val="tabetic"/>
            </w:pPr>
            <w:r>
              <w:t xml:space="preserve"> Tasso di attività (2)(3</w:t>
            </w:r>
            <w:r w:rsidRPr="007427DC">
              <w:t>)</w:t>
            </w:r>
          </w:p>
        </w:tc>
        <w:tc>
          <w:tcPr>
            <w:tcW w:w="1134" w:type="dxa"/>
          </w:tcPr>
          <w:p w:rsidR="007D7338" w:rsidRPr="00683343" w:rsidRDefault="007D7338" w:rsidP="00FE6F3C">
            <w:pPr>
              <w:pStyle w:val="tabnum"/>
            </w:pPr>
            <w:r w:rsidRPr="00683343">
              <w:t>47,0</w:t>
            </w:r>
          </w:p>
        </w:tc>
        <w:tc>
          <w:tcPr>
            <w:tcW w:w="1134" w:type="dxa"/>
          </w:tcPr>
          <w:p w:rsidR="007D7338" w:rsidRPr="00683343" w:rsidRDefault="007D7338" w:rsidP="00FE6F3C">
            <w:pPr>
              <w:pStyle w:val="tabnum"/>
            </w:pPr>
            <w:r w:rsidRPr="00683343">
              <w:t>47,8</w:t>
            </w:r>
          </w:p>
        </w:tc>
        <w:tc>
          <w:tcPr>
            <w:tcW w:w="1134" w:type="dxa"/>
          </w:tcPr>
          <w:p w:rsidR="007D7338" w:rsidRPr="00683343" w:rsidRDefault="007D7338" w:rsidP="00FE6F3C">
            <w:pPr>
              <w:pStyle w:val="tabnum"/>
            </w:pPr>
            <w:r w:rsidRPr="00683343">
              <w:t>47,8</w:t>
            </w:r>
          </w:p>
        </w:tc>
        <w:tc>
          <w:tcPr>
            <w:tcW w:w="1134" w:type="dxa"/>
          </w:tcPr>
          <w:p w:rsidR="007D7338" w:rsidRPr="00683343" w:rsidRDefault="007D7338" w:rsidP="00FE6F3C">
            <w:pPr>
              <w:pStyle w:val="tabnum"/>
            </w:pPr>
            <w:r w:rsidRPr="00683343">
              <w:t>48,0</w:t>
            </w:r>
          </w:p>
        </w:tc>
      </w:tr>
      <w:tr w:rsidR="007D7338" w:rsidTr="00FE6F3C">
        <w:trPr>
          <w:trHeight w:val="227"/>
        </w:trPr>
        <w:tc>
          <w:tcPr>
            <w:tcW w:w="4820" w:type="dxa"/>
          </w:tcPr>
          <w:p w:rsidR="007D7338" w:rsidRPr="007427DC" w:rsidRDefault="007D7338" w:rsidP="00FE6F3C">
            <w:pPr>
              <w:pStyle w:val="tabetic"/>
            </w:pPr>
            <w:r>
              <w:t xml:space="preserve"> </w:t>
            </w:r>
            <w:r w:rsidRPr="007427DC">
              <w:t>Tasso di occupazione</w:t>
            </w:r>
            <w:r>
              <w:t xml:space="preserve"> </w:t>
            </w:r>
            <w:r w:rsidRPr="007427DC">
              <w:t>(</w:t>
            </w:r>
            <w:r>
              <w:t>2</w:t>
            </w:r>
            <w:r w:rsidRPr="007427DC">
              <w:t>)(</w:t>
            </w:r>
            <w:r>
              <w:t>3</w:t>
            </w:r>
            <w:r w:rsidRPr="007427DC">
              <w:t>)</w:t>
            </w:r>
          </w:p>
        </w:tc>
        <w:tc>
          <w:tcPr>
            <w:tcW w:w="1134" w:type="dxa"/>
          </w:tcPr>
          <w:p w:rsidR="007D7338" w:rsidRPr="00683343" w:rsidRDefault="007D7338" w:rsidP="00FE6F3C">
            <w:pPr>
              <w:pStyle w:val="tabnum"/>
            </w:pPr>
            <w:r w:rsidRPr="00683343">
              <w:t>43,4</w:t>
            </w:r>
          </w:p>
        </w:tc>
        <w:tc>
          <w:tcPr>
            <w:tcW w:w="1134" w:type="dxa"/>
          </w:tcPr>
          <w:p w:rsidR="007D7338" w:rsidRPr="00683343" w:rsidRDefault="007D7338" w:rsidP="00FE6F3C">
            <w:pPr>
              <w:pStyle w:val="tabnum"/>
            </w:pPr>
            <w:r w:rsidRPr="00683343">
              <w:t>44,4</w:t>
            </w:r>
          </w:p>
        </w:tc>
        <w:tc>
          <w:tcPr>
            <w:tcW w:w="1134" w:type="dxa"/>
          </w:tcPr>
          <w:p w:rsidR="007D7338" w:rsidRPr="00683343" w:rsidRDefault="007D7338" w:rsidP="00FE6F3C">
            <w:pPr>
              <w:pStyle w:val="tabnum"/>
            </w:pPr>
            <w:r w:rsidRPr="00683343">
              <w:t>44,7</w:t>
            </w:r>
          </w:p>
        </w:tc>
        <w:tc>
          <w:tcPr>
            <w:tcW w:w="1134" w:type="dxa"/>
          </w:tcPr>
          <w:p w:rsidR="007D7338" w:rsidRPr="00683343" w:rsidRDefault="007D7338" w:rsidP="00FE6F3C">
            <w:pPr>
              <w:pStyle w:val="tabnum"/>
            </w:pPr>
            <w:r w:rsidRPr="00683343">
              <w:t>44,9</w:t>
            </w:r>
          </w:p>
        </w:tc>
      </w:tr>
      <w:tr w:rsidR="007D7338" w:rsidTr="00FE6F3C">
        <w:trPr>
          <w:trHeight w:val="227"/>
        </w:trPr>
        <w:tc>
          <w:tcPr>
            <w:tcW w:w="4820" w:type="dxa"/>
          </w:tcPr>
          <w:p w:rsidR="007D7338" w:rsidRPr="007427DC" w:rsidRDefault="007D7338" w:rsidP="00FE6F3C">
            <w:pPr>
              <w:pStyle w:val="tabetic"/>
            </w:pPr>
            <w:r>
              <w:t xml:space="preserve"> Tasso di disoccupazione (2</w:t>
            </w:r>
            <w:r w:rsidRPr="007427DC">
              <w:t>)</w:t>
            </w:r>
          </w:p>
        </w:tc>
        <w:tc>
          <w:tcPr>
            <w:tcW w:w="1134" w:type="dxa"/>
          </w:tcPr>
          <w:p w:rsidR="007D7338" w:rsidRPr="00683343" w:rsidRDefault="007D7338" w:rsidP="00FE6F3C">
            <w:pPr>
              <w:pStyle w:val="tabnum"/>
            </w:pPr>
            <w:r w:rsidRPr="00683343">
              <w:t>7,7</w:t>
            </w:r>
          </w:p>
        </w:tc>
        <w:tc>
          <w:tcPr>
            <w:tcW w:w="1134" w:type="dxa"/>
          </w:tcPr>
          <w:p w:rsidR="007D7338" w:rsidRPr="00683343" w:rsidRDefault="007D7338" w:rsidP="00FE6F3C">
            <w:pPr>
              <w:pStyle w:val="tabnum"/>
            </w:pPr>
            <w:r w:rsidRPr="00683343">
              <w:t>6,9</w:t>
            </w:r>
          </w:p>
        </w:tc>
        <w:tc>
          <w:tcPr>
            <w:tcW w:w="1134" w:type="dxa"/>
          </w:tcPr>
          <w:p w:rsidR="007D7338" w:rsidRPr="00683343" w:rsidRDefault="007D7338" w:rsidP="00FE6F3C">
            <w:pPr>
              <w:pStyle w:val="tabnum"/>
            </w:pPr>
            <w:r w:rsidRPr="00683343">
              <w:t>6,5</w:t>
            </w:r>
          </w:p>
        </w:tc>
        <w:tc>
          <w:tcPr>
            <w:tcW w:w="1134" w:type="dxa"/>
          </w:tcPr>
          <w:p w:rsidR="007D7338" w:rsidRPr="00683343" w:rsidRDefault="007D7338" w:rsidP="00FE6F3C">
            <w:pPr>
              <w:pStyle w:val="tabnum"/>
            </w:pPr>
            <w:r w:rsidRPr="00683343">
              <w:t>6,4</w:t>
            </w:r>
          </w:p>
        </w:tc>
      </w:tr>
      <w:tr w:rsidR="007D7338" w:rsidTr="00FE6F3C">
        <w:trPr>
          <w:trHeight w:val="227"/>
        </w:trPr>
        <w:tc>
          <w:tcPr>
            <w:tcW w:w="4820" w:type="dxa"/>
          </w:tcPr>
          <w:p w:rsidR="007D7338" w:rsidRPr="001B69AC" w:rsidRDefault="007D7338" w:rsidP="00FE6F3C">
            <w:pPr>
              <w:pStyle w:val="TabEtichSuperiori"/>
              <w:rPr>
                <w:b/>
                <w:bCs/>
              </w:rPr>
            </w:pPr>
            <w:r w:rsidRPr="001B69AC">
              <w:rPr>
                <w:b/>
                <w:bCs/>
              </w:rPr>
              <w:t>Produttività e capacità di spesa</w:t>
            </w:r>
          </w:p>
        </w:tc>
        <w:tc>
          <w:tcPr>
            <w:tcW w:w="1134" w:type="dxa"/>
          </w:tcPr>
          <w:p w:rsidR="007D7338" w:rsidRPr="00683343" w:rsidRDefault="007D7338" w:rsidP="00FE6F3C">
            <w:pPr>
              <w:pStyle w:val="tabnum"/>
            </w:pPr>
          </w:p>
        </w:tc>
        <w:tc>
          <w:tcPr>
            <w:tcW w:w="1134" w:type="dxa"/>
          </w:tcPr>
          <w:p w:rsidR="007D7338" w:rsidRPr="00683343" w:rsidRDefault="007D7338" w:rsidP="00FE6F3C">
            <w:pPr>
              <w:pStyle w:val="tabnum"/>
            </w:pPr>
          </w:p>
        </w:tc>
        <w:tc>
          <w:tcPr>
            <w:tcW w:w="1134" w:type="dxa"/>
          </w:tcPr>
          <w:p w:rsidR="007D7338" w:rsidRPr="00683343" w:rsidRDefault="007D7338" w:rsidP="00FE6F3C">
            <w:pPr>
              <w:pStyle w:val="tabnum"/>
            </w:pPr>
          </w:p>
        </w:tc>
        <w:tc>
          <w:tcPr>
            <w:tcW w:w="1134" w:type="dxa"/>
          </w:tcPr>
          <w:p w:rsidR="007D7338" w:rsidRPr="00683343" w:rsidRDefault="007D7338" w:rsidP="00FE6F3C">
            <w:pPr>
              <w:pStyle w:val="tabnum"/>
            </w:pPr>
          </w:p>
        </w:tc>
      </w:tr>
      <w:tr w:rsidR="007D7338" w:rsidTr="00FE6F3C">
        <w:trPr>
          <w:trHeight w:val="227"/>
        </w:trPr>
        <w:tc>
          <w:tcPr>
            <w:tcW w:w="4820" w:type="dxa"/>
          </w:tcPr>
          <w:p w:rsidR="007D7338" w:rsidRPr="00B130A5" w:rsidRDefault="007D7338" w:rsidP="00FE6F3C">
            <w:pPr>
              <w:pStyle w:val="TabEtichette"/>
            </w:pPr>
            <w:r w:rsidRPr="00B130A5">
              <w:t>Reddito disponibile delle famiglie e Istituz.SP (prezzi correnti)</w:t>
            </w:r>
          </w:p>
        </w:tc>
        <w:tc>
          <w:tcPr>
            <w:tcW w:w="1134" w:type="dxa"/>
          </w:tcPr>
          <w:p w:rsidR="007D7338" w:rsidRPr="00683343" w:rsidRDefault="007D7338" w:rsidP="00FE6F3C">
            <w:pPr>
              <w:pStyle w:val="tabnum"/>
            </w:pPr>
            <w:r w:rsidRPr="00683343">
              <w:t>0,6</w:t>
            </w:r>
          </w:p>
        </w:tc>
        <w:tc>
          <w:tcPr>
            <w:tcW w:w="1134" w:type="dxa"/>
          </w:tcPr>
          <w:p w:rsidR="007D7338" w:rsidRPr="00683343" w:rsidRDefault="007D7338" w:rsidP="00FE6F3C">
            <w:pPr>
              <w:pStyle w:val="tabnum"/>
            </w:pPr>
            <w:r w:rsidRPr="00683343">
              <w:t>2,8</w:t>
            </w:r>
          </w:p>
        </w:tc>
        <w:tc>
          <w:tcPr>
            <w:tcW w:w="1134" w:type="dxa"/>
          </w:tcPr>
          <w:p w:rsidR="007D7338" w:rsidRPr="00683343" w:rsidRDefault="007D7338" w:rsidP="00FE6F3C">
            <w:pPr>
              <w:pStyle w:val="tabnum"/>
            </w:pPr>
            <w:r w:rsidRPr="00683343">
              <w:t>2,2</w:t>
            </w:r>
          </w:p>
        </w:tc>
        <w:tc>
          <w:tcPr>
            <w:tcW w:w="1134" w:type="dxa"/>
          </w:tcPr>
          <w:p w:rsidR="007D7338" w:rsidRPr="00683343" w:rsidRDefault="007D7338" w:rsidP="00FE6F3C">
            <w:pPr>
              <w:pStyle w:val="tabnum"/>
            </w:pPr>
            <w:r w:rsidRPr="00683343">
              <w:t>2,4</w:t>
            </w:r>
          </w:p>
        </w:tc>
      </w:tr>
      <w:tr w:rsidR="007D7338" w:rsidTr="00FE6F3C">
        <w:trPr>
          <w:trHeight w:val="227"/>
        </w:trPr>
        <w:tc>
          <w:tcPr>
            <w:tcW w:w="4820" w:type="dxa"/>
          </w:tcPr>
          <w:p w:rsidR="007D7338" w:rsidRDefault="007D7338" w:rsidP="00FE6F3C">
            <w:pPr>
              <w:pStyle w:val="TabEtichette"/>
            </w:pPr>
            <w:r w:rsidRPr="00B130A5">
              <w:t>Valore aggiunto totale per abitante (migliaia di euro)</w:t>
            </w:r>
          </w:p>
        </w:tc>
        <w:tc>
          <w:tcPr>
            <w:tcW w:w="1134" w:type="dxa"/>
          </w:tcPr>
          <w:p w:rsidR="007D7338" w:rsidRPr="00683343" w:rsidRDefault="007D7338" w:rsidP="00FE6F3C">
            <w:pPr>
              <w:pStyle w:val="tabnum"/>
            </w:pPr>
            <w:r w:rsidRPr="00683343">
              <w:t>28,5</w:t>
            </w:r>
          </w:p>
        </w:tc>
        <w:tc>
          <w:tcPr>
            <w:tcW w:w="1134" w:type="dxa"/>
          </w:tcPr>
          <w:p w:rsidR="007D7338" w:rsidRPr="00683343" w:rsidRDefault="007D7338" w:rsidP="00FE6F3C">
            <w:pPr>
              <w:pStyle w:val="tabnum"/>
            </w:pPr>
            <w:r w:rsidRPr="00683343">
              <w:t>28,9</w:t>
            </w:r>
          </w:p>
        </w:tc>
        <w:tc>
          <w:tcPr>
            <w:tcW w:w="1134" w:type="dxa"/>
          </w:tcPr>
          <w:p w:rsidR="007D7338" w:rsidRPr="00683343" w:rsidRDefault="007D7338" w:rsidP="00FE6F3C">
            <w:pPr>
              <w:pStyle w:val="tabnum"/>
            </w:pPr>
            <w:r w:rsidRPr="00683343">
              <w:t>29,2</w:t>
            </w:r>
          </w:p>
        </w:tc>
        <w:tc>
          <w:tcPr>
            <w:tcW w:w="1134" w:type="dxa"/>
          </w:tcPr>
          <w:p w:rsidR="007D7338" w:rsidRDefault="007D7338" w:rsidP="00FE6F3C">
            <w:pPr>
              <w:pStyle w:val="tabnum"/>
            </w:pPr>
            <w:r w:rsidRPr="00683343">
              <w:t>29,5</w:t>
            </w:r>
          </w:p>
        </w:tc>
      </w:tr>
      <w:tr w:rsidR="007D7338" w:rsidTr="00FE6F3C">
        <w:tc>
          <w:tcPr>
            <w:tcW w:w="9356" w:type="dxa"/>
            <w:gridSpan w:val="5"/>
            <w:tcBorders>
              <w:top w:val="single" w:sz="4" w:space="0" w:color="800000"/>
            </w:tcBorders>
          </w:tcPr>
          <w:p w:rsidR="007D7338" w:rsidRDefault="007D7338" w:rsidP="00FE6F3C">
            <w:pPr>
              <w:pStyle w:val="TabNoteSuperiori"/>
            </w:pPr>
            <w:r>
              <w:t>(1) Al netto delle scorte. (2) Rapporto percentuale. (3) Quota sulla popolazione presente totale.</w:t>
            </w:r>
          </w:p>
          <w:p w:rsidR="007D7338" w:rsidRPr="007C570B" w:rsidRDefault="007D7338" w:rsidP="00FE6F3C">
            <w:pPr>
              <w:pStyle w:val="TabNoteInferiori"/>
            </w:pPr>
            <w:r w:rsidRPr="00B60C06">
              <w:t xml:space="preserve">Fonte: elaborazione Unioncamere E.R. su dati Prometeia, Scenari per le economie locali, gennaio </w:t>
            </w:r>
            <w:r>
              <w:fldChar w:fldCharType="begin"/>
            </w:r>
            <w:r>
              <w:instrText xml:space="preserve"> DATE  \@ "yyyy"  \* MERGEFORMAT </w:instrText>
            </w:r>
            <w:r>
              <w:fldChar w:fldCharType="separate"/>
            </w:r>
            <w:r w:rsidR="00762F0B">
              <w:rPr>
                <w:noProof/>
              </w:rPr>
              <w:t>2017</w:t>
            </w:r>
            <w:r>
              <w:fldChar w:fldCharType="end"/>
            </w:r>
            <w:r w:rsidRPr="00B60C06">
              <w:t>.</w:t>
            </w:r>
          </w:p>
        </w:tc>
      </w:tr>
    </w:tbl>
    <w:p w:rsidR="00DB344E" w:rsidRDefault="00DB344E" w:rsidP="004B7977">
      <w:r>
        <w:t>Dall’analisi della formazione del reddito per settori, emergono il rallentamento della buona ripresa del settore industriale, la conferma della chiusura della fase di recessione per le costruzioni e una lieve e incerta crescita nel settore dei servizi.</w:t>
      </w:r>
    </w:p>
    <w:p w:rsidR="00DB344E" w:rsidRDefault="00DB344E" w:rsidP="004B7977">
      <w:r>
        <w:t xml:space="preserve">Nel 2016 il valore aggiunto prodotto dalle costruzioni dovrebbe avere messo a segno un primo incremento (+0,8 per cento) chiudendo in positivo, dopo otto anni di segni negativi consecutivi. Nel 2017 dovrebbero trovare conferma sia la tendenza positiva, sia il ritmo della crescita (+0,8 per cento). L’effetto </w:t>
      </w:r>
      <w:r>
        <w:lastRenderedPageBreak/>
        <w:t>della pesante crisi del settore emerge comunque chiaramente. Al termine del corrente anno l’indice del valore aggiunto delle costruzioni risulterà ampiamente inferiore al livello del precedente massimo toccato nel 2007 (-44,4 per cento).</w:t>
      </w:r>
    </w:p>
    <w:tbl>
      <w:tblPr>
        <w:tblpPr w:leftFromText="284" w:rightFromText="284" w:topFromText="142" w:bottomFromText="142" w:horzAnchor="margin" w:tblpYSpec="center"/>
        <w:tblOverlap w:val="never"/>
        <w:tblW w:w="0" w:type="auto"/>
        <w:tblLayout w:type="fixed"/>
        <w:tblCellMar>
          <w:left w:w="0" w:type="dxa"/>
          <w:right w:w="0" w:type="dxa"/>
        </w:tblCellMar>
        <w:tblLook w:val="04A0" w:firstRow="1" w:lastRow="0" w:firstColumn="1" w:lastColumn="0" w:noHBand="0" w:noVBand="1"/>
      </w:tblPr>
      <w:tblGrid>
        <w:gridCol w:w="5670"/>
      </w:tblGrid>
      <w:tr w:rsidR="00566C64" w:rsidTr="00EE7CE2">
        <w:trPr>
          <w:cantSplit/>
        </w:trPr>
        <w:tc>
          <w:tcPr>
            <w:tcW w:w="5670" w:type="dxa"/>
            <w:shd w:val="clear" w:color="auto" w:fill="auto"/>
          </w:tcPr>
          <w:p w:rsidR="00215F8A" w:rsidRDefault="00215F8A" w:rsidP="00EE7CE2">
            <w:pPr>
              <w:pStyle w:val="FigTitolo"/>
              <w:ind w:left="1134" w:hanging="1134"/>
            </w:pPr>
            <w:r>
              <w:t xml:space="preserve">Previsione regionale: tasso di variazione delle variabili di conto economico, </w:t>
            </w:r>
            <w:r w:rsidRPr="0083335B">
              <w:t>valori concatenati, anno di rif</w:t>
            </w:r>
            <w:r>
              <w:t xml:space="preserve">. </w:t>
            </w:r>
            <w:r w:rsidRPr="0083335B">
              <w:t>20</w:t>
            </w:r>
            <w:r>
              <w:t>1</w:t>
            </w:r>
            <w:r w:rsidRPr="0083335B">
              <w:t>0</w:t>
            </w:r>
            <w:r>
              <w:t>.</w:t>
            </w:r>
          </w:p>
          <w:p w:rsidR="00215F8A" w:rsidRDefault="0026600C" w:rsidP="00EE7CE2">
            <w:pPr>
              <w:pStyle w:val="Figure"/>
            </w:pPr>
            <w:r>
              <w:rPr>
                <w:noProof/>
              </w:rPr>
              <w:drawing>
                <wp:inline distT="0" distB="0" distL="0" distR="0" wp14:anchorId="2C285041" wp14:editId="219B86F0">
                  <wp:extent cx="3600000" cy="2100580"/>
                  <wp:effectExtent l="0" t="0" r="0" b="0"/>
                  <wp:docPr id="24" name="Grafico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215F8A" w:rsidRDefault="00215F8A" w:rsidP="00EE7CE2">
            <w:pPr>
              <w:pStyle w:val="TabNoteInferiori"/>
            </w:pPr>
            <w:r>
              <w:t xml:space="preserve">Fonte: elaborazione Unioncamere E.R. su dati Prometeia, Scenari per le economie locali, </w:t>
            </w:r>
            <w:r w:rsidRPr="00F17968">
              <w:t>gennaio</w:t>
            </w:r>
            <w:r>
              <w:t xml:space="preserve"> </w:t>
            </w:r>
            <w:r>
              <w:fldChar w:fldCharType="begin"/>
            </w:r>
            <w:r>
              <w:instrText xml:space="preserve"> DATE  \@ "yyyy"  \* MERGEFORMAT </w:instrText>
            </w:r>
            <w:r>
              <w:fldChar w:fldCharType="separate"/>
            </w:r>
            <w:r w:rsidR="00762F0B">
              <w:rPr>
                <w:noProof/>
              </w:rPr>
              <w:t>2017</w:t>
            </w:r>
            <w:r>
              <w:fldChar w:fldCharType="end"/>
            </w:r>
            <w:r>
              <w:t>.</w:t>
            </w:r>
          </w:p>
          <w:p w:rsidR="00215F8A" w:rsidRDefault="00215F8A" w:rsidP="00EE7CE2"/>
          <w:p w:rsidR="00215F8A" w:rsidRDefault="00215F8A" w:rsidP="00EE7CE2"/>
          <w:p w:rsidR="00215F8A" w:rsidRDefault="00215F8A" w:rsidP="00EE7CE2"/>
          <w:p w:rsidR="00215F8A" w:rsidRDefault="00215F8A" w:rsidP="00EE7CE2"/>
          <w:p w:rsidR="00215F8A" w:rsidRDefault="00215F8A" w:rsidP="00EE7CE2"/>
          <w:p w:rsidR="00215F8A" w:rsidRDefault="00215F8A" w:rsidP="00EE7CE2">
            <w:pPr>
              <w:pStyle w:val="FigTitolo"/>
              <w:ind w:left="1134" w:hanging="1134"/>
            </w:pPr>
            <w:r>
              <w:t>Previsione regionale: tasso di variazione del valore aggiunto settoriale.</w:t>
            </w:r>
          </w:p>
          <w:p w:rsidR="00215F8A" w:rsidRDefault="0026600C" w:rsidP="00EE7CE2">
            <w:pPr>
              <w:pStyle w:val="Figure"/>
            </w:pPr>
            <w:r>
              <w:rPr>
                <w:noProof/>
              </w:rPr>
              <w:drawing>
                <wp:inline distT="0" distB="0" distL="0" distR="0" wp14:anchorId="322DBF7C" wp14:editId="2017D70F">
                  <wp:extent cx="3600450" cy="2100580"/>
                  <wp:effectExtent l="0" t="0" r="0" b="0"/>
                  <wp:docPr id="25" name="Grafico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215F8A" w:rsidRDefault="00215F8A" w:rsidP="00EE7CE2">
            <w:pPr>
              <w:pStyle w:val="TabNoteInferiori"/>
            </w:pPr>
            <w:r>
              <w:t xml:space="preserve">Fonte: elaborazione Unioncamere E.R. su dati Prometeia, Scenari per le economie locali, </w:t>
            </w:r>
            <w:r w:rsidRPr="00F17968">
              <w:t>gennaio</w:t>
            </w:r>
            <w:r>
              <w:t xml:space="preserve"> </w:t>
            </w:r>
            <w:r>
              <w:fldChar w:fldCharType="begin"/>
            </w:r>
            <w:r>
              <w:instrText xml:space="preserve"> DATE  \@ "yyyy"  \* MERGEFORMAT </w:instrText>
            </w:r>
            <w:r>
              <w:fldChar w:fldCharType="separate"/>
            </w:r>
            <w:r w:rsidR="00762F0B">
              <w:rPr>
                <w:noProof/>
              </w:rPr>
              <w:t>2017</w:t>
            </w:r>
            <w:r>
              <w:fldChar w:fldCharType="end"/>
            </w:r>
            <w:r>
              <w:t>.</w:t>
            </w:r>
          </w:p>
          <w:p w:rsidR="00215F8A" w:rsidRDefault="00215F8A" w:rsidP="00EE7CE2"/>
          <w:p w:rsidR="00215F8A" w:rsidRDefault="00215F8A" w:rsidP="00EE7CE2"/>
          <w:p w:rsidR="00215F8A" w:rsidRDefault="00215F8A" w:rsidP="00EE7CE2"/>
          <w:p w:rsidR="00215F8A" w:rsidRDefault="00215F8A" w:rsidP="00EE7CE2"/>
          <w:p w:rsidR="00215F8A" w:rsidRDefault="00215F8A" w:rsidP="00EE7CE2"/>
          <w:p w:rsidR="00215F8A" w:rsidRDefault="00215F8A" w:rsidP="00EE7CE2">
            <w:pPr>
              <w:pStyle w:val="FigTitolo"/>
              <w:ind w:left="1134" w:hanging="1134"/>
            </w:pPr>
            <w:r>
              <w:t>Previsione regionale: evoluzione della composizione del valore aggiunto.</w:t>
            </w:r>
          </w:p>
          <w:p w:rsidR="00215F8A" w:rsidRDefault="0026600C" w:rsidP="00EE7CE2">
            <w:pPr>
              <w:pStyle w:val="Figure"/>
            </w:pPr>
            <w:r>
              <w:rPr>
                <w:noProof/>
              </w:rPr>
              <w:drawing>
                <wp:inline distT="0" distB="0" distL="0" distR="0" wp14:anchorId="4435C212" wp14:editId="5D630DB8">
                  <wp:extent cx="3554083" cy="2104845"/>
                  <wp:effectExtent l="0" t="0" r="8890" b="0"/>
                  <wp:docPr id="10" name="Grafico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215F8A" w:rsidRDefault="00215F8A" w:rsidP="00EE7CE2">
            <w:pPr>
              <w:pStyle w:val="TabNoteInferiori"/>
            </w:pPr>
            <w:r>
              <w:t xml:space="preserve">Fonte: elaborazione Unioncamere E.R. su dati Prometeia, Scenari per le economie locali, </w:t>
            </w:r>
            <w:r w:rsidRPr="00F17968">
              <w:t>gennaio</w:t>
            </w:r>
            <w:r>
              <w:t xml:space="preserve"> </w:t>
            </w:r>
            <w:r>
              <w:fldChar w:fldCharType="begin"/>
            </w:r>
            <w:r>
              <w:instrText xml:space="preserve"> DATE  \@ "yyyy"  \* MERGEFORMAT </w:instrText>
            </w:r>
            <w:r>
              <w:fldChar w:fldCharType="separate"/>
            </w:r>
            <w:r w:rsidR="00762F0B">
              <w:rPr>
                <w:noProof/>
              </w:rPr>
              <w:t>2017</w:t>
            </w:r>
            <w:r>
              <w:fldChar w:fldCharType="end"/>
            </w:r>
            <w:r>
              <w:t>.</w:t>
            </w:r>
          </w:p>
        </w:tc>
      </w:tr>
    </w:tbl>
    <w:p w:rsidR="00DB344E" w:rsidRDefault="00DB344E" w:rsidP="004B7977">
      <w:r>
        <w:t>Per l’industria in senso stretto regionale il 2016 dovrebbe essere stato un anno di rallentamento della tendenza positiva. La crescita del valore aggiunto settoriale non dovrebbe essere andata oltre il 2,1 per cento. Nel corso del 2017, si confermerà il trend positivo e il ruolo dell’industria di settore trainante dell’economia regionale, ma la crescita dovrebbe attenuarsi e non andrà oltre l’1,8 per cento. La difficile congiuntura passata ha comunque lasciato una profonda cicatrice anche sul tessuto industriale regionale. Alla fine del 2017, l’indice reale del valore aggiunto industriale risulterà superiore dell’1,1 per cento rispetto al precedente massimo del 2007.</w:t>
      </w:r>
    </w:p>
    <w:p w:rsidR="00DB344E" w:rsidRPr="00922EC0" w:rsidRDefault="00DB344E" w:rsidP="004B7977">
      <w:r>
        <w:t>Il variegato settore dei servizi nel 2016 dovrebbe avere messo a segno un incremento dell’1,0 per cento del valore aggiunto. La ripresa dovrebbe consolidarsi nel corso del 2017, con un nuovo, più contenuto, aumento del valore aggiunto prodotto, questa volta dello 0,8 per cento. Al termine dell’anno corrente il valore aggiunto dei servizi dovrebbe risultare sostanzialmente analogo a quello del precedente massimo toccato nel 2008.</w:t>
      </w:r>
    </w:p>
    <w:p w:rsidR="00DB344E" w:rsidRDefault="00DB344E" w:rsidP="00733D42">
      <w:pPr>
        <w:pStyle w:val="Titolo4"/>
      </w:pPr>
      <w:r>
        <w:t>Il mercato del lavoro</w:t>
      </w:r>
    </w:p>
    <w:p w:rsidR="00DB344E" w:rsidRPr="00DB344E" w:rsidRDefault="00DB344E" w:rsidP="0052027E">
      <w:pPr>
        <w:rPr>
          <w:vanish/>
        </w:rPr>
      </w:pPr>
      <w:r w:rsidRPr="00DB344E">
        <w:t>L’impiego di lavoro nel processo produttivo, valutato in termini di unità di lavoro e quindi al netto della cassa integrazione guadagni, nel 2016 dovrebbe avere fatto registrare finalmente un aumento apprezzabile, con una crescita del 2,3 per cento. Nel 2017 dovrebbe consolidare la tendenza positiva con un aumento dello 0,6 per cento. Si tratta di dati di crescita più solidi rispetto a una tendenza positiva più incerta a livello nazionale.</w:t>
      </w:r>
    </w:p>
    <w:p w:rsidR="00DB344E" w:rsidRPr="00DB344E" w:rsidRDefault="00DB344E" w:rsidP="003A3615">
      <w:r w:rsidRPr="00DB344E">
        <w:t>Si prospetta un quadro in deciso miglioramento per il biennio 2016-</w:t>
      </w:r>
      <w:r w:rsidRPr="00DB344E">
        <w:fldChar w:fldCharType="begin"/>
      </w:r>
      <w:r w:rsidRPr="00DB344E">
        <w:instrText xml:space="preserve"> DATE  \@ "yyyy"  \* MERGEFORMAT </w:instrText>
      </w:r>
      <w:r w:rsidRPr="00DB344E">
        <w:fldChar w:fldCharType="separate"/>
      </w:r>
      <w:r w:rsidR="00762F0B">
        <w:rPr>
          <w:noProof/>
        </w:rPr>
        <w:t>2017</w:t>
      </w:r>
      <w:r w:rsidRPr="00DB344E">
        <w:fldChar w:fldCharType="end"/>
      </w:r>
      <w:r w:rsidRPr="00DB344E">
        <w:t xml:space="preserve">. Aumentano le forze di lavoro e più rapidamente gli occupati, si consolida su un livello più elevato il </w:t>
      </w:r>
      <w:r w:rsidRPr="00DB344E">
        <w:lastRenderedPageBreak/>
        <w:t>tasso di attività e sale quello di occupazione, mentre si riduce rapidamente il tasso di disoccupazione.</w:t>
      </w:r>
    </w:p>
    <w:p w:rsidR="00DB344E" w:rsidRPr="00DB344E" w:rsidRDefault="00DB344E" w:rsidP="003A3615">
      <w:r w:rsidRPr="00DB344E">
        <w:t>In dettaglio, le forze di lavoro sono aumentate sensibilmente nel 2016 (+1,6 per cento), anche per il ritorno sul mercato del lavoro dei lavoratori scoraggiati, e ci si attende un’evoluzione moderatamente positiva anche nel 2017 (+0,3 per cento ). L’aumento delle forze di lavoro dovrebbe avere superato il passo della popolazione. Il tasso di attività, calcolato come quota sulla popolazione presente totale, dovrebbe essere salito al 47,8 per cento nel 2016 e si manterrà stabile nel 2017. Questa ripresa va contro alla tendenza precedente che ha visto il dato regionale restare strutturalmente più elevato di quello nazionale, ma contrarre progressivamente la differenza con quest’ultimo, e accresce il divario con il più basso tasso di attività italiano.</w:t>
      </w:r>
    </w:p>
    <w:p w:rsidR="00DB344E" w:rsidRPr="00DB344E" w:rsidRDefault="00DB344E" w:rsidP="003A3615">
      <w:r w:rsidRPr="00DB344E">
        <w:t>Nel 2016 alla buona ripresa del Pil regionale si è accompagnata una più ampia tendenza positiva relativa al numero degli occupati (+2,5 per cento). Con il prosieguo della ripresa nel 2017, dovrebbe consolidarsi la crescita dell’occupazione (+0,7 per cento), che risulterà inferiore a quella del Pil, permettendo un recupero di produttività. Il tasso di occupazione è salito decisamente nel 2016 (44,4 per cento) e nel 2017 segnerà un’ulteriore leggera crescita (44,7 per cento) accompagnando la ripresa dell’attività. L’effetto della lunga crisi appare comunque evidente e nel 2017 il tasso di occupazione risulterà inferiore di 1,6 punti rispetto al livello del 2008 e di 2,6 punti al di sotto del livello del precedente massimo risalente al 2002.</w:t>
      </w:r>
    </w:p>
    <w:tbl>
      <w:tblPr>
        <w:tblpPr w:topFromText="284" w:bottomFromText="284" w:horzAnchor="margin" w:tblpXSpec="center" w:tblpYSpec="top"/>
        <w:tblOverlap w:val="never"/>
        <w:tblW w:w="0" w:type="auto"/>
        <w:tblLayout w:type="fixed"/>
        <w:tblCellMar>
          <w:left w:w="0" w:type="dxa"/>
          <w:right w:w="0" w:type="dxa"/>
        </w:tblCellMar>
        <w:tblLook w:val="04A0" w:firstRow="1" w:lastRow="0" w:firstColumn="1" w:lastColumn="0" w:noHBand="0" w:noVBand="1"/>
      </w:tblPr>
      <w:tblGrid>
        <w:gridCol w:w="9356"/>
      </w:tblGrid>
      <w:tr w:rsidR="00566C64" w:rsidTr="00EE7CE2">
        <w:tc>
          <w:tcPr>
            <w:tcW w:w="9356" w:type="dxa"/>
            <w:shd w:val="clear" w:color="auto" w:fill="auto"/>
          </w:tcPr>
          <w:p w:rsidR="00215F8A" w:rsidRDefault="00215F8A" w:rsidP="00EE7CE2">
            <w:pPr>
              <w:pStyle w:val="FigTitolo"/>
              <w:ind w:left="1134" w:hanging="1134"/>
            </w:pPr>
            <w:r>
              <w:t>Previsione regionale, i settori : tassi di variazione e numeri indice del valore aggiunto (2000=100)</w:t>
            </w:r>
          </w:p>
          <w:p w:rsidR="00215F8A" w:rsidRDefault="00CB7A03" w:rsidP="00EE7CE2">
            <w:pPr>
              <w:pStyle w:val="Figure"/>
            </w:pPr>
            <w:r w:rsidRPr="00AD0198">
              <w:rPr>
                <w:noProof/>
              </w:rPr>
              <w:drawing>
                <wp:inline distT="0" distB="0" distL="0" distR="0" wp14:anchorId="11BC69D6" wp14:editId="0434FCA7">
                  <wp:extent cx="5904000" cy="2340000"/>
                  <wp:effectExtent l="0" t="0" r="1905" b="3175"/>
                  <wp:docPr id="29" name="Gra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bookmarkStart w:id="7" w:name="_GoBack"/>
            <w:bookmarkEnd w:id="7"/>
          </w:p>
          <w:p w:rsidR="00215F8A" w:rsidRDefault="00215F8A" w:rsidP="00EE7CE2">
            <w:pPr>
              <w:pStyle w:val="TabNoteInferiori"/>
            </w:pPr>
            <w:r w:rsidRPr="0029075E">
              <w:t xml:space="preserve">Fonte: Prometeia, Scenari per le economie locali, </w:t>
            </w:r>
            <w:r w:rsidRPr="00F17968">
              <w:t>gennaio</w:t>
            </w:r>
            <w:r>
              <w:t xml:space="preserve"> </w:t>
            </w:r>
            <w:r>
              <w:fldChar w:fldCharType="begin"/>
            </w:r>
            <w:r>
              <w:instrText xml:space="preserve"> DATE  \@ "yyyy"  \* MERGEFORMAT </w:instrText>
            </w:r>
            <w:r>
              <w:fldChar w:fldCharType="separate"/>
            </w:r>
            <w:r w:rsidR="00762F0B">
              <w:rPr>
                <w:noProof/>
              </w:rPr>
              <w:t>2017</w:t>
            </w:r>
            <w:r>
              <w:fldChar w:fldCharType="end"/>
            </w:r>
            <w:r w:rsidRPr="0029075E">
              <w:t>.</w:t>
            </w:r>
          </w:p>
        </w:tc>
      </w:tr>
    </w:tbl>
    <w:p w:rsidR="00DB344E" w:rsidRPr="00DB344E" w:rsidRDefault="00DB344E" w:rsidP="003A3615">
      <w:r w:rsidRPr="00DB344E">
        <w:t>Il tasso di disoccupazione, che era pari al 2,8 per cento nel 2007, per effetto della recessione ha raggiunto l’8,4 per cento nel 2013. Da allora si è prima gradualmente ridotto e poi, con la ripresa, la sua discesa è divenuta più rapida giungendo al 6,9 per cento per il 2016. Nonostante la leggera decelerazione dell’attività, nel corso del 2017, la disoccupazione dovrebbe ulteriormente ridursi, assestandosi al 6,5 per cento.</w:t>
      </w:r>
    </w:p>
    <w:sectPr w:rsidR="00DB344E" w:rsidRPr="00DB344E" w:rsidSect="00EC7F1C">
      <w:footerReference w:type="even" r:id="rId29"/>
      <w:footerReference w:type="default" r:id="rId30"/>
      <w:footnotePr>
        <w:numRestart w:val="eachSect"/>
      </w:footnotePr>
      <w:pgSz w:w="11907" w:h="16840" w:code="9"/>
      <w:pgMar w:top="1276" w:right="992" w:bottom="1276" w:left="992" w:header="567" w:footer="567" w:gutter="567"/>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5F1A" w:rsidRDefault="008C5F1A">
      <w:r>
        <w:separator/>
      </w:r>
    </w:p>
    <w:p w:rsidR="008C5F1A" w:rsidRDefault="008C5F1A"/>
  </w:endnote>
  <w:endnote w:type="continuationSeparator" w:id="0">
    <w:p w:rsidR="008C5F1A" w:rsidRDefault="008C5F1A">
      <w:r>
        <w:continuationSeparator/>
      </w:r>
    </w:p>
    <w:p w:rsidR="008C5F1A" w:rsidRDefault="008C5F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G Times">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F1C" w:rsidRDefault="000C5215" w:rsidP="00785036">
    <w:pPr>
      <w:pStyle w:val="Pidipagina"/>
      <w:framePr w:wrap="around" w:vAnchor="text" w:hAnchor="margin" w:xAlign="outside" w:y="1"/>
      <w:ind w:firstLine="0"/>
      <w:jc w:val="left"/>
      <w:rPr>
        <w:rStyle w:val="Numeropagina"/>
      </w:rPr>
    </w:pPr>
    <w:r>
      <w:rPr>
        <w:rStyle w:val="Numeropagina"/>
      </w:rPr>
      <w:fldChar w:fldCharType="begin"/>
    </w:r>
    <w:r w:rsidR="00EC7F1C">
      <w:rPr>
        <w:rStyle w:val="Numeropagina"/>
      </w:rPr>
      <w:instrText xml:space="preserve">PAGE  </w:instrText>
    </w:r>
    <w:r>
      <w:rPr>
        <w:rStyle w:val="Numeropagina"/>
      </w:rPr>
      <w:fldChar w:fldCharType="separate"/>
    </w:r>
    <w:r w:rsidR="00CB7A03">
      <w:rPr>
        <w:rStyle w:val="Numeropagina"/>
        <w:noProof/>
      </w:rPr>
      <w:t>14</w:t>
    </w:r>
    <w:r>
      <w:rPr>
        <w:rStyle w:val="Numeropagina"/>
      </w:rPr>
      <w:fldChar w:fldCharType="end"/>
    </w:r>
  </w:p>
  <w:p w:rsidR="00EC7F1C" w:rsidRDefault="00EC7F1C" w:rsidP="00EC7F1C">
    <w:pPr>
      <w:pStyle w:val="Pidipagina"/>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F1C" w:rsidRDefault="000C5215" w:rsidP="00EC7F1C">
    <w:pPr>
      <w:pStyle w:val="Intestazione"/>
      <w:framePr w:wrap="around" w:vAnchor="text" w:hAnchor="margin" w:xAlign="right" w:y="1"/>
      <w:ind w:firstLine="0"/>
      <w:jc w:val="right"/>
      <w:rPr>
        <w:rStyle w:val="Numeropagina"/>
      </w:rPr>
    </w:pPr>
    <w:r>
      <w:rPr>
        <w:rStyle w:val="Numeropagina"/>
      </w:rPr>
      <w:fldChar w:fldCharType="begin"/>
    </w:r>
    <w:r w:rsidR="00EC7F1C">
      <w:rPr>
        <w:rStyle w:val="Numeropagina"/>
      </w:rPr>
      <w:instrText xml:space="preserve">PAGE  </w:instrText>
    </w:r>
    <w:r>
      <w:rPr>
        <w:rStyle w:val="Numeropagina"/>
      </w:rPr>
      <w:fldChar w:fldCharType="separate"/>
    </w:r>
    <w:r w:rsidR="0026600C">
      <w:rPr>
        <w:rStyle w:val="Numeropagina"/>
        <w:noProof/>
      </w:rPr>
      <w:t>13</w:t>
    </w:r>
    <w:r>
      <w:rPr>
        <w:rStyle w:val="Numeropagina"/>
      </w:rPr>
      <w:fldChar w:fldCharType="end"/>
    </w:r>
  </w:p>
  <w:p w:rsidR="00EC7F1C" w:rsidRDefault="00EC7F1C" w:rsidP="00EC7F1C">
    <w:pPr>
      <w:pStyle w:val="Pidipagin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5F1A" w:rsidRDefault="008C5F1A">
      <w:r>
        <w:separator/>
      </w:r>
    </w:p>
    <w:p w:rsidR="008C5F1A" w:rsidRDefault="008C5F1A"/>
  </w:footnote>
  <w:footnote w:type="continuationSeparator" w:id="0">
    <w:p w:rsidR="008C5F1A" w:rsidRDefault="008C5F1A">
      <w:r>
        <w:continuationSeparator/>
      </w:r>
    </w:p>
    <w:p w:rsidR="008C5F1A" w:rsidRDefault="008C5F1A"/>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intFractionalCharacterWidth/>
  <w:mirrorMargin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12A"/>
    <w:rsid w:val="00006931"/>
    <w:rsid w:val="00006FF0"/>
    <w:rsid w:val="000079EF"/>
    <w:rsid w:val="000355D6"/>
    <w:rsid w:val="00072096"/>
    <w:rsid w:val="00085571"/>
    <w:rsid w:val="000954C7"/>
    <w:rsid w:val="000A136A"/>
    <w:rsid w:val="000A47C0"/>
    <w:rsid w:val="000A7ACE"/>
    <w:rsid w:val="000B711D"/>
    <w:rsid w:val="000C35DD"/>
    <w:rsid w:val="000C3780"/>
    <w:rsid w:val="000C5215"/>
    <w:rsid w:val="000C731A"/>
    <w:rsid w:val="000D3408"/>
    <w:rsid w:val="000D77D9"/>
    <w:rsid w:val="000E7C99"/>
    <w:rsid w:val="0011376D"/>
    <w:rsid w:val="00116309"/>
    <w:rsid w:val="001169DB"/>
    <w:rsid w:val="0012006D"/>
    <w:rsid w:val="00143FE6"/>
    <w:rsid w:val="00145433"/>
    <w:rsid w:val="001455FD"/>
    <w:rsid w:val="00151819"/>
    <w:rsid w:val="0019786B"/>
    <w:rsid w:val="001A2E23"/>
    <w:rsid w:val="001B00BB"/>
    <w:rsid w:val="001C7B8A"/>
    <w:rsid w:val="001D3F9B"/>
    <w:rsid w:val="001E2EB1"/>
    <w:rsid w:val="00205EB4"/>
    <w:rsid w:val="002112CA"/>
    <w:rsid w:val="00215F8A"/>
    <w:rsid w:val="00226FD7"/>
    <w:rsid w:val="0023194D"/>
    <w:rsid w:val="002331F6"/>
    <w:rsid w:val="002624CD"/>
    <w:rsid w:val="0026600C"/>
    <w:rsid w:val="00280045"/>
    <w:rsid w:val="00295CB4"/>
    <w:rsid w:val="00297826"/>
    <w:rsid w:val="002A4363"/>
    <w:rsid w:val="002A67C3"/>
    <w:rsid w:val="002B4A67"/>
    <w:rsid w:val="002E0C1E"/>
    <w:rsid w:val="002F3B2B"/>
    <w:rsid w:val="003079C8"/>
    <w:rsid w:val="00311B8C"/>
    <w:rsid w:val="00326BDD"/>
    <w:rsid w:val="00343BBA"/>
    <w:rsid w:val="00370DD3"/>
    <w:rsid w:val="00374C2B"/>
    <w:rsid w:val="0037602F"/>
    <w:rsid w:val="00392CCA"/>
    <w:rsid w:val="003A4CBD"/>
    <w:rsid w:val="003A7986"/>
    <w:rsid w:val="003C6E43"/>
    <w:rsid w:val="003D4594"/>
    <w:rsid w:val="003F66B1"/>
    <w:rsid w:val="00403C5A"/>
    <w:rsid w:val="004045CE"/>
    <w:rsid w:val="00421C45"/>
    <w:rsid w:val="004308CF"/>
    <w:rsid w:val="004618CE"/>
    <w:rsid w:val="004727C6"/>
    <w:rsid w:val="00474F23"/>
    <w:rsid w:val="00475E64"/>
    <w:rsid w:val="0048031B"/>
    <w:rsid w:val="004821B2"/>
    <w:rsid w:val="004B0C54"/>
    <w:rsid w:val="004B4540"/>
    <w:rsid w:val="004B73AB"/>
    <w:rsid w:val="004B7A63"/>
    <w:rsid w:val="004C08CA"/>
    <w:rsid w:val="004C2B43"/>
    <w:rsid w:val="004D12DD"/>
    <w:rsid w:val="004D2755"/>
    <w:rsid w:val="004D5DA3"/>
    <w:rsid w:val="0050153E"/>
    <w:rsid w:val="00507F77"/>
    <w:rsid w:val="005207AD"/>
    <w:rsid w:val="00521119"/>
    <w:rsid w:val="00526DAE"/>
    <w:rsid w:val="00530A7E"/>
    <w:rsid w:val="0053677E"/>
    <w:rsid w:val="00537422"/>
    <w:rsid w:val="00541FB1"/>
    <w:rsid w:val="00566C64"/>
    <w:rsid w:val="00576C2B"/>
    <w:rsid w:val="005A3111"/>
    <w:rsid w:val="005A35E9"/>
    <w:rsid w:val="005B1DC4"/>
    <w:rsid w:val="005E16BE"/>
    <w:rsid w:val="005F729A"/>
    <w:rsid w:val="006017C5"/>
    <w:rsid w:val="0061438E"/>
    <w:rsid w:val="006232D9"/>
    <w:rsid w:val="00624FD5"/>
    <w:rsid w:val="00626989"/>
    <w:rsid w:val="00627304"/>
    <w:rsid w:val="0063075B"/>
    <w:rsid w:val="00646138"/>
    <w:rsid w:val="006657DD"/>
    <w:rsid w:val="0067025A"/>
    <w:rsid w:val="006716DF"/>
    <w:rsid w:val="00675B59"/>
    <w:rsid w:val="00680B91"/>
    <w:rsid w:val="00687AC9"/>
    <w:rsid w:val="00693137"/>
    <w:rsid w:val="006A2313"/>
    <w:rsid w:val="006B24FA"/>
    <w:rsid w:val="006B25D9"/>
    <w:rsid w:val="006C2096"/>
    <w:rsid w:val="006C2562"/>
    <w:rsid w:val="006D0B80"/>
    <w:rsid w:val="006E5935"/>
    <w:rsid w:val="006F1520"/>
    <w:rsid w:val="006F328F"/>
    <w:rsid w:val="006F4958"/>
    <w:rsid w:val="00711AD4"/>
    <w:rsid w:val="00736E99"/>
    <w:rsid w:val="007413B2"/>
    <w:rsid w:val="00762F0B"/>
    <w:rsid w:val="007709BA"/>
    <w:rsid w:val="007767D7"/>
    <w:rsid w:val="00776C28"/>
    <w:rsid w:val="00782A90"/>
    <w:rsid w:val="00785036"/>
    <w:rsid w:val="007864F5"/>
    <w:rsid w:val="007C32E7"/>
    <w:rsid w:val="007D4EF0"/>
    <w:rsid w:val="007D7338"/>
    <w:rsid w:val="007E1ECE"/>
    <w:rsid w:val="007F4A37"/>
    <w:rsid w:val="008001F3"/>
    <w:rsid w:val="0080528A"/>
    <w:rsid w:val="0081512A"/>
    <w:rsid w:val="00823044"/>
    <w:rsid w:val="0083021E"/>
    <w:rsid w:val="00832B4E"/>
    <w:rsid w:val="00847E0A"/>
    <w:rsid w:val="0085240C"/>
    <w:rsid w:val="008575CD"/>
    <w:rsid w:val="00863834"/>
    <w:rsid w:val="00865D33"/>
    <w:rsid w:val="00872B5F"/>
    <w:rsid w:val="008761FF"/>
    <w:rsid w:val="00885A3D"/>
    <w:rsid w:val="008917D4"/>
    <w:rsid w:val="008A59C8"/>
    <w:rsid w:val="008B2D4A"/>
    <w:rsid w:val="008C5F1A"/>
    <w:rsid w:val="008D2187"/>
    <w:rsid w:val="008E1F7C"/>
    <w:rsid w:val="008F762B"/>
    <w:rsid w:val="00904F49"/>
    <w:rsid w:val="00906A3E"/>
    <w:rsid w:val="009124B3"/>
    <w:rsid w:val="009135F2"/>
    <w:rsid w:val="00920B2B"/>
    <w:rsid w:val="00927E9E"/>
    <w:rsid w:val="009317C6"/>
    <w:rsid w:val="00937B5A"/>
    <w:rsid w:val="00943682"/>
    <w:rsid w:val="009439FA"/>
    <w:rsid w:val="00946774"/>
    <w:rsid w:val="009520BC"/>
    <w:rsid w:val="00956CB8"/>
    <w:rsid w:val="00962949"/>
    <w:rsid w:val="00964213"/>
    <w:rsid w:val="0096720D"/>
    <w:rsid w:val="00986FFE"/>
    <w:rsid w:val="00997F90"/>
    <w:rsid w:val="009A19E1"/>
    <w:rsid w:val="009B6044"/>
    <w:rsid w:val="009D0172"/>
    <w:rsid w:val="009F1A6A"/>
    <w:rsid w:val="009F7EE6"/>
    <w:rsid w:val="00A04E5E"/>
    <w:rsid w:val="00A206B3"/>
    <w:rsid w:val="00A226D3"/>
    <w:rsid w:val="00A56554"/>
    <w:rsid w:val="00A7082C"/>
    <w:rsid w:val="00A71672"/>
    <w:rsid w:val="00A72937"/>
    <w:rsid w:val="00A730F5"/>
    <w:rsid w:val="00A8353A"/>
    <w:rsid w:val="00A90F5A"/>
    <w:rsid w:val="00A92FA0"/>
    <w:rsid w:val="00A97F64"/>
    <w:rsid w:val="00AA3813"/>
    <w:rsid w:val="00AA704C"/>
    <w:rsid w:val="00AB3C50"/>
    <w:rsid w:val="00AD3962"/>
    <w:rsid w:val="00B0117D"/>
    <w:rsid w:val="00B141FF"/>
    <w:rsid w:val="00B27432"/>
    <w:rsid w:val="00B300CF"/>
    <w:rsid w:val="00B3596A"/>
    <w:rsid w:val="00B37865"/>
    <w:rsid w:val="00B510DE"/>
    <w:rsid w:val="00B720B6"/>
    <w:rsid w:val="00B74896"/>
    <w:rsid w:val="00BA4E1E"/>
    <w:rsid w:val="00BA6EC0"/>
    <w:rsid w:val="00BB4979"/>
    <w:rsid w:val="00BC1241"/>
    <w:rsid w:val="00BC5420"/>
    <w:rsid w:val="00BD7C77"/>
    <w:rsid w:val="00BD7ED5"/>
    <w:rsid w:val="00BF4352"/>
    <w:rsid w:val="00C10760"/>
    <w:rsid w:val="00C35C72"/>
    <w:rsid w:val="00C40E72"/>
    <w:rsid w:val="00C44E27"/>
    <w:rsid w:val="00C91709"/>
    <w:rsid w:val="00CA7D73"/>
    <w:rsid w:val="00CB605B"/>
    <w:rsid w:val="00CB7A03"/>
    <w:rsid w:val="00CC5909"/>
    <w:rsid w:val="00CD278F"/>
    <w:rsid w:val="00CE0250"/>
    <w:rsid w:val="00CF2079"/>
    <w:rsid w:val="00D03990"/>
    <w:rsid w:val="00D11BF6"/>
    <w:rsid w:val="00D2026C"/>
    <w:rsid w:val="00D20CDE"/>
    <w:rsid w:val="00D32334"/>
    <w:rsid w:val="00D765FD"/>
    <w:rsid w:val="00D91F47"/>
    <w:rsid w:val="00DB344E"/>
    <w:rsid w:val="00DB7F10"/>
    <w:rsid w:val="00DD14C1"/>
    <w:rsid w:val="00DD43EA"/>
    <w:rsid w:val="00DF3629"/>
    <w:rsid w:val="00DF42E6"/>
    <w:rsid w:val="00E01DC4"/>
    <w:rsid w:val="00E06656"/>
    <w:rsid w:val="00E167FF"/>
    <w:rsid w:val="00E52DE6"/>
    <w:rsid w:val="00E534DF"/>
    <w:rsid w:val="00E55380"/>
    <w:rsid w:val="00E65941"/>
    <w:rsid w:val="00E678F3"/>
    <w:rsid w:val="00E67F80"/>
    <w:rsid w:val="00E743E6"/>
    <w:rsid w:val="00E85754"/>
    <w:rsid w:val="00EA3B0A"/>
    <w:rsid w:val="00EB3CB6"/>
    <w:rsid w:val="00EC7F1C"/>
    <w:rsid w:val="00ED09E7"/>
    <w:rsid w:val="00ED3E7E"/>
    <w:rsid w:val="00EE115B"/>
    <w:rsid w:val="00EE2F9D"/>
    <w:rsid w:val="00EE7CE2"/>
    <w:rsid w:val="00EF5DA0"/>
    <w:rsid w:val="00F216E5"/>
    <w:rsid w:val="00F333A5"/>
    <w:rsid w:val="00F34C07"/>
    <w:rsid w:val="00F516F4"/>
    <w:rsid w:val="00F56FF5"/>
    <w:rsid w:val="00F60684"/>
    <w:rsid w:val="00F61994"/>
    <w:rsid w:val="00F81090"/>
    <w:rsid w:val="00F81CE8"/>
    <w:rsid w:val="00F82353"/>
    <w:rsid w:val="00F858D8"/>
    <w:rsid w:val="00F91DDE"/>
    <w:rsid w:val="00F94364"/>
    <w:rsid w:val="00F97B57"/>
    <w:rsid w:val="00FA4C39"/>
    <w:rsid w:val="00FB0790"/>
    <w:rsid w:val="00FB413C"/>
    <w:rsid w:val="00FB5FA2"/>
    <w:rsid w:val="00FC1708"/>
    <w:rsid w:val="00FC2012"/>
    <w:rsid w:val="00FF03A4"/>
    <w:rsid w:val="00FF42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997F90"/>
    <w:pPr>
      <w:spacing w:line="240" w:lineRule="atLeast"/>
      <w:ind w:firstLine="227"/>
      <w:jc w:val="both"/>
    </w:pPr>
    <w:rPr>
      <w:rFonts w:ascii="Arial" w:hAnsi="Arial"/>
    </w:rPr>
  </w:style>
  <w:style w:type="paragraph" w:styleId="Titolo1">
    <w:name w:val="heading 1"/>
    <w:basedOn w:val="Normale"/>
    <w:next w:val="Titolo2"/>
    <w:qFormat/>
    <w:rsid w:val="00646138"/>
    <w:pPr>
      <w:keepNext/>
      <w:keepLines/>
      <w:tabs>
        <w:tab w:val="left" w:pos="851"/>
      </w:tabs>
      <w:spacing w:after="1680"/>
      <w:ind w:left="851" w:hanging="851"/>
      <w:jc w:val="left"/>
      <w:outlineLvl w:val="0"/>
    </w:pPr>
    <w:rPr>
      <w:b/>
      <w:color w:val="800000"/>
      <w:sz w:val="32"/>
    </w:rPr>
  </w:style>
  <w:style w:type="paragraph" w:styleId="Titolo2">
    <w:name w:val="heading 2"/>
    <w:basedOn w:val="Normale"/>
    <w:next w:val="Normale"/>
    <w:qFormat/>
    <w:rsid w:val="008F762B"/>
    <w:pPr>
      <w:keepNext/>
      <w:keepLines/>
      <w:tabs>
        <w:tab w:val="left" w:pos="737"/>
      </w:tabs>
      <w:spacing w:before="480" w:after="240"/>
      <w:ind w:left="737" w:hanging="737"/>
      <w:jc w:val="left"/>
      <w:outlineLvl w:val="1"/>
    </w:pPr>
    <w:rPr>
      <w:b/>
      <w:color w:val="800000"/>
    </w:rPr>
  </w:style>
  <w:style w:type="paragraph" w:styleId="Titolo3">
    <w:name w:val="heading 3"/>
    <w:basedOn w:val="Titolo2"/>
    <w:next w:val="Normale"/>
    <w:qFormat/>
    <w:rsid w:val="00F61994"/>
    <w:pPr>
      <w:tabs>
        <w:tab w:val="clear" w:pos="737"/>
        <w:tab w:val="left" w:pos="851"/>
      </w:tabs>
      <w:ind w:left="851" w:hanging="851"/>
      <w:outlineLvl w:val="2"/>
    </w:pPr>
    <w:rPr>
      <w:b w:val="0"/>
      <w:i/>
    </w:rPr>
  </w:style>
  <w:style w:type="paragraph" w:styleId="Titolo4">
    <w:name w:val="heading 4"/>
    <w:basedOn w:val="Titolo3"/>
    <w:next w:val="Normale"/>
    <w:qFormat/>
    <w:rsid w:val="00475E64"/>
    <w:pPr>
      <w:tabs>
        <w:tab w:val="clear" w:pos="851"/>
        <w:tab w:val="left" w:pos="1021"/>
      </w:tabs>
      <w:spacing w:before="240" w:after="0"/>
      <w:ind w:left="1021" w:hanging="1021"/>
      <w:outlineLvl w:val="3"/>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semiHidden/>
    <w:rsid w:val="00997F90"/>
    <w:pPr>
      <w:spacing w:before="60" w:line="200" w:lineRule="atLeast"/>
    </w:pPr>
    <w:rPr>
      <w:sz w:val="16"/>
    </w:rPr>
  </w:style>
  <w:style w:type="paragraph" w:styleId="Rientronormale">
    <w:name w:val="Normal Indent"/>
    <w:basedOn w:val="Normale"/>
    <w:rsid w:val="00997F90"/>
    <w:pPr>
      <w:ind w:left="567" w:hanging="340"/>
    </w:pPr>
  </w:style>
  <w:style w:type="paragraph" w:customStyle="1" w:styleId="Figure">
    <w:name w:val="Figure"/>
    <w:basedOn w:val="Normale"/>
    <w:next w:val="Normale"/>
    <w:rsid w:val="00521119"/>
    <w:pPr>
      <w:keepLines/>
      <w:spacing w:line="240" w:lineRule="auto"/>
      <w:ind w:firstLine="0"/>
      <w:jc w:val="center"/>
    </w:pPr>
    <w:rPr>
      <w:sz w:val="16"/>
    </w:rPr>
  </w:style>
  <w:style w:type="paragraph" w:customStyle="1" w:styleId="FigTitolo">
    <w:name w:val="Fig Titolo"/>
    <w:basedOn w:val="TabTitolo"/>
    <w:rsid w:val="00537422"/>
    <w:pPr>
      <w:spacing w:after="0"/>
    </w:pPr>
  </w:style>
  <w:style w:type="paragraph" w:styleId="Intestazione">
    <w:name w:val="header"/>
    <w:basedOn w:val="Normale"/>
    <w:rsid w:val="005B1DC4"/>
    <w:pPr>
      <w:tabs>
        <w:tab w:val="center" w:pos="4819"/>
        <w:tab w:val="right" w:pos="9638"/>
      </w:tabs>
    </w:pPr>
  </w:style>
  <w:style w:type="paragraph" w:customStyle="1" w:styleId="TabSeparazioni">
    <w:name w:val="Tab Separazioni"/>
    <w:basedOn w:val="Normale"/>
    <w:rsid w:val="00ED3E7E"/>
    <w:pPr>
      <w:keepNext/>
      <w:keepLines/>
      <w:spacing w:before="80" w:line="240" w:lineRule="auto"/>
      <w:ind w:firstLine="0"/>
      <w:jc w:val="left"/>
    </w:pPr>
    <w:rPr>
      <w:b/>
      <w:sz w:val="16"/>
    </w:rPr>
  </w:style>
  <w:style w:type="paragraph" w:customStyle="1" w:styleId="TabNumInferiori">
    <w:name w:val="Tab Num Inferiori"/>
    <w:basedOn w:val="TabNumeri"/>
    <w:rsid w:val="00BF4352"/>
    <w:pPr>
      <w:spacing w:after="40"/>
    </w:pPr>
  </w:style>
  <w:style w:type="paragraph" w:customStyle="1" w:styleId="TabNumeri">
    <w:name w:val="Tab Numeri"/>
    <w:basedOn w:val="Normale"/>
    <w:rsid w:val="00B300CF"/>
    <w:pPr>
      <w:keepLines/>
      <w:spacing w:line="240" w:lineRule="auto"/>
      <w:ind w:firstLine="0"/>
      <w:jc w:val="right"/>
    </w:pPr>
    <w:rPr>
      <w:sz w:val="16"/>
    </w:rPr>
  </w:style>
  <w:style w:type="paragraph" w:customStyle="1" w:styleId="TabTitolo">
    <w:name w:val="Tab Titolo"/>
    <w:basedOn w:val="Normale"/>
    <w:rsid w:val="00A226D3"/>
    <w:pPr>
      <w:keepNext/>
      <w:keepLines/>
      <w:tabs>
        <w:tab w:val="left" w:pos="907"/>
      </w:tabs>
      <w:spacing w:after="80" w:line="240" w:lineRule="auto"/>
      <w:ind w:left="907" w:hanging="907"/>
      <w:jc w:val="left"/>
    </w:pPr>
    <w:rPr>
      <w:i/>
      <w:color w:val="800000"/>
      <w:sz w:val="16"/>
    </w:rPr>
  </w:style>
  <w:style w:type="paragraph" w:customStyle="1" w:styleId="TabNoteSuperiori">
    <w:name w:val="Tab Note Superiori"/>
    <w:basedOn w:val="Normale"/>
    <w:rsid w:val="00B300CF"/>
    <w:pPr>
      <w:keepLines/>
      <w:spacing w:before="60" w:line="240" w:lineRule="auto"/>
      <w:ind w:firstLine="0"/>
    </w:pPr>
    <w:rPr>
      <w:sz w:val="16"/>
    </w:rPr>
  </w:style>
  <w:style w:type="paragraph" w:customStyle="1" w:styleId="TabNoteInferiori">
    <w:name w:val="Tab Note Inferiori"/>
    <w:basedOn w:val="TabNoteSuperiori"/>
    <w:rsid w:val="00997F90"/>
    <w:pPr>
      <w:spacing w:before="0"/>
    </w:pPr>
  </w:style>
  <w:style w:type="paragraph" w:customStyle="1" w:styleId="TabIntestazioni">
    <w:name w:val="Tab Intestazioni"/>
    <w:basedOn w:val="Normale"/>
    <w:rsid w:val="00B300CF"/>
    <w:pPr>
      <w:keepNext/>
      <w:keepLines/>
      <w:spacing w:before="80" w:after="80" w:line="240" w:lineRule="auto"/>
      <w:ind w:firstLine="0"/>
      <w:jc w:val="center"/>
    </w:pPr>
    <w:rPr>
      <w:i/>
      <w:sz w:val="16"/>
    </w:rPr>
  </w:style>
  <w:style w:type="paragraph" w:customStyle="1" w:styleId="TabIntestaSup">
    <w:name w:val="Tab Intesta Sup"/>
    <w:basedOn w:val="TabIntestazioni"/>
    <w:rsid w:val="00997F90"/>
    <w:pPr>
      <w:spacing w:before="60" w:after="20"/>
    </w:pPr>
  </w:style>
  <w:style w:type="paragraph" w:customStyle="1" w:styleId="TabIntestaSupBordo">
    <w:name w:val="Tab Intesta Sup Bordo"/>
    <w:basedOn w:val="TabIntestaSup"/>
    <w:rsid w:val="00997F90"/>
    <w:pPr>
      <w:pBdr>
        <w:bottom w:val="single" w:sz="4" w:space="1" w:color="auto"/>
      </w:pBdr>
      <w:ind w:left="57" w:right="57"/>
    </w:pPr>
  </w:style>
  <w:style w:type="paragraph" w:customStyle="1" w:styleId="TabIntestaInf">
    <w:name w:val="Tab Intesta Inf"/>
    <w:basedOn w:val="TabIntestazioni"/>
    <w:rsid w:val="00997F90"/>
    <w:pPr>
      <w:spacing w:before="0" w:after="60"/>
    </w:pPr>
  </w:style>
  <w:style w:type="paragraph" w:customStyle="1" w:styleId="TabIntestazCentro">
    <w:name w:val="Tab Intestaz Centro"/>
    <w:basedOn w:val="TabIntestazioni"/>
    <w:rsid w:val="00997F90"/>
    <w:pPr>
      <w:spacing w:before="0" w:after="20"/>
    </w:pPr>
  </w:style>
  <w:style w:type="paragraph" w:customStyle="1" w:styleId="TabIntestaCentroBordo">
    <w:name w:val="Tab Intesta Centro Bordo"/>
    <w:basedOn w:val="TabIntestazCentro"/>
    <w:rsid w:val="00997F90"/>
    <w:pPr>
      <w:pBdr>
        <w:bottom w:val="single" w:sz="4" w:space="1" w:color="auto"/>
      </w:pBdr>
      <w:ind w:left="57" w:right="57"/>
    </w:pPr>
  </w:style>
  <w:style w:type="paragraph" w:customStyle="1" w:styleId="TabEtichette">
    <w:name w:val="Tab Etichette"/>
    <w:basedOn w:val="Normale"/>
    <w:rsid w:val="00B300CF"/>
    <w:pPr>
      <w:keepLines/>
      <w:spacing w:line="240" w:lineRule="auto"/>
      <w:ind w:firstLine="0"/>
      <w:jc w:val="left"/>
    </w:pPr>
    <w:rPr>
      <w:sz w:val="16"/>
    </w:rPr>
  </w:style>
  <w:style w:type="paragraph" w:customStyle="1" w:styleId="TabNumSuperiori">
    <w:name w:val="Tab Num Superiori"/>
    <w:basedOn w:val="TabNumeri"/>
    <w:rsid w:val="00BF4352"/>
    <w:pPr>
      <w:spacing w:before="40"/>
    </w:pPr>
  </w:style>
  <w:style w:type="paragraph" w:customStyle="1" w:styleId="Fineoggettoword">
    <w:name w:val="Fine oggetto word"/>
    <w:basedOn w:val="TabNoteInferiori"/>
    <w:rsid w:val="00997F90"/>
    <w:rPr>
      <w:i/>
      <w:sz w:val="12"/>
    </w:rPr>
  </w:style>
  <w:style w:type="character" w:styleId="Numeropagina">
    <w:name w:val="page number"/>
    <w:rsid w:val="00997F90"/>
    <w:rPr>
      <w:rFonts w:ascii="Arial" w:hAnsi="Arial"/>
      <w:sz w:val="20"/>
    </w:rPr>
  </w:style>
  <w:style w:type="paragraph" w:customStyle="1" w:styleId="Intestazionecorsivo">
    <w:name w:val="Intestazione corsivo"/>
    <w:basedOn w:val="Normale"/>
    <w:rsid w:val="00521119"/>
    <w:pPr>
      <w:ind w:left="357" w:right="357" w:firstLine="0"/>
      <w:jc w:val="center"/>
    </w:pPr>
    <w:rPr>
      <w:i/>
      <w:noProof/>
      <w:sz w:val="16"/>
    </w:rPr>
  </w:style>
  <w:style w:type="paragraph" w:customStyle="1" w:styleId="Pidipaginacorsivo">
    <w:name w:val="Piè di pagina corsivo"/>
    <w:basedOn w:val="Normale"/>
    <w:rsid w:val="00521119"/>
    <w:pPr>
      <w:ind w:firstLine="0"/>
      <w:jc w:val="center"/>
    </w:pPr>
    <w:rPr>
      <w:i/>
      <w:sz w:val="16"/>
    </w:rPr>
  </w:style>
  <w:style w:type="paragraph" w:customStyle="1" w:styleId="TabEtichSuperiori">
    <w:name w:val="Tab Etich Superiori"/>
    <w:basedOn w:val="TabEtichette"/>
    <w:rsid w:val="00BF4352"/>
    <w:pPr>
      <w:spacing w:before="40"/>
    </w:pPr>
  </w:style>
  <w:style w:type="paragraph" w:customStyle="1" w:styleId="TabEtichInferiori">
    <w:name w:val="Tab Etich Inferiori"/>
    <w:basedOn w:val="TabEtichette"/>
    <w:rsid w:val="00BF4352"/>
    <w:pPr>
      <w:spacing w:after="40"/>
    </w:pPr>
  </w:style>
  <w:style w:type="paragraph" w:customStyle="1" w:styleId="TitoloParte">
    <w:name w:val="Titolo Parte"/>
    <w:basedOn w:val="Titolo1"/>
    <w:rsid w:val="007C32E7"/>
    <w:rPr>
      <w:caps/>
      <w:sz w:val="36"/>
    </w:rPr>
  </w:style>
  <w:style w:type="character" w:styleId="Rimandonotaapidipagina">
    <w:name w:val="footnote reference"/>
    <w:semiHidden/>
    <w:rsid w:val="00736E99"/>
    <w:rPr>
      <w:vertAlign w:val="superscript"/>
    </w:rPr>
  </w:style>
  <w:style w:type="paragraph" w:styleId="Sommario1">
    <w:name w:val="toc 1"/>
    <w:basedOn w:val="Normale"/>
    <w:next w:val="Normale"/>
    <w:autoRedefine/>
    <w:semiHidden/>
    <w:rsid w:val="007C32E7"/>
  </w:style>
  <w:style w:type="paragraph" w:customStyle="1" w:styleId="autori">
    <w:name w:val="autori"/>
    <w:basedOn w:val="Normale"/>
    <w:rsid w:val="009135F2"/>
    <w:pPr>
      <w:ind w:left="57" w:right="57" w:firstLine="0"/>
      <w:jc w:val="left"/>
    </w:pPr>
    <w:rPr>
      <w:color w:val="800000"/>
      <w:sz w:val="18"/>
    </w:rPr>
  </w:style>
  <w:style w:type="paragraph" w:customStyle="1" w:styleId="Introduzionenormalecorsivo">
    <w:name w:val="Introduzione normale corsivo"/>
    <w:basedOn w:val="Normale"/>
    <w:qFormat/>
    <w:rsid w:val="00B37865"/>
    <w:pPr>
      <w:spacing w:line="360" w:lineRule="auto"/>
    </w:pPr>
    <w:rPr>
      <w:rFonts w:cs="Arial"/>
      <w:i/>
    </w:rPr>
  </w:style>
  <w:style w:type="paragraph" w:styleId="Pidipagina">
    <w:name w:val="footer"/>
    <w:basedOn w:val="Normale"/>
    <w:link w:val="PidipaginaCarattere"/>
    <w:rsid w:val="000B711D"/>
    <w:pPr>
      <w:tabs>
        <w:tab w:val="center" w:pos="4819"/>
        <w:tab w:val="right" w:pos="9638"/>
      </w:tabs>
      <w:spacing w:line="240" w:lineRule="auto"/>
    </w:pPr>
  </w:style>
  <w:style w:type="character" w:customStyle="1" w:styleId="PidipaginaCarattere">
    <w:name w:val="Piè di pagina Carattere"/>
    <w:link w:val="Pidipagina"/>
    <w:rsid w:val="000B711D"/>
    <w:rPr>
      <w:rFonts w:ascii="Arial" w:hAnsi="Arial"/>
    </w:rPr>
  </w:style>
  <w:style w:type="paragraph" w:customStyle="1" w:styleId="nascosto">
    <w:name w:val="nascosto"/>
    <w:basedOn w:val="Normale"/>
    <w:next w:val="Normale"/>
    <w:qFormat/>
    <w:rsid w:val="002E0C1E"/>
    <w:rPr>
      <w:vanish/>
      <w:color w:val="FF00FF"/>
    </w:rPr>
  </w:style>
  <w:style w:type="character" w:styleId="Collegamentoipertestuale">
    <w:name w:val="Hyperlink"/>
    <w:uiPriority w:val="99"/>
    <w:rsid w:val="00DD14C1"/>
    <w:rPr>
      <w:color w:val="0000FF"/>
      <w:u w:val="single"/>
    </w:rPr>
  </w:style>
  <w:style w:type="paragraph" w:styleId="Testocommento">
    <w:name w:val="annotation text"/>
    <w:basedOn w:val="Normale"/>
    <w:link w:val="TestocommentoCarattere"/>
    <w:rsid w:val="00946774"/>
  </w:style>
  <w:style w:type="character" w:customStyle="1" w:styleId="TestocommentoCarattere">
    <w:name w:val="Testo commento Carattere"/>
    <w:link w:val="Testocommento"/>
    <w:rsid w:val="00946774"/>
    <w:rPr>
      <w:rFonts w:ascii="Arial" w:hAnsi="Arial"/>
    </w:rPr>
  </w:style>
  <w:style w:type="character" w:customStyle="1" w:styleId="nascostoCarattere">
    <w:name w:val="nascosto Carattere"/>
    <w:rsid w:val="00EE2F9D"/>
    <w:rPr>
      <w:vanish/>
      <w:color w:val="FF00FF"/>
      <w:lang w:val="it-IT" w:eastAsia="it-IT" w:bidi="ar-SA"/>
    </w:rPr>
  </w:style>
  <w:style w:type="paragraph" w:styleId="Paragrafoelenco">
    <w:name w:val="List Paragraph"/>
    <w:basedOn w:val="Normale"/>
    <w:uiPriority w:val="34"/>
    <w:qFormat/>
    <w:rsid w:val="0053677E"/>
    <w:pPr>
      <w:ind w:left="720"/>
      <w:contextualSpacing/>
    </w:pPr>
  </w:style>
  <w:style w:type="character" w:styleId="Collegamentovisitato">
    <w:name w:val="FollowedHyperlink"/>
    <w:rsid w:val="006C2096"/>
    <w:rPr>
      <w:color w:val="800080"/>
      <w:u w:val="single"/>
    </w:rPr>
  </w:style>
  <w:style w:type="paragraph" w:styleId="Testofumetto">
    <w:name w:val="Balloon Text"/>
    <w:basedOn w:val="Normale"/>
    <w:link w:val="TestofumettoCarattere"/>
    <w:rsid w:val="0011376D"/>
    <w:pPr>
      <w:spacing w:line="240" w:lineRule="auto"/>
    </w:pPr>
    <w:rPr>
      <w:rFonts w:ascii="Tahoma" w:hAnsi="Tahoma" w:cs="Tahoma"/>
      <w:sz w:val="16"/>
      <w:szCs w:val="16"/>
    </w:rPr>
  </w:style>
  <w:style w:type="character" w:customStyle="1" w:styleId="TestofumettoCarattere">
    <w:name w:val="Testo fumetto Carattere"/>
    <w:link w:val="Testofumetto"/>
    <w:rsid w:val="0011376D"/>
    <w:rPr>
      <w:rFonts w:ascii="Tahoma" w:hAnsi="Tahoma" w:cs="Tahoma"/>
      <w:sz w:val="16"/>
      <w:szCs w:val="16"/>
    </w:rPr>
  </w:style>
  <w:style w:type="table" w:styleId="Grigliatabella">
    <w:name w:val="Table Grid"/>
    <w:basedOn w:val="Tabellanormale"/>
    <w:rsid w:val="00A8353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num">
    <w:name w:val="tab num"/>
    <w:basedOn w:val="Normale"/>
    <w:qFormat/>
    <w:rsid w:val="007D7338"/>
    <w:pPr>
      <w:keepLines/>
      <w:spacing w:line="240" w:lineRule="auto"/>
      <w:ind w:firstLine="0"/>
      <w:jc w:val="right"/>
    </w:pPr>
    <w:rPr>
      <w:sz w:val="16"/>
      <w:szCs w:val="24"/>
    </w:rPr>
  </w:style>
  <w:style w:type="paragraph" w:customStyle="1" w:styleId="tabetic">
    <w:name w:val="tab etic"/>
    <w:basedOn w:val="Normale"/>
    <w:qFormat/>
    <w:rsid w:val="007D7338"/>
    <w:pPr>
      <w:keepLines/>
      <w:tabs>
        <w:tab w:val="left" w:pos="113"/>
        <w:tab w:val="left" w:pos="227"/>
      </w:tabs>
      <w:spacing w:line="240" w:lineRule="auto"/>
      <w:ind w:firstLine="0"/>
      <w:jc w:val="left"/>
    </w:pPr>
    <w:rPr>
      <w:sz w:val="16"/>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997F90"/>
    <w:pPr>
      <w:spacing w:line="240" w:lineRule="atLeast"/>
      <w:ind w:firstLine="227"/>
      <w:jc w:val="both"/>
    </w:pPr>
    <w:rPr>
      <w:rFonts w:ascii="Arial" w:hAnsi="Arial"/>
    </w:rPr>
  </w:style>
  <w:style w:type="paragraph" w:styleId="Titolo1">
    <w:name w:val="heading 1"/>
    <w:basedOn w:val="Normale"/>
    <w:next w:val="Titolo2"/>
    <w:qFormat/>
    <w:rsid w:val="00646138"/>
    <w:pPr>
      <w:keepNext/>
      <w:keepLines/>
      <w:tabs>
        <w:tab w:val="left" w:pos="851"/>
      </w:tabs>
      <w:spacing w:after="1680"/>
      <w:ind w:left="851" w:hanging="851"/>
      <w:jc w:val="left"/>
      <w:outlineLvl w:val="0"/>
    </w:pPr>
    <w:rPr>
      <w:b/>
      <w:color w:val="800000"/>
      <w:sz w:val="32"/>
    </w:rPr>
  </w:style>
  <w:style w:type="paragraph" w:styleId="Titolo2">
    <w:name w:val="heading 2"/>
    <w:basedOn w:val="Normale"/>
    <w:next w:val="Normale"/>
    <w:qFormat/>
    <w:rsid w:val="008F762B"/>
    <w:pPr>
      <w:keepNext/>
      <w:keepLines/>
      <w:tabs>
        <w:tab w:val="left" w:pos="737"/>
      </w:tabs>
      <w:spacing w:before="480" w:after="240"/>
      <w:ind w:left="737" w:hanging="737"/>
      <w:jc w:val="left"/>
      <w:outlineLvl w:val="1"/>
    </w:pPr>
    <w:rPr>
      <w:b/>
      <w:color w:val="800000"/>
    </w:rPr>
  </w:style>
  <w:style w:type="paragraph" w:styleId="Titolo3">
    <w:name w:val="heading 3"/>
    <w:basedOn w:val="Titolo2"/>
    <w:next w:val="Normale"/>
    <w:qFormat/>
    <w:rsid w:val="00F61994"/>
    <w:pPr>
      <w:tabs>
        <w:tab w:val="clear" w:pos="737"/>
        <w:tab w:val="left" w:pos="851"/>
      </w:tabs>
      <w:ind w:left="851" w:hanging="851"/>
      <w:outlineLvl w:val="2"/>
    </w:pPr>
    <w:rPr>
      <w:b w:val="0"/>
      <w:i/>
    </w:rPr>
  </w:style>
  <w:style w:type="paragraph" w:styleId="Titolo4">
    <w:name w:val="heading 4"/>
    <w:basedOn w:val="Titolo3"/>
    <w:next w:val="Normale"/>
    <w:qFormat/>
    <w:rsid w:val="00475E64"/>
    <w:pPr>
      <w:tabs>
        <w:tab w:val="clear" w:pos="851"/>
        <w:tab w:val="left" w:pos="1021"/>
      </w:tabs>
      <w:spacing w:before="240" w:after="0"/>
      <w:ind w:left="1021" w:hanging="1021"/>
      <w:outlineLvl w:val="3"/>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semiHidden/>
    <w:rsid w:val="00997F90"/>
    <w:pPr>
      <w:spacing w:before="60" w:line="200" w:lineRule="atLeast"/>
    </w:pPr>
    <w:rPr>
      <w:sz w:val="16"/>
    </w:rPr>
  </w:style>
  <w:style w:type="paragraph" w:styleId="Rientronormale">
    <w:name w:val="Normal Indent"/>
    <w:basedOn w:val="Normale"/>
    <w:rsid w:val="00997F90"/>
    <w:pPr>
      <w:ind w:left="567" w:hanging="340"/>
    </w:pPr>
  </w:style>
  <w:style w:type="paragraph" w:customStyle="1" w:styleId="Figure">
    <w:name w:val="Figure"/>
    <w:basedOn w:val="Normale"/>
    <w:next w:val="Normale"/>
    <w:rsid w:val="00521119"/>
    <w:pPr>
      <w:keepLines/>
      <w:spacing w:line="240" w:lineRule="auto"/>
      <w:ind w:firstLine="0"/>
      <w:jc w:val="center"/>
    </w:pPr>
    <w:rPr>
      <w:sz w:val="16"/>
    </w:rPr>
  </w:style>
  <w:style w:type="paragraph" w:customStyle="1" w:styleId="FigTitolo">
    <w:name w:val="Fig Titolo"/>
    <w:basedOn w:val="TabTitolo"/>
    <w:rsid w:val="00537422"/>
    <w:pPr>
      <w:spacing w:after="0"/>
    </w:pPr>
  </w:style>
  <w:style w:type="paragraph" w:styleId="Intestazione">
    <w:name w:val="header"/>
    <w:basedOn w:val="Normale"/>
    <w:rsid w:val="005B1DC4"/>
    <w:pPr>
      <w:tabs>
        <w:tab w:val="center" w:pos="4819"/>
        <w:tab w:val="right" w:pos="9638"/>
      </w:tabs>
    </w:pPr>
  </w:style>
  <w:style w:type="paragraph" w:customStyle="1" w:styleId="TabSeparazioni">
    <w:name w:val="Tab Separazioni"/>
    <w:basedOn w:val="Normale"/>
    <w:rsid w:val="00ED3E7E"/>
    <w:pPr>
      <w:keepNext/>
      <w:keepLines/>
      <w:spacing w:before="80" w:line="240" w:lineRule="auto"/>
      <w:ind w:firstLine="0"/>
      <w:jc w:val="left"/>
    </w:pPr>
    <w:rPr>
      <w:b/>
      <w:sz w:val="16"/>
    </w:rPr>
  </w:style>
  <w:style w:type="paragraph" w:customStyle="1" w:styleId="TabNumInferiori">
    <w:name w:val="Tab Num Inferiori"/>
    <w:basedOn w:val="TabNumeri"/>
    <w:rsid w:val="00BF4352"/>
    <w:pPr>
      <w:spacing w:after="40"/>
    </w:pPr>
  </w:style>
  <w:style w:type="paragraph" w:customStyle="1" w:styleId="TabNumeri">
    <w:name w:val="Tab Numeri"/>
    <w:basedOn w:val="Normale"/>
    <w:rsid w:val="00B300CF"/>
    <w:pPr>
      <w:keepLines/>
      <w:spacing w:line="240" w:lineRule="auto"/>
      <w:ind w:firstLine="0"/>
      <w:jc w:val="right"/>
    </w:pPr>
    <w:rPr>
      <w:sz w:val="16"/>
    </w:rPr>
  </w:style>
  <w:style w:type="paragraph" w:customStyle="1" w:styleId="TabTitolo">
    <w:name w:val="Tab Titolo"/>
    <w:basedOn w:val="Normale"/>
    <w:rsid w:val="00A226D3"/>
    <w:pPr>
      <w:keepNext/>
      <w:keepLines/>
      <w:tabs>
        <w:tab w:val="left" w:pos="907"/>
      </w:tabs>
      <w:spacing w:after="80" w:line="240" w:lineRule="auto"/>
      <w:ind w:left="907" w:hanging="907"/>
      <w:jc w:val="left"/>
    </w:pPr>
    <w:rPr>
      <w:i/>
      <w:color w:val="800000"/>
      <w:sz w:val="16"/>
    </w:rPr>
  </w:style>
  <w:style w:type="paragraph" w:customStyle="1" w:styleId="TabNoteSuperiori">
    <w:name w:val="Tab Note Superiori"/>
    <w:basedOn w:val="Normale"/>
    <w:rsid w:val="00B300CF"/>
    <w:pPr>
      <w:keepLines/>
      <w:spacing w:before="60" w:line="240" w:lineRule="auto"/>
      <w:ind w:firstLine="0"/>
    </w:pPr>
    <w:rPr>
      <w:sz w:val="16"/>
    </w:rPr>
  </w:style>
  <w:style w:type="paragraph" w:customStyle="1" w:styleId="TabNoteInferiori">
    <w:name w:val="Tab Note Inferiori"/>
    <w:basedOn w:val="TabNoteSuperiori"/>
    <w:rsid w:val="00997F90"/>
    <w:pPr>
      <w:spacing w:before="0"/>
    </w:pPr>
  </w:style>
  <w:style w:type="paragraph" w:customStyle="1" w:styleId="TabIntestazioni">
    <w:name w:val="Tab Intestazioni"/>
    <w:basedOn w:val="Normale"/>
    <w:rsid w:val="00B300CF"/>
    <w:pPr>
      <w:keepNext/>
      <w:keepLines/>
      <w:spacing w:before="80" w:after="80" w:line="240" w:lineRule="auto"/>
      <w:ind w:firstLine="0"/>
      <w:jc w:val="center"/>
    </w:pPr>
    <w:rPr>
      <w:i/>
      <w:sz w:val="16"/>
    </w:rPr>
  </w:style>
  <w:style w:type="paragraph" w:customStyle="1" w:styleId="TabIntestaSup">
    <w:name w:val="Tab Intesta Sup"/>
    <w:basedOn w:val="TabIntestazioni"/>
    <w:rsid w:val="00997F90"/>
    <w:pPr>
      <w:spacing w:before="60" w:after="20"/>
    </w:pPr>
  </w:style>
  <w:style w:type="paragraph" w:customStyle="1" w:styleId="TabIntestaSupBordo">
    <w:name w:val="Tab Intesta Sup Bordo"/>
    <w:basedOn w:val="TabIntestaSup"/>
    <w:rsid w:val="00997F90"/>
    <w:pPr>
      <w:pBdr>
        <w:bottom w:val="single" w:sz="4" w:space="1" w:color="auto"/>
      </w:pBdr>
      <w:ind w:left="57" w:right="57"/>
    </w:pPr>
  </w:style>
  <w:style w:type="paragraph" w:customStyle="1" w:styleId="TabIntestaInf">
    <w:name w:val="Tab Intesta Inf"/>
    <w:basedOn w:val="TabIntestazioni"/>
    <w:rsid w:val="00997F90"/>
    <w:pPr>
      <w:spacing w:before="0" w:after="60"/>
    </w:pPr>
  </w:style>
  <w:style w:type="paragraph" w:customStyle="1" w:styleId="TabIntestazCentro">
    <w:name w:val="Tab Intestaz Centro"/>
    <w:basedOn w:val="TabIntestazioni"/>
    <w:rsid w:val="00997F90"/>
    <w:pPr>
      <w:spacing w:before="0" w:after="20"/>
    </w:pPr>
  </w:style>
  <w:style w:type="paragraph" w:customStyle="1" w:styleId="TabIntestaCentroBordo">
    <w:name w:val="Tab Intesta Centro Bordo"/>
    <w:basedOn w:val="TabIntestazCentro"/>
    <w:rsid w:val="00997F90"/>
    <w:pPr>
      <w:pBdr>
        <w:bottom w:val="single" w:sz="4" w:space="1" w:color="auto"/>
      </w:pBdr>
      <w:ind w:left="57" w:right="57"/>
    </w:pPr>
  </w:style>
  <w:style w:type="paragraph" w:customStyle="1" w:styleId="TabEtichette">
    <w:name w:val="Tab Etichette"/>
    <w:basedOn w:val="Normale"/>
    <w:rsid w:val="00B300CF"/>
    <w:pPr>
      <w:keepLines/>
      <w:spacing w:line="240" w:lineRule="auto"/>
      <w:ind w:firstLine="0"/>
      <w:jc w:val="left"/>
    </w:pPr>
    <w:rPr>
      <w:sz w:val="16"/>
    </w:rPr>
  </w:style>
  <w:style w:type="paragraph" w:customStyle="1" w:styleId="TabNumSuperiori">
    <w:name w:val="Tab Num Superiori"/>
    <w:basedOn w:val="TabNumeri"/>
    <w:rsid w:val="00BF4352"/>
    <w:pPr>
      <w:spacing w:before="40"/>
    </w:pPr>
  </w:style>
  <w:style w:type="paragraph" w:customStyle="1" w:styleId="Fineoggettoword">
    <w:name w:val="Fine oggetto word"/>
    <w:basedOn w:val="TabNoteInferiori"/>
    <w:rsid w:val="00997F90"/>
    <w:rPr>
      <w:i/>
      <w:sz w:val="12"/>
    </w:rPr>
  </w:style>
  <w:style w:type="character" w:styleId="Numeropagina">
    <w:name w:val="page number"/>
    <w:rsid w:val="00997F90"/>
    <w:rPr>
      <w:rFonts w:ascii="Arial" w:hAnsi="Arial"/>
      <w:sz w:val="20"/>
    </w:rPr>
  </w:style>
  <w:style w:type="paragraph" w:customStyle="1" w:styleId="Intestazionecorsivo">
    <w:name w:val="Intestazione corsivo"/>
    <w:basedOn w:val="Normale"/>
    <w:rsid w:val="00521119"/>
    <w:pPr>
      <w:ind w:left="357" w:right="357" w:firstLine="0"/>
      <w:jc w:val="center"/>
    </w:pPr>
    <w:rPr>
      <w:i/>
      <w:noProof/>
      <w:sz w:val="16"/>
    </w:rPr>
  </w:style>
  <w:style w:type="paragraph" w:customStyle="1" w:styleId="Pidipaginacorsivo">
    <w:name w:val="Piè di pagina corsivo"/>
    <w:basedOn w:val="Normale"/>
    <w:rsid w:val="00521119"/>
    <w:pPr>
      <w:ind w:firstLine="0"/>
      <w:jc w:val="center"/>
    </w:pPr>
    <w:rPr>
      <w:i/>
      <w:sz w:val="16"/>
    </w:rPr>
  </w:style>
  <w:style w:type="paragraph" w:customStyle="1" w:styleId="TabEtichSuperiori">
    <w:name w:val="Tab Etich Superiori"/>
    <w:basedOn w:val="TabEtichette"/>
    <w:rsid w:val="00BF4352"/>
    <w:pPr>
      <w:spacing w:before="40"/>
    </w:pPr>
  </w:style>
  <w:style w:type="paragraph" w:customStyle="1" w:styleId="TabEtichInferiori">
    <w:name w:val="Tab Etich Inferiori"/>
    <w:basedOn w:val="TabEtichette"/>
    <w:rsid w:val="00BF4352"/>
    <w:pPr>
      <w:spacing w:after="40"/>
    </w:pPr>
  </w:style>
  <w:style w:type="paragraph" w:customStyle="1" w:styleId="TitoloParte">
    <w:name w:val="Titolo Parte"/>
    <w:basedOn w:val="Titolo1"/>
    <w:rsid w:val="007C32E7"/>
    <w:rPr>
      <w:caps/>
      <w:sz w:val="36"/>
    </w:rPr>
  </w:style>
  <w:style w:type="character" w:styleId="Rimandonotaapidipagina">
    <w:name w:val="footnote reference"/>
    <w:semiHidden/>
    <w:rsid w:val="00736E99"/>
    <w:rPr>
      <w:vertAlign w:val="superscript"/>
    </w:rPr>
  </w:style>
  <w:style w:type="paragraph" w:styleId="Sommario1">
    <w:name w:val="toc 1"/>
    <w:basedOn w:val="Normale"/>
    <w:next w:val="Normale"/>
    <w:autoRedefine/>
    <w:semiHidden/>
    <w:rsid w:val="007C32E7"/>
  </w:style>
  <w:style w:type="paragraph" w:customStyle="1" w:styleId="autori">
    <w:name w:val="autori"/>
    <w:basedOn w:val="Normale"/>
    <w:rsid w:val="009135F2"/>
    <w:pPr>
      <w:ind w:left="57" w:right="57" w:firstLine="0"/>
      <w:jc w:val="left"/>
    </w:pPr>
    <w:rPr>
      <w:color w:val="800000"/>
      <w:sz w:val="18"/>
    </w:rPr>
  </w:style>
  <w:style w:type="paragraph" w:customStyle="1" w:styleId="Introduzionenormalecorsivo">
    <w:name w:val="Introduzione normale corsivo"/>
    <w:basedOn w:val="Normale"/>
    <w:qFormat/>
    <w:rsid w:val="00B37865"/>
    <w:pPr>
      <w:spacing w:line="360" w:lineRule="auto"/>
    </w:pPr>
    <w:rPr>
      <w:rFonts w:cs="Arial"/>
      <w:i/>
    </w:rPr>
  </w:style>
  <w:style w:type="paragraph" w:styleId="Pidipagina">
    <w:name w:val="footer"/>
    <w:basedOn w:val="Normale"/>
    <w:link w:val="PidipaginaCarattere"/>
    <w:rsid w:val="000B711D"/>
    <w:pPr>
      <w:tabs>
        <w:tab w:val="center" w:pos="4819"/>
        <w:tab w:val="right" w:pos="9638"/>
      </w:tabs>
      <w:spacing w:line="240" w:lineRule="auto"/>
    </w:pPr>
  </w:style>
  <w:style w:type="character" w:customStyle="1" w:styleId="PidipaginaCarattere">
    <w:name w:val="Piè di pagina Carattere"/>
    <w:link w:val="Pidipagina"/>
    <w:rsid w:val="000B711D"/>
    <w:rPr>
      <w:rFonts w:ascii="Arial" w:hAnsi="Arial"/>
    </w:rPr>
  </w:style>
  <w:style w:type="paragraph" w:customStyle="1" w:styleId="nascosto">
    <w:name w:val="nascosto"/>
    <w:basedOn w:val="Normale"/>
    <w:next w:val="Normale"/>
    <w:qFormat/>
    <w:rsid w:val="002E0C1E"/>
    <w:rPr>
      <w:vanish/>
      <w:color w:val="FF00FF"/>
    </w:rPr>
  </w:style>
  <w:style w:type="character" w:styleId="Collegamentoipertestuale">
    <w:name w:val="Hyperlink"/>
    <w:uiPriority w:val="99"/>
    <w:rsid w:val="00DD14C1"/>
    <w:rPr>
      <w:color w:val="0000FF"/>
      <w:u w:val="single"/>
    </w:rPr>
  </w:style>
  <w:style w:type="paragraph" w:styleId="Testocommento">
    <w:name w:val="annotation text"/>
    <w:basedOn w:val="Normale"/>
    <w:link w:val="TestocommentoCarattere"/>
    <w:rsid w:val="00946774"/>
  </w:style>
  <w:style w:type="character" w:customStyle="1" w:styleId="TestocommentoCarattere">
    <w:name w:val="Testo commento Carattere"/>
    <w:link w:val="Testocommento"/>
    <w:rsid w:val="00946774"/>
    <w:rPr>
      <w:rFonts w:ascii="Arial" w:hAnsi="Arial"/>
    </w:rPr>
  </w:style>
  <w:style w:type="character" w:customStyle="1" w:styleId="nascostoCarattere">
    <w:name w:val="nascosto Carattere"/>
    <w:rsid w:val="00EE2F9D"/>
    <w:rPr>
      <w:vanish/>
      <w:color w:val="FF00FF"/>
      <w:lang w:val="it-IT" w:eastAsia="it-IT" w:bidi="ar-SA"/>
    </w:rPr>
  </w:style>
  <w:style w:type="paragraph" w:styleId="Paragrafoelenco">
    <w:name w:val="List Paragraph"/>
    <w:basedOn w:val="Normale"/>
    <w:uiPriority w:val="34"/>
    <w:qFormat/>
    <w:rsid w:val="0053677E"/>
    <w:pPr>
      <w:ind w:left="720"/>
      <w:contextualSpacing/>
    </w:pPr>
  </w:style>
  <w:style w:type="character" w:styleId="Collegamentovisitato">
    <w:name w:val="FollowedHyperlink"/>
    <w:rsid w:val="006C2096"/>
    <w:rPr>
      <w:color w:val="800080"/>
      <w:u w:val="single"/>
    </w:rPr>
  </w:style>
  <w:style w:type="paragraph" w:styleId="Testofumetto">
    <w:name w:val="Balloon Text"/>
    <w:basedOn w:val="Normale"/>
    <w:link w:val="TestofumettoCarattere"/>
    <w:rsid w:val="0011376D"/>
    <w:pPr>
      <w:spacing w:line="240" w:lineRule="auto"/>
    </w:pPr>
    <w:rPr>
      <w:rFonts w:ascii="Tahoma" w:hAnsi="Tahoma" w:cs="Tahoma"/>
      <w:sz w:val="16"/>
      <w:szCs w:val="16"/>
    </w:rPr>
  </w:style>
  <w:style w:type="character" w:customStyle="1" w:styleId="TestofumettoCarattere">
    <w:name w:val="Testo fumetto Carattere"/>
    <w:link w:val="Testofumetto"/>
    <w:rsid w:val="0011376D"/>
    <w:rPr>
      <w:rFonts w:ascii="Tahoma" w:hAnsi="Tahoma" w:cs="Tahoma"/>
      <w:sz w:val="16"/>
      <w:szCs w:val="16"/>
    </w:rPr>
  </w:style>
  <w:style w:type="table" w:styleId="Grigliatabella">
    <w:name w:val="Table Grid"/>
    <w:basedOn w:val="Tabellanormale"/>
    <w:rsid w:val="00A8353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num">
    <w:name w:val="tab num"/>
    <w:basedOn w:val="Normale"/>
    <w:qFormat/>
    <w:rsid w:val="007D7338"/>
    <w:pPr>
      <w:keepLines/>
      <w:spacing w:line="240" w:lineRule="auto"/>
      <w:ind w:firstLine="0"/>
      <w:jc w:val="right"/>
    </w:pPr>
    <w:rPr>
      <w:sz w:val="16"/>
      <w:szCs w:val="24"/>
    </w:rPr>
  </w:style>
  <w:style w:type="paragraph" w:customStyle="1" w:styleId="tabetic">
    <w:name w:val="tab etic"/>
    <w:basedOn w:val="Normale"/>
    <w:qFormat/>
    <w:rsid w:val="007D7338"/>
    <w:pPr>
      <w:keepLines/>
      <w:tabs>
        <w:tab w:val="left" w:pos="113"/>
        <w:tab w:val="left" w:pos="227"/>
      </w:tabs>
      <w:spacing w:line="240" w:lineRule="auto"/>
      <w:ind w:firstLine="0"/>
      <w:jc w:val="left"/>
    </w:pPr>
    <w:rPr>
      <w:sz w:val="1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chart" Target="charts/chart3.xml"/><Relationship Id="rId3" Type="http://schemas.microsoft.com/office/2007/relationships/stylesWithEffects" Target="stylesWithEffect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emf"/><Relationship Id="rId25" Type="http://schemas.openxmlformats.org/officeDocument/2006/relationships/chart" Target="charts/chart2.xml"/><Relationship Id="rId2" Type="http://schemas.openxmlformats.org/officeDocument/2006/relationships/styles" Target="styles.xml"/><Relationship Id="rId16" Type="http://schemas.openxmlformats.org/officeDocument/2006/relationships/image" Target="media/image9.emf"/><Relationship Id="rId20" Type="http://schemas.openxmlformats.org/officeDocument/2006/relationships/image" Target="media/image13.pn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chart" Target="charts/chart1.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image" Target="media/image16.png"/><Relationship Id="rId28" Type="http://schemas.openxmlformats.org/officeDocument/2006/relationships/chart" Target="charts/chart5.xml"/><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5.png"/><Relationship Id="rId27" Type="http://schemas.openxmlformats.org/officeDocument/2006/relationships/chart" Target="charts/chart4.xml"/><Relationship Id="rId30" Type="http://schemas.openxmlformats.org/officeDocument/2006/relationships/footer" Target="footer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3.4084376794264626E-2"/>
          <c:y val="3.1659313725490655E-2"/>
          <c:w val="0.89120562330623354"/>
          <c:h val="0.88538151731568193"/>
        </c:manualLayout>
      </c:layout>
      <c:barChart>
        <c:barDir val="col"/>
        <c:grouping val="clustered"/>
        <c:varyColors val="0"/>
        <c:ser>
          <c:idx val="2"/>
          <c:order val="2"/>
          <c:tx>
            <c:strRef>
              <c:f>Foglio1!$D$1</c:f>
              <c:strCache>
                <c:ptCount val="1"/>
                <c:pt idx="0">
                  <c:v>Emilia-Romagna</c:v>
                </c:pt>
              </c:strCache>
            </c:strRef>
          </c:tx>
          <c:spPr>
            <a:solidFill>
              <a:srgbClr val="D99694"/>
            </a:solidFill>
            <a:ln>
              <a:solidFill>
                <a:srgbClr val="C00000"/>
              </a:solidFill>
            </a:ln>
          </c:spPr>
          <c:invertIfNegative val="0"/>
          <c:dLbls>
            <c:dLbl>
              <c:idx val="13"/>
              <c:showLegendKey val="0"/>
              <c:showVal val="1"/>
              <c:showCatName val="0"/>
              <c:showSerName val="0"/>
              <c:showPercent val="0"/>
              <c:showBubbleSize val="0"/>
            </c:dLbl>
            <c:numFmt formatCode="0.0;[Red]\-0.0" sourceLinked="0"/>
            <c:showLegendKey val="0"/>
            <c:showVal val="0"/>
            <c:showCatName val="0"/>
            <c:showSerName val="0"/>
            <c:showPercent val="0"/>
            <c:showBubbleSize val="0"/>
          </c:dLbls>
          <c:cat>
            <c:numRef>
              <c:f>Foglio1!$A$2:$A$16</c:f>
              <c:numCache>
                <c:formatCode>General</c:formatCode>
                <c:ptCount val="15"/>
                <c:pt idx="0">
                  <c:v>2004</c:v>
                </c:pt>
                <c:pt idx="1">
                  <c:v>2005</c:v>
                </c:pt>
                <c:pt idx="2">
                  <c:v>2006</c:v>
                </c:pt>
                <c:pt idx="3">
                  <c:v>2007</c:v>
                </c:pt>
                <c:pt idx="4">
                  <c:v>2008</c:v>
                </c:pt>
                <c:pt idx="5">
                  <c:v>2009</c:v>
                </c:pt>
                <c:pt idx="6">
                  <c:v>2010</c:v>
                </c:pt>
                <c:pt idx="7">
                  <c:v>2011</c:v>
                </c:pt>
                <c:pt idx="8">
                  <c:v>2012</c:v>
                </c:pt>
                <c:pt idx="9">
                  <c:v>2013</c:v>
                </c:pt>
                <c:pt idx="10">
                  <c:v>2014</c:v>
                </c:pt>
                <c:pt idx="11">
                  <c:v>2015</c:v>
                </c:pt>
                <c:pt idx="12">
                  <c:v>2016</c:v>
                </c:pt>
                <c:pt idx="13">
                  <c:v>2017</c:v>
                </c:pt>
                <c:pt idx="14">
                  <c:v>2018</c:v>
                </c:pt>
              </c:numCache>
            </c:numRef>
          </c:cat>
          <c:val>
            <c:numRef>
              <c:f>Foglio1!$D$2:$D$16</c:f>
              <c:numCache>
                <c:formatCode>0.0</c:formatCode>
                <c:ptCount val="15"/>
                <c:pt idx="0">
                  <c:v>1.7356330835716971</c:v>
                </c:pt>
                <c:pt idx="1">
                  <c:v>1.0793951585953199</c:v>
                </c:pt>
                <c:pt idx="2">
                  <c:v>3.5546456941545346</c:v>
                </c:pt>
                <c:pt idx="3">
                  <c:v>2.3175293898272331</c:v>
                </c:pt>
                <c:pt idx="4">
                  <c:v>-0.91618820744219231</c:v>
                </c:pt>
                <c:pt idx="5">
                  <c:v>-6.9148176673594186</c:v>
                </c:pt>
                <c:pt idx="6">
                  <c:v>2.1306762674998092</c:v>
                </c:pt>
                <c:pt idx="7">
                  <c:v>2.5733082639579186</c:v>
                </c:pt>
                <c:pt idx="8">
                  <c:v>-2.6821805705473989</c:v>
                </c:pt>
                <c:pt idx="9">
                  <c:v>-0.77285990888632528</c:v>
                </c:pt>
                <c:pt idx="10">
                  <c:v>1.0023308308857226</c:v>
                </c:pt>
                <c:pt idx="11">
                  <c:v>0.89028762056766464</c:v>
                </c:pt>
                <c:pt idx="12">
                  <c:v>1.3672535812055964</c:v>
                </c:pt>
                <c:pt idx="13">
                  <c:v>1.1248644009366426</c:v>
                </c:pt>
                <c:pt idx="14">
                  <c:v>1.1786148882214631</c:v>
                </c:pt>
              </c:numCache>
            </c:numRef>
          </c:val>
        </c:ser>
        <c:ser>
          <c:idx val="3"/>
          <c:order val="3"/>
          <c:tx>
            <c:strRef>
              <c:f>Foglio1!$E$1</c:f>
              <c:strCache>
                <c:ptCount val="1"/>
                <c:pt idx="0">
                  <c:v>Italia</c:v>
                </c:pt>
              </c:strCache>
            </c:strRef>
          </c:tx>
          <c:spPr>
            <a:solidFill>
              <a:schemeClr val="accent5">
                <a:lumMod val="40000"/>
                <a:lumOff val="60000"/>
              </a:schemeClr>
            </a:solidFill>
            <a:ln>
              <a:solidFill>
                <a:schemeClr val="tx2">
                  <a:lumMod val="75000"/>
                </a:schemeClr>
              </a:solidFill>
            </a:ln>
          </c:spPr>
          <c:invertIfNegative val="0"/>
          <c:cat>
            <c:numRef>
              <c:f>Foglio1!$A$2:$A$16</c:f>
              <c:numCache>
                <c:formatCode>General</c:formatCode>
                <c:ptCount val="15"/>
                <c:pt idx="0">
                  <c:v>2004</c:v>
                </c:pt>
                <c:pt idx="1">
                  <c:v>2005</c:v>
                </c:pt>
                <c:pt idx="2">
                  <c:v>2006</c:v>
                </c:pt>
                <c:pt idx="3">
                  <c:v>2007</c:v>
                </c:pt>
                <c:pt idx="4">
                  <c:v>2008</c:v>
                </c:pt>
                <c:pt idx="5">
                  <c:v>2009</c:v>
                </c:pt>
                <c:pt idx="6">
                  <c:v>2010</c:v>
                </c:pt>
                <c:pt idx="7">
                  <c:v>2011</c:v>
                </c:pt>
                <c:pt idx="8">
                  <c:v>2012</c:v>
                </c:pt>
                <c:pt idx="9">
                  <c:v>2013</c:v>
                </c:pt>
                <c:pt idx="10">
                  <c:v>2014</c:v>
                </c:pt>
                <c:pt idx="11">
                  <c:v>2015</c:v>
                </c:pt>
                <c:pt idx="12">
                  <c:v>2016</c:v>
                </c:pt>
                <c:pt idx="13">
                  <c:v>2017</c:v>
                </c:pt>
                <c:pt idx="14">
                  <c:v>2018</c:v>
                </c:pt>
              </c:numCache>
            </c:numRef>
          </c:cat>
          <c:val>
            <c:numRef>
              <c:f>Foglio1!$E$2:$E$16</c:f>
              <c:numCache>
                <c:formatCode>0.0</c:formatCode>
                <c:ptCount val="15"/>
                <c:pt idx="0">
                  <c:v>1.5819360301277285</c:v>
                </c:pt>
                <c:pt idx="1">
                  <c:v>0.94966483392049383</c:v>
                </c:pt>
                <c:pt idx="2">
                  <c:v>2.0065876295059848</c:v>
                </c:pt>
                <c:pt idx="3">
                  <c:v>1.4738715027341254</c:v>
                </c:pt>
                <c:pt idx="4">
                  <c:v>-1.0504052825961008</c:v>
                </c:pt>
                <c:pt idx="5">
                  <c:v>-5.4820539554050862</c:v>
                </c:pt>
                <c:pt idx="6">
                  <c:v>1.6865232788909168</c:v>
                </c:pt>
                <c:pt idx="7">
                  <c:v>0.57662465985379718</c:v>
                </c:pt>
                <c:pt idx="8">
                  <c:v>-2.8190191301065814</c:v>
                </c:pt>
                <c:pt idx="9">
                  <c:v>-1.7281573328009725</c:v>
                </c:pt>
                <c:pt idx="10">
                  <c:v>9.1895000071451349E-2</c:v>
                </c:pt>
                <c:pt idx="11">
                  <c:v>0.73173055832453926</c:v>
                </c:pt>
                <c:pt idx="12">
                  <c:v>0.94468602352399955</c:v>
                </c:pt>
                <c:pt idx="13">
                  <c:v>0.73820079225548341</c:v>
                </c:pt>
                <c:pt idx="14">
                  <c:v>0.84208282765374509</c:v>
                </c:pt>
              </c:numCache>
            </c:numRef>
          </c:val>
        </c:ser>
        <c:dLbls>
          <c:showLegendKey val="0"/>
          <c:showVal val="0"/>
          <c:showCatName val="0"/>
          <c:showSerName val="0"/>
          <c:showPercent val="0"/>
          <c:showBubbleSize val="0"/>
        </c:dLbls>
        <c:gapWidth val="100"/>
        <c:axId val="240401920"/>
        <c:axId val="131369216"/>
      </c:barChart>
      <c:lineChart>
        <c:grouping val="standard"/>
        <c:varyColors val="0"/>
        <c:ser>
          <c:idx val="0"/>
          <c:order val="0"/>
          <c:tx>
            <c:strRef>
              <c:f>Foglio1!$B$1</c:f>
              <c:strCache>
                <c:ptCount val="1"/>
                <c:pt idx="0">
                  <c:v>ER</c:v>
                </c:pt>
              </c:strCache>
            </c:strRef>
          </c:tx>
          <c:spPr>
            <a:ln w="34925">
              <a:solidFill>
                <a:srgbClr val="C00000"/>
              </a:solidFill>
            </a:ln>
          </c:spPr>
          <c:marker>
            <c:symbol val="none"/>
          </c:marker>
          <c:dLbls>
            <c:dLbl>
              <c:idx val="3"/>
              <c:dLblPos val="t"/>
              <c:showLegendKey val="0"/>
              <c:showVal val="1"/>
              <c:showCatName val="0"/>
              <c:showSerName val="0"/>
              <c:showPercent val="0"/>
              <c:showBubbleSize val="0"/>
            </c:dLbl>
            <c:dLbl>
              <c:idx val="8"/>
              <c:delete val="1"/>
            </c:dLbl>
            <c:dLbl>
              <c:idx val="12"/>
              <c:delete val="1"/>
            </c:dLbl>
            <c:dLbl>
              <c:idx val="13"/>
              <c:dLblPos val="t"/>
              <c:showLegendKey val="0"/>
              <c:showVal val="1"/>
              <c:showCatName val="0"/>
              <c:showSerName val="0"/>
              <c:showPercent val="0"/>
              <c:showBubbleSize val="0"/>
            </c:dLbl>
            <c:dLbl>
              <c:idx val="14"/>
              <c:delete val="1"/>
            </c:dLbl>
            <c:dLbl>
              <c:idx val="16"/>
              <c:dLblPos val="t"/>
              <c:showLegendKey val="0"/>
              <c:showVal val="1"/>
              <c:showCatName val="0"/>
              <c:showSerName val="0"/>
              <c:showPercent val="0"/>
              <c:showBubbleSize val="0"/>
            </c:dLbl>
            <c:dLbl>
              <c:idx val="18"/>
              <c:layout>
                <c:manualLayout>
                  <c:x val="-3.9821985094851006E-2"/>
                  <c:y val="4.0165597856969118E-2"/>
                </c:manualLayout>
              </c:layout>
              <c:dLblPos val="r"/>
              <c:showLegendKey val="0"/>
              <c:showVal val="1"/>
              <c:showCatName val="0"/>
              <c:showSerName val="0"/>
              <c:showPercent val="0"/>
              <c:showBubbleSize val="0"/>
            </c:dLbl>
            <c:dLbl>
              <c:idx val="20"/>
              <c:dLblPos val="t"/>
              <c:showLegendKey val="0"/>
              <c:showVal val="1"/>
              <c:showCatName val="0"/>
              <c:showSerName val="0"/>
              <c:showPercent val="0"/>
              <c:showBubbleSize val="0"/>
            </c:dLbl>
            <c:numFmt formatCode="0.0" sourceLinked="0"/>
            <c:txPr>
              <a:bodyPr/>
              <a:lstStyle/>
              <a:p>
                <a:pPr>
                  <a:defRPr>
                    <a:solidFill>
                      <a:srgbClr val="C00000"/>
                    </a:solidFill>
                  </a:defRPr>
                </a:pPr>
                <a:endParaRPr lang="it-IT"/>
              </a:p>
            </c:txPr>
            <c:dLblPos val="t"/>
            <c:showLegendKey val="0"/>
            <c:showVal val="0"/>
            <c:showCatName val="0"/>
            <c:showSerName val="0"/>
            <c:showPercent val="0"/>
            <c:showBubbleSize val="0"/>
          </c:dLbls>
          <c:cat>
            <c:numRef>
              <c:f>Foglio1!$A$2:$A$16</c:f>
              <c:numCache>
                <c:formatCode>General</c:formatCode>
                <c:ptCount val="15"/>
                <c:pt idx="0">
                  <c:v>2004</c:v>
                </c:pt>
                <c:pt idx="1">
                  <c:v>2005</c:v>
                </c:pt>
                <c:pt idx="2">
                  <c:v>2006</c:v>
                </c:pt>
                <c:pt idx="3">
                  <c:v>2007</c:v>
                </c:pt>
                <c:pt idx="4">
                  <c:v>2008</c:v>
                </c:pt>
                <c:pt idx="5">
                  <c:v>2009</c:v>
                </c:pt>
                <c:pt idx="6">
                  <c:v>2010</c:v>
                </c:pt>
                <c:pt idx="7">
                  <c:v>2011</c:v>
                </c:pt>
                <c:pt idx="8">
                  <c:v>2012</c:v>
                </c:pt>
                <c:pt idx="9">
                  <c:v>2013</c:v>
                </c:pt>
                <c:pt idx="10">
                  <c:v>2014</c:v>
                </c:pt>
                <c:pt idx="11">
                  <c:v>2015</c:v>
                </c:pt>
                <c:pt idx="12">
                  <c:v>2016</c:v>
                </c:pt>
                <c:pt idx="13">
                  <c:v>2017</c:v>
                </c:pt>
                <c:pt idx="14">
                  <c:v>2018</c:v>
                </c:pt>
              </c:numCache>
            </c:numRef>
          </c:cat>
          <c:val>
            <c:numRef>
              <c:f>Foglio1!$B$2:$B$16</c:f>
              <c:numCache>
                <c:formatCode>0.0</c:formatCode>
                <c:ptCount val="15"/>
                <c:pt idx="0">
                  <c:v>103.02314705390746</c:v>
                </c:pt>
                <c:pt idx="1">
                  <c:v>104.13517391543988</c:v>
                </c:pt>
                <c:pt idx="2">
                  <c:v>107.8368103911254</c:v>
                </c:pt>
                <c:pt idx="3">
                  <c:v>110.335960164992</c:v>
                </c:pt>
                <c:pt idx="4">
                  <c:v>109.32507510939222</c:v>
                </c:pt>
                <c:pt idx="5">
                  <c:v>101.76544550087401</c:v>
                </c:pt>
                <c:pt idx="6">
                  <c:v>103.93373769667659</c:v>
                </c:pt>
                <c:pt idx="7">
                  <c:v>106.60827315786551</c:v>
                </c:pt>
                <c:pt idx="8">
                  <c:v>103.74884676862916</c:v>
                </c:pt>
                <c:pt idx="9">
                  <c:v>102.94701352602252</c:v>
                </c:pt>
                <c:pt idx="10">
                  <c:v>103.97888318206994</c:v>
                </c:pt>
                <c:pt idx="11">
                  <c:v>104.90459430704441</c:v>
                </c:pt>
                <c:pt idx="12">
                  <c:v>106.33890612955668</c:v>
                </c:pt>
                <c:pt idx="13">
                  <c:v>107.53507462895348</c:v>
                </c:pt>
                <c:pt idx="14">
                  <c:v>108.8024990285904</c:v>
                </c:pt>
              </c:numCache>
            </c:numRef>
          </c:val>
          <c:smooth val="0"/>
        </c:ser>
        <c:ser>
          <c:idx val="1"/>
          <c:order val="1"/>
          <c:tx>
            <c:strRef>
              <c:f>Foglio1!$C$1</c:f>
              <c:strCache>
                <c:ptCount val="1"/>
                <c:pt idx="0">
                  <c:v>Ita</c:v>
                </c:pt>
              </c:strCache>
            </c:strRef>
          </c:tx>
          <c:spPr>
            <a:ln w="34925">
              <a:solidFill>
                <a:srgbClr val="376092"/>
              </a:solidFill>
            </a:ln>
          </c:spPr>
          <c:marker>
            <c:symbol val="none"/>
          </c:marker>
          <c:dLbls>
            <c:dLbl>
              <c:idx val="9"/>
              <c:layout>
                <c:manualLayout>
                  <c:x val="-3.5039501193048168E-2"/>
                  <c:y val="4.1219395915354229E-2"/>
                </c:manualLayout>
              </c:layout>
              <c:dLblPos val="r"/>
              <c:showLegendKey val="0"/>
              <c:showVal val="1"/>
              <c:showCatName val="0"/>
              <c:showSerName val="0"/>
              <c:showPercent val="0"/>
              <c:showBubbleSize val="0"/>
            </c:dLbl>
            <c:dLbl>
              <c:idx val="12"/>
              <c:delete val="1"/>
            </c:dLbl>
            <c:dLbl>
              <c:idx val="13"/>
              <c:dLblPos val="t"/>
              <c:showLegendKey val="0"/>
              <c:showVal val="1"/>
              <c:showCatName val="0"/>
              <c:showSerName val="0"/>
              <c:showPercent val="0"/>
              <c:showBubbleSize val="0"/>
            </c:dLbl>
            <c:dLbl>
              <c:idx val="14"/>
              <c:delete val="1"/>
            </c:dLbl>
            <c:numFmt formatCode="#,##0.0" sourceLinked="0"/>
            <c:txPr>
              <a:bodyPr/>
              <a:lstStyle/>
              <a:p>
                <a:pPr>
                  <a:defRPr>
                    <a:solidFill>
                      <a:srgbClr val="0070C0"/>
                    </a:solidFill>
                  </a:defRPr>
                </a:pPr>
                <a:endParaRPr lang="it-IT"/>
              </a:p>
            </c:txPr>
            <c:dLblPos val="b"/>
            <c:showLegendKey val="0"/>
            <c:showVal val="0"/>
            <c:showCatName val="0"/>
            <c:showSerName val="0"/>
            <c:showPercent val="0"/>
            <c:showBubbleSize val="0"/>
          </c:dLbls>
          <c:cat>
            <c:numRef>
              <c:f>Foglio1!$A$2:$A$16</c:f>
              <c:numCache>
                <c:formatCode>General</c:formatCode>
                <c:ptCount val="15"/>
                <c:pt idx="0">
                  <c:v>2004</c:v>
                </c:pt>
                <c:pt idx="1">
                  <c:v>2005</c:v>
                </c:pt>
                <c:pt idx="2">
                  <c:v>2006</c:v>
                </c:pt>
                <c:pt idx="3">
                  <c:v>2007</c:v>
                </c:pt>
                <c:pt idx="4">
                  <c:v>2008</c:v>
                </c:pt>
                <c:pt idx="5">
                  <c:v>2009</c:v>
                </c:pt>
                <c:pt idx="6">
                  <c:v>2010</c:v>
                </c:pt>
                <c:pt idx="7">
                  <c:v>2011</c:v>
                </c:pt>
                <c:pt idx="8">
                  <c:v>2012</c:v>
                </c:pt>
                <c:pt idx="9">
                  <c:v>2013</c:v>
                </c:pt>
                <c:pt idx="10">
                  <c:v>2014</c:v>
                </c:pt>
                <c:pt idx="11">
                  <c:v>2015</c:v>
                </c:pt>
                <c:pt idx="12">
                  <c:v>2016</c:v>
                </c:pt>
                <c:pt idx="13">
                  <c:v>2017</c:v>
                </c:pt>
                <c:pt idx="14">
                  <c:v>2018</c:v>
                </c:pt>
              </c:numCache>
            </c:numRef>
          </c:cat>
          <c:val>
            <c:numRef>
              <c:f>Foglio1!$C$2:$C$16</c:f>
              <c:numCache>
                <c:formatCode>0.0</c:formatCode>
                <c:ptCount val="15"/>
                <c:pt idx="0">
                  <c:v>103.79594011237954</c:v>
                </c:pt>
                <c:pt idx="1">
                  <c:v>104.78165365466398</c:v>
                </c:pt>
                <c:pt idx="2">
                  <c:v>106.88418935489025</c:v>
                </c:pt>
                <c:pt idx="3">
                  <c:v>108.45952496272038</c:v>
                </c:pt>
                <c:pt idx="4">
                  <c:v>107.32026038303333</c:v>
                </c:pt>
                <c:pt idx="5">
                  <c:v>101.4369058037542</c:v>
                </c:pt>
                <c:pt idx="6">
                  <c:v>103.14766283352117</c:v>
                </c:pt>
                <c:pt idx="7">
                  <c:v>103.7424376934821</c:v>
                </c:pt>
                <c:pt idx="8">
                  <c:v>100.81791852886394</c:v>
                </c:pt>
                <c:pt idx="9">
                  <c:v>99.075626277030068</c:v>
                </c:pt>
                <c:pt idx="10">
                  <c:v>99.166671823868143</c:v>
                </c:pt>
                <c:pt idx="11">
                  <c:v>99.892304665276811</c:v>
                </c:pt>
                <c:pt idx="12">
                  <c:v>100.83597330602569</c:v>
                </c:pt>
                <c:pt idx="13">
                  <c:v>101.5803452598493</c:v>
                </c:pt>
                <c:pt idx="14">
                  <c:v>102.43573590355385</c:v>
                </c:pt>
              </c:numCache>
            </c:numRef>
          </c:val>
          <c:smooth val="0"/>
        </c:ser>
        <c:dLbls>
          <c:showLegendKey val="0"/>
          <c:showVal val="0"/>
          <c:showCatName val="0"/>
          <c:showSerName val="0"/>
          <c:showPercent val="0"/>
          <c:showBubbleSize val="0"/>
        </c:dLbls>
        <c:marker val="1"/>
        <c:smooth val="0"/>
        <c:axId val="236743680"/>
        <c:axId val="175142528"/>
      </c:lineChart>
      <c:catAx>
        <c:axId val="236743680"/>
        <c:scaling>
          <c:orientation val="minMax"/>
        </c:scaling>
        <c:delete val="0"/>
        <c:axPos val="b"/>
        <c:numFmt formatCode="General" sourceLinked="1"/>
        <c:majorTickMark val="out"/>
        <c:minorTickMark val="none"/>
        <c:tickLblPos val="nextTo"/>
        <c:crossAx val="175142528"/>
        <c:crosses val="autoZero"/>
        <c:auto val="1"/>
        <c:lblAlgn val="ctr"/>
        <c:lblOffset val="100"/>
        <c:noMultiLvlLbl val="0"/>
      </c:catAx>
      <c:valAx>
        <c:axId val="175142528"/>
        <c:scaling>
          <c:orientation val="minMax"/>
          <c:min val="98"/>
        </c:scaling>
        <c:delete val="0"/>
        <c:axPos val="l"/>
        <c:majorGridlines>
          <c:spPr>
            <a:ln w="9525">
              <a:prstDash val="dash"/>
            </a:ln>
          </c:spPr>
        </c:majorGridlines>
        <c:numFmt formatCode="0" sourceLinked="0"/>
        <c:majorTickMark val="out"/>
        <c:minorTickMark val="none"/>
        <c:tickLblPos val="nextTo"/>
        <c:crossAx val="236743680"/>
        <c:crosses val="autoZero"/>
        <c:crossBetween val="between"/>
        <c:majorUnit val="2"/>
      </c:valAx>
      <c:valAx>
        <c:axId val="131369216"/>
        <c:scaling>
          <c:orientation val="minMax"/>
          <c:max val="4"/>
          <c:min val="-8"/>
        </c:scaling>
        <c:delete val="0"/>
        <c:axPos val="r"/>
        <c:numFmt formatCode="0.0" sourceLinked="1"/>
        <c:majorTickMark val="out"/>
        <c:minorTickMark val="none"/>
        <c:tickLblPos val="nextTo"/>
        <c:crossAx val="240401920"/>
        <c:crosses val="max"/>
        <c:crossBetween val="between"/>
        <c:majorUnit val="4"/>
      </c:valAx>
      <c:catAx>
        <c:axId val="240401920"/>
        <c:scaling>
          <c:orientation val="minMax"/>
        </c:scaling>
        <c:delete val="0"/>
        <c:axPos val="b"/>
        <c:numFmt formatCode="General" sourceLinked="1"/>
        <c:majorTickMark val="none"/>
        <c:minorTickMark val="none"/>
        <c:tickLblPos val="none"/>
        <c:crossAx val="131369216"/>
        <c:crossesAt val="0"/>
        <c:auto val="1"/>
        <c:lblAlgn val="ctr"/>
        <c:lblOffset val="100"/>
        <c:noMultiLvlLbl val="0"/>
      </c:catAx>
    </c:plotArea>
    <c:legend>
      <c:legendPos val="r"/>
      <c:legendEntry>
        <c:idx val="2"/>
        <c:delete val="1"/>
      </c:legendEntry>
      <c:legendEntry>
        <c:idx val="3"/>
        <c:delete val="1"/>
      </c:legendEntry>
      <c:layout>
        <c:manualLayout>
          <c:xMode val="edge"/>
          <c:yMode val="edge"/>
          <c:x val="0.13704648456550839"/>
          <c:y val="0.70787978504043847"/>
          <c:w val="0.15735225864044541"/>
          <c:h val="0.16145458905033386"/>
        </c:manualLayout>
      </c:layout>
      <c:overlay val="0"/>
    </c:legend>
    <c:plotVisOnly val="1"/>
    <c:dispBlanksAs val="gap"/>
    <c:showDLblsOverMax val="0"/>
  </c:chart>
  <c:spPr>
    <a:ln>
      <a:noFill/>
    </a:ln>
  </c:spPr>
  <c:txPr>
    <a:bodyPr/>
    <a:lstStyle/>
    <a:p>
      <a:pPr>
        <a:defRPr sz="800">
          <a:latin typeface="Arial" pitchFamily="34" charset="0"/>
          <a:cs typeface="Arial" pitchFamily="34" charset="0"/>
        </a:defRPr>
      </a:pPr>
      <a:endParaRPr lang="it-IT"/>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326210018239245E-2"/>
          <c:y val="3.6850964281638705E-2"/>
          <c:w val="0.92427002180283002"/>
          <c:h val="0.76713611276966565"/>
        </c:manualLayout>
      </c:layout>
      <c:barChart>
        <c:barDir val="col"/>
        <c:grouping val="clustered"/>
        <c:varyColors val="0"/>
        <c:ser>
          <c:idx val="0"/>
          <c:order val="0"/>
          <c:tx>
            <c:strRef>
              <c:f>Foglio1!$A$2</c:f>
              <c:strCache>
                <c:ptCount val="1"/>
                <c:pt idx="0">
                  <c:v>2015</c:v>
                </c:pt>
              </c:strCache>
            </c:strRef>
          </c:tx>
          <c:spPr>
            <a:solidFill>
              <a:schemeClr val="accent6">
                <a:lumMod val="60000"/>
                <a:lumOff val="40000"/>
              </a:schemeClr>
            </a:solidFill>
            <a:ln>
              <a:solidFill>
                <a:schemeClr val="tx1"/>
              </a:solidFill>
            </a:ln>
          </c:spPr>
          <c:invertIfNegative val="0"/>
          <c:dLbls>
            <c:numFmt formatCode="0.0;[Red]\-0.0" sourceLinked="0"/>
            <c:txPr>
              <a:bodyPr rot="-5400000" vert="horz"/>
              <a:lstStyle/>
              <a:p>
                <a:pPr>
                  <a:defRPr sz="800"/>
                </a:pPr>
                <a:endParaRPr lang="it-IT"/>
              </a:p>
            </c:txPr>
            <c:showLegendKey val="0"/>
            <c:showVal val="1"/>
            <c:showCatName val="0"/>
            <c:showSerName val="0"/>
            <c:showPercent val="0"/>
            <c:showBubbleSize val="0"/>
            <c:showLeaderLines val="0"/>
          </c:dLbls>
          <c:cat>
            <c:strRef>
              <c:f>Foglio1!$B$1:$F$1</c:f>
              <c:strCache>
                <c:ptCount val="5"/>
                <c:pt idx="0">
                  <c:v>Prodotto interno lordo</c:v>
                </c:pt>
                <c:pt idx="1">
                  <c:v>Import</c:v>
                </c:pt>
                <c:pt idx="2">
                  <c:v>Export</c:v>
                </c:pt>
                <c:pt idx="3">
                  <c:v>Consumi famiglie</c:v>
                </c:pt>
                <c:pt idx="4">
                  <c:v>Investimenti fissi lordi</c:v>
                </c:pt>
              </c:strCache>
            </c:strRef>
          </c:cat>
          <c:val>
            <c:numRef>
              <c:f>Foglio1!$B$2:$F$2</c:f>
              <c:numCache>
                <c:formatCode>0.0;[Red]\-0.0</c:formatCode>
                <c:ptCount val="5"/>
                <c:pt idx="0">
                  <c:v>0.89028762056766464</c:v>
                </c:pt>
                <c:pt idx="1">
                  <c:v>6.5945792531927117</c:v>
                </c:pt>
                <c:pt idx="2">
                  <c:v>4.7952895930554629</c:v>
                </c:pt>
                <c:pt idx="3">
                  <c:v>1.8358975818198342</c:v>
                </c:pt>
                <c:pt idx="4">
                  <c:v>2.2868172016400568</c:v>
                </c:pt>
              </c:numCache>
            </c:numRef>
          </c:val>
        </c:ser>
        <c:ser>
          <c:idx val="1"/>
          <c:order val="1"/>
          <c:tx>
            <c:strRef>
              <c:f>Foglio1!$A$3</c:f>
              <c:strCache>
                <c:ptCount val="1"/>
                <c:pt idx="0">
                  <c:v>2016</c:v>
                </c:pt>
              </c:strCache>
            </c:strRef>
          </c:tx>
          <c:spPr>
            <a:solidFill>
              <a:srgbClr val="A50021"/>
            </a:solidFill>
            <a:ln>
              <a:solidFill>
                <a:schemeClr val="tx1"/>
              </a:solidFill>
            </a:ln>
          </c:spPr>
          <c:invertIfNegative val="0"/>
          <c:dLbls>
            <c:numFmt formatCode="0.0;[Red]\-0.0" sourceLinked="0"/>
            <c:txPr>
              <a:bodyPr rot="-5400000" vert="horz"/>
              <a:lstStyle/>
              <a:p>
                <a:pPr>
                  <a:defRPr/>
                </a:pPr>
                <a:endParaRPr lang="it-IT"/>
              </a:p>
            </c:txPr>
            <c:showLegendKey val="0"/>
            <c:showVal val="1"/>
            <c:showCatName val="0"/>
            <c:showSerName val="0"/>
            <c:showPercent val="0"/>
            <c:showBubbleSize val="0"/>
            <c:showLeaderLines val="0"/>
          </c:dLbls>
          <c:cat>
            <c:strRef>
              <c:f>Foglio1!$B$1:$F$1</c:f>
              <c:strCache>
                <c:ptCount val="5"/>
                <c:pt idx="0">
                  <c:v>Prodotto interno lordo</c:v>
                </c:pt>
                <c:pt idx="1">
                  <c:v>Import</c:v>
                </c:pt>
                <c:pt idx="2">
                  <c:v>Export</c:v>
                </c:pt>
                <c:pt idx="3">
                  <c:v>Consumi famiglie</c:v>
                </c:pt>
                <c:pt idx="4">
                  <c:v>Investimenti fissi lordi</c:v>
                </c:pt>
              </c:strCache>
            </c:strRef>
          </c:cat>
          <c:val>
            <c:numRef>
              <c:f>Foglio1!$B$3:$F$3</c:f>
              <c:numCache>
                <c:formatCode>0.0;[Red]\-0.0</c:formatCode>
                <c:ptCount val="5"/>
                <c:pt idx="0">
                  <c:v>1.3672535812055964</c:v>
                </c:pt>
                <c:pt idx="1">
                  <c:v>4.6196052333351334</c:v>
                </c:pt>
                <c:pt idx="2">
                  <c:v>1.8968568057770918</c:v>
                </c:pt>
                <c:pt idx="3">
                  <c:v>1.6643852819396621</c:v>
                </c:pt>
                <c:pt idx="4">
                  <c:v>2.7202363612013336</c:v>
                </c:pt>
              </c:numCache>
            </c:numRef>
          </c:val>
        </c:ser>
        <c:ser>
          <c:idx val="2"/>
          <c:order val="2"/>
          <c:tx>
            <c:strRef>
              <c:f>Foglio1!$A$4</c:f>
              <c:strCache>
                <c:ptCount val="1"/>
                <c:pt idx="0">
                  <c:v>2017</c:v>
                </c:pt>
              </c:strCache>
            </c:strRef>
          </c:tx>
          <c:spPr>
            <a:solidFill>
              <a:schemeClr val="bg1">
                <a:lumMod val="85000"/>
              </a:schemeClr>
            </a:solidFill>
            <a:ln>
              <a:solidFill>
                <a:schemeClr val="tx1"/>
              </a:solidFill>
            </a:ln>
          </c:spPr>
          <c:invertIfNegative val="0"/>
          <c:dLbls>
            <c:numFmt formatCode="0.0;[Red]\-0.0" sourceLinked="0"/>
            <c:txPr>
              <a:bodyPr rot="-5400000" vert="horz"/>
              <a:lstStyle/>
              <a:p>
                <a:pPr>
                  <a:defRPr/>
                </a:pPr>
                <a:endParaRPr lang="it-IT"/>
              </a:p>
            </c:txPr>
            <c:showLegendKey val="0"/>
            <c:showVal val="1"/>
            <c:showCatName val="0"/>
            <c:showSerName val="0"/>
            <c:showPercent val="0"/>
            <c:showBubbleSize val="0"/>
            <c:showLeaderLines val="0"/>
          </c:dLbls>
          <c:cat>
            <c:strRef>
              <c:f>Foglio1!$B$1:$F$1</c:f>
              <c:strCache>
                <c:ptCount val="5"/>
                <c:pt idx="0">
                  <c:v>Prodotto interno lordo</c:v>
                </c:pt>
                <c:pt idx="1">
                  <c:v>Import</c:v>
                </c:pt>
                <c:pt idx="2">
                  <c:v>Export</c:v>
                </c:pt>
                <c:pt idx="3">
                  <c:v>Consumi famiglie</c:v>
                </c:pt>
                <c:pt idx="4">
                  <c:v>Investimenti fissi lordi</c:v>
                </c:pt>
              </c:strCache>
            </c:strRef>
          </c:cat>
          <c:val>
            <c:numRef>
              <c:f>Foglio1!$B$4:$F$4</c:f>
              <c:numCache>
                <c:formatCode>0.0;[Red]\-0.0</c:formatCode>
                <c:ptCount val="5"/>
                <c:pt idx="0">
                  <c:v>1.1248644009366426</c:v>
                </c:pt>
                <c:pt idx="1">
                  <c:v>1.3010787442789162</c:v>
                </c:pt>
                <c:pt idx="2">
                  <c:v>3.4296095344550581</c:v>
                </c:pt>
                <c:pt idx="3">
                  <c:v>0.87480440491831679</c:v>
                </c:pt>
                <c:pt idx="4">
                  <c:v>1.5898866134195888</c:v>
                </c:pt>
              </c:numCache>
            </c:numRef>
          </c:val>
        </c:ser>
        <c:dLbls>
          <c:showLegendKey val="0"/>
          <c:showVal val="0"/>
          <c:showCatName val="0"/>
          <c:showSerName val="0"/>
          <c:showPercent val="0"/>
          <c:showBubbleSize val="0"/>
        </c:dLbls>
        <c:gapWidth val="100"/>
        <c:axId val="225746432"/>
        <c:axId val="222959232"/>
      </c:barChart>
      <c:catAx>
        <c:axId val="225746432"/>
        <c:scaling>
          <c:orientation val="minMax"/>
        </c:scaling>
        <c:delete val="0"/>
        <c:axPos val="b"/>
        <c:majorGridlines/>
        <c:numFmt formatCode="General" sourceLinked="1"/>
        <c:majorTickMark val="out"/>
        <c:minorTickMark val="none"/>
        <c:tickLblPos val="low"/>
        <c:crossAx val="222959232"/>
        <c:crosses val="autoZero"/>
        <c:auto val="1"/>
        <c:lblAlgn val="ctr"/>
        <c:lblOffset val="300"/>
        <c:noMultiLvlLbl val="0"/>
      </c:catAx>
      <c:valAx>
        <c:axId val="222959232"/>
        <c:scaling>
          <c:orientation val="minMax"/>
        </c:scaling>
        <c:delete val="0"/>
        <c:axPos val="l"/>
        <c:numFmt formatCode="0;[Red]\-0" sourceLinked="0"/>
        <c:majorTickMark val="out"/>
        <c:minorTickMark val="none"/>
        <c:tickLblPos val="nextTo"/>
        <c:crossAx val="225746432"/>
        <c:crosses val="autoZero"/>
        <c:crossBetween val="between"/>
      </c:valAx>
      <c:spPr>
        <a:ln>
          <a:noFill/>
        </a:ln>
      </c:spPr>
    </c:plotArea>
    <c:legend>
      <c:legendPos val="r"/>
      <c:layout>
        <c:manualLayout>
          <c:xMode val="edge"/>
          <c:yMode val="edge"/>
          <c:x val="0.65765334888694482"/>
          <c:y val="4.6706623884831787E-2"/>
          <c:w val="0.11241668902192391"/>
          <c:h val="0.26872144979796614"/>
        </c:manualLayout>
      </c:layout>
      <c:overlay val="1"/>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it-IT"/>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8159838071088571E-2"/>
          <c:y val="6.70133963000695E-2"/>
          <c:w val="0.93029132746118604"/>
          <c:h val="0.80443959450720837"/>
        </c:manualLayout>
      </c:layout>
      <c:barChart>
        <c:barDir val="col"/>
        <c:grouping val="clustered"/>
        <c:varyColors val="0"/>
        <c:ser>
          <c:idx val="0"/>
          <c:order val="0"/>
          <c:tx>
            <c:strRef>
              <c:f>Foglio1!$B$1</c:f>
              <c:strCache>
                <c:ptCount val="1"/>
                <c:pt idx="0">
                  <c:v>Industria</c:v>
                </c:pt>
              </c:strCache>
            </c:strRef>
          </c:tx>
          <c:spPr>
            <a:solidFill>
              <a:srgbClr val="C00000"/>
            </a:solidFill>
            <a:ln>
              <a:solidFill>
                <a:schemeClr val="tx1"/>
              </a:solidFill>
            </a:ln>
          </c:spPr>
          <c:invertIfNegative val="0"/>
          <c:dLbls>
            <c:numFmt formatCode="0.0;[Red]\-0.0" sourceLinked="0"/>
            <c:showLegendKey val="0"/>
            <c:showVal val="1"/>
            <c:showCatName val="0"/>
            <c:showSerName val="0"/>
            <c:showPercent val="0"/>
            <c:showBubbleSize val="0"/>
            <c:showLeaderLines val="0"/>
          </c:dLbls>
          <c:cat>
            <c:numRef>
              <c:f>Foglio1!$A$2:$A$4</c:f>
              <c:numCache>
                <c:formatCode>General</c:formatCode>
                <c:ptCount val="3"/>
                <c:pt idx="0">
                  <c:v>2015</c:v>
                </c:pt>
                <c:pt idx="1">
                  <c:v>2016</c:v>
                </c:pt>
                <c:pt idx="2">
                  <c:v>2017</c:v>
                </c:pt>
              </c:numCache>
            </c:numRef>
          </c:cat>
          <c:val>
            <c:numRef>
              <c:f>Foglio1!$B$2:$B$4</c:f>
              <c:numCache>
                <c:formatCode>0.0;[Red]\-0.0</c:formatCode>
                <c:ptCount val="3"/>
                <c:pt idx="0">
                  <c:v>4.5295669617994472</c:v>
                </c:pt>
                <c:pt idx="1">
                  <c:v>2.0812908758722548</c:v>
                </c:pt>
                <c:pt idx="2">
                  <c:v>1.7682359119536972</c:v>
                </c:pt>
              </c:numCache>
            </c:numRef>
          </c:val>
        </c:ser>
        <c:ser>
          <c:idx val="1"/>
          <c:order val="1"/>
          <c:tx>
            <c:strRef>
              <c:f>Foglio1!$C$1</c:f>
              <c:strCache>
                <c:ptCount val="1"/>
                <c:pt idx="0">
                  <c:v>Costruzioni</c:v>
                </c:pt>
              </c:strCache>
            </c:strRef>
          </c:tx>
          <c:spPr>
            <a:solidFill>
              <a:schemeClr val="bg1">
                <a:lumMod val="75000"/>
              </a:schemeClr>
            </a:solidFill>
            <a:ln>
              <a:solidFill>
                <a:schemeClr val="tx1"/>
              </a:solidFill>
            </a:ln>
          </c:spPr>
          <c:invertIfNegative val="0"/>
          <c:dLbls>
            <c:numFmt formatCode="0.0;[Red]\-0.0" sourceLinked="0"/>
            <c:showLegendKey val="0"/>
            <c:showVal val="1"/>
            <c:showCatName val="0"/>
            <c:showSerName val="0"/>
            <c:showPercent val="0"/>
            <c:showBubbleSize val="0"/>
            <c:showLeaderLines val="0"/>
          </c:dLbls>
          <c:cat>
            <c:numRef>
              <c:f>Foglio1!$A$2:$A$4</c:f>
              <c:numCache>
                <c:formatCode>General</c:formatCode>
                <c:ptCount val="3"/>
                <c:pt idx="0">
                  <c:v>2015</c:v>
                </c:pt>
                <c:pt idx="1">
                  <c:v>2016</c:v>
                </c:pt>
                <c:pt idx="2">
                  <c:v>2017</c:v>
                </c:pt>
              </c:numCache>
            </c:numRef>
          </c:cat>
          <c:val>
            <c:numRef>
              <c:f>Foglio1!$C$2:$C$4</c:f>
              <c:numCache>
                <c:formatCode>0.0;[Red]\-0.0</c:formatCode>
                <c:ptCount val="3"/>
                <c:pt idx="0">
                  <c:v>-10.89614889149394</c:v>
                </c:pt>
                <c:pt idx="1">
                  <c:v>0.77115017760043258</c:v>
                </c:pt>
                <c:pt idx="2">
                  <c:v>0.79741239615145343</c:v>
                </c:pt>
              </c:numCache>
            </c:numRef>
          </c:val>
        </c:ser>
        <c:ser>
          <c:idx val="2"/>
          <c:order val="2"/>
          <c:tx>
            <c:strRef>
              <c:f>Foglio1!$D$1</c:f>
              <c:strCache>
                <c:ptCount val="1"/>
                <c:pt idx="0">
                  <c:v>Servizi</c:v>
                </c:pt>
              </c:strCache>
            </c:strRef>
          </c:tx>
          <c:spPr>
            <a:solidFill>
              <a:srgbClr val="99CCFF"/>
            </a:solidFill>
            <a:ln>
              <a:solidFill>
                <a:schemeClr val="tx1"/>
              </a:solidFill>
            </a:ln>
          </c:spPr>
          <c:invertIfNegative val="0"/>
          <c:dLbls>
            <c:numFmt formatCode="0.0;[Red]\-0.0" sourceLinked="0"/>
            <c:showLegendKey val="0"/>
            <c:showVal val="1"/>
            <c:showCatName val="0"/>
            <c:showSerName val="0"/>
            <c:showPercent val="0"/>
            <c:showBubbleSize val="0"/>
            <c:showLeaderLines val="0"/>
          </c:dLbls>
          <c:cat>
            <c:numRef>
              <c:f>Foglio1!$A$2:$A$4</c:f>
              <c:numCache>
                <c:formatCode>General</c:formatCode>
                <c:ptCount val="3"/>
                <c:pt idx="0">
                  <c:v>2015</c:v>
                </c:pt>
                <c:pt idx="1">
                  <c:v>2016</c:v>
                </c:pt>
                <c:pt idx="2">
                  <c:v>2017</c:v>
                </c:pt>
              </c:numCache>
            </c:numRef>
          </c:cat>
          <c:val>
            <c:numRef>
              <c:f>Foglio1!$D$2:$D$4</c:f>
              <c:numCache>
                <c:formatCode>0.0;[Red]\-0.0</c:formatCode>
                <c:ptCount val="3"/>
                <c:pt idx="0">
                  <c:v>7.5857093426034972E-2</c:v>
                </c:pt>
                <c:pt idx="1">
                  <c:v>1.008479508338489</c:v>
                </c:pt>
                <c:pt idx="2">
                  <c:v>0.82037058429247356</c:v>
                </c:pt>
              </c:numCache>
            </c:numRef>
          </c:val>
        </c:ser>
        <c:dLbls>
          <c:showLegendKey val="0"/>
          <c:showVal val="0"/>
          <c:showCatName val="0"/>
          <c:showSerName val="0"/>
          <c:showPercent val="0"/>
          <c:showBubbleSize val="0"/>
        </c:dLbls>
        <c:gapWidth val="100"/>
        <c:axId val="240400896"/>
        <c:axId val="224559104"/>
      </c:barChart>
      <c:catAx>
        <c:axId val="240400896"/>
        <c:scaling>
          <c:orientation val="minMax"/>
        </c:scaling>
        <c:delete val="0"/>
        <c:axPos val="b"/>
        <c:majorGridlines/>
        <c:numFmt formatCode="General" sourceLinked="1"/>
        <c:majorTickMark val="out"/>
        <c:minorTickMark val="none"/>
        <c:tickLblPos val="low"/>
        <c:crossAx val="224559104"/>
        <c:crosses val="autoZero"/>
        <c:auto val="1"/>
        <c:lblAlgn val="ctr"/>
        <c:lblOffset val="200"/>
        <c:noMultiLvlLbl val="0"/>
      </c:catAx>
      <c:valAx>
        <c:axId val="224559104"/>
        <c:scaling>
          <c:orientation val="minMax"/>
        </c:scaling>
        <c:delete val="0"/>
        <c:axPos val="l"/>
        <c:numFmt formatCode="0;[Red]\-0" sourceLinked="0"/>
        <c:majorTickMark val="out"/>
        <c:minorTickMark val="none"/>
        <c:tickLblPos val="nextTo"/>
        <c:crossAx val="240400896"/>
        <c:crosses val="autoZero"/>
        <c:crossBetween val="between"/>
      </c:valAx>
      <c:spPr>
        <a:ln>
          <a:noFill/>
        </a:ln>
      </c:spPr>
    </c:plotArea>
    <c:legend>
      <c:legendPos val="t"/>
      <c:layout>
        <c:manualLayout>
          <c:xMode val="edge"/>
          <c:yMode val="edge"/>
          <c:x val="0.2447103407624894"/>
          <c:y val="0"/>
          <c:w val="0.50343640844375437"/>
          <c:h val="7.1474210520065085E-2"/>
        </c:manualLayout>
      </c:layout>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it-IT"/>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9706564457220625E-2"/>
          <c:y val="9.5801635738700736E-2"/>
          <c:w val="0.91029343554277942"/>
          <c:h val="0.8058812328023689"/>
        </c:manualLayout>
      </c:layout>
      <c:barChart>
        <c:barDir val="col"/>
        <c:grouping val="percentStacked"/>
        <c:varyColors val="0"/>
        <c:ser>
          <c:idx val="0"/>
          <c:order val="0"/>
          <c:tx>
            <c:strRef>
              <c:f>Foglio1!$B$1</c:f>
              <c:strCache>
                <c:ptCount val="1"/>
                <c:pt idx="0">
                  <c:v>Agricoltura</c:v>
                </c:pt>
              </c:strCache>
            </c:strRef>
          </c:tx>
          <c:spPr>
            <a:solidFill>
              <a:srgbClr val="92D050"/>
            </a:solidFill>
            <a:ln>
              <a:solidFill>
                <a:schemeClr val="tx1"/>
              </a:solidFill>
            </a:ln>
          </c:spPr>
          <c:invertIfNegative val="0"/>
          <c:cat>
            <c:numRef>
              <c:f>Foglio1!$A$2:$A$5</c:f>
              <c:numCache>
                <c:formatCode>General</c:formatCode>
                <c:ptCount val="4"/>
                <c:pt idx="0">
                  <c:v>2004</c:v>
                </c:pt>
                <c:pt idx="1">
                  <c:v>2008</c:v>
                </c:pt>
                <c:pt idx="2">
                  <c:v>2012</c:v>
                </c:pt>
                <c:pt idx="3">
                  <c:v>2016</c:v>
                </c:pt>
              </c:numCache>
            </c:numRef>
          </c:cat>
          <c:val>
            <c:numRef>
              <c:f>Foglio1!$B$2:$B$5</c:f>
              <c:numCache>
                <c:formatCode>0.0</c:formatCode>
                <c:ptCount val="4"/>
                <c:pt idx="0">
                  <c:v>2.3125498762096526</c:v>
                </c:pt>
                <c:pt idx="1">
                  <c:v>2.0907354188079914</c:v>
                </c:pt>
                <c:pt idx="2">
                  <c:v>2.4055505736523197</c:v>
                </c:pt>
                <c:pt idx="3">
                  <c:v>2.5018818812830133</c:v>
                </c:pt>
              </c:numCache>
            </c:numRef>
          </c:val>
        </c:ser>
        <c:ser>
          <c:idx val="1"/>
          <c:order val="1"/>
          <c:tx>
            <c:strRef>
              <c:f>Foglio1!$C$1</c:f>
              <c:strCache>
                <c:ptCount val="1"/>
                <c:pt idx="0">
                  <c:v>Industria</c:v>
                </c:pt>
              </c:strCache>
            </c:strRef>
          </c:tx>
          <c:spPr>
            <a:solidFill>
              <a:srgbClr val="C00000"/>
            </a:solidFill>
            <a:ln>
              <a:solidFill>
                <a:schemeClr val="tx1"/>
              </a:solidFill>
            </a:ln>
          </c:spPr>
          <c:invertIfNegative val="0"/>
          <c:dLbls>
            <c:showLegendKey val="0"/>
            <c:showVal val="1"/>
            <c:showCatName val="0"/>
            <c:showSerName val="0"/>
            <c:showPercent val="0"/>
            <c:showBubbleSize val="0"/>
            <c:showLeaderLines val="0"/>
          </c:dLbls>
          <c:cat>
            <c:numRef>
              <c:f>Foglio1!$A$2:$A$5</c:f>
              <c:numCache>
                <c:formatCode>General</c:formatCode>
                <c:ptCount val="4"/>
                <c:pt idx="0">
                  <c:v>2004</c:v>
                </c:pt>
                <c:pt idx="1">
                  <c:v>2008</c:v>
                </c:pt>
                <c:pt idx="2">
                  <c:v>2012</c:v>
                </c:pt>
                <c:pt idx="3">
                  <c:v>2016</c:v>
                </c:pt>
              </c:numCache>
            </c:numRef>
          </c:cat>
          <c:val>
            <c:numRef>
              <c:f>Foglio1!$C$2:$C$5</c:f>
              <c:numCache>
                <c:formatCode>0.0</c:formatCode>
                <c:ptCount val="4"/>
                <c:pt idx="0">
                  <c:v>25.045205928576426</c:v>
                </c:pt>
                <c:pt idx="1">
                  <c:v>25.626249164952874</c:v>
                </c:pt>
                <c:pt idx="2">
                  <c:v>24.975297749756386</c:v>
                </c:pt>
                <c:pt idx="3">
                  <c:v>26.56509853930676</c:v>
                </c:pt>
              </c:numCache>
            </c:numRef>
          </c:val>
        </c:ser>
        <c:ser>
          <c:idx val="2"/>
          <c:order val="2"/>
          <c:tx>
            <c:strRef>
              <c:f>Foglio1!$D$1</c:f>
              <c:strCache>
                <c:ptCount val="1"/>
                <c:pt idx="0">
                  <c:v>Costruzioni</c:v>
                </c:pt>
              </c:strCache>
            </c:strRef>
          </c:tx>
          <c:spPr>
            <a:solidFill>
              <a:schemeClr val="bg1">
                <a:lumMod val="75000"/>
              </a:schemeClr>
            </a:solidFill>
            <a:ln>
              <a:solidFill>
                <a:schemeClr val="tx1"/>
              </a:solidFill>
            </a:ln>
          </c:spPr>
          <c:invertIfNegative val="0"/>
          <c:dLbls>
            <c:showLegendKey val="0"/>
            <c:showVal val="1"/>
            <c:showCatName val="0"/>
            <c:showSerName val="0"/>
            <c:showPercent val="0"/>
            <c:showBubbleSize val="0"/>
            <c:showLeaderLines val="0"/>
          </c:dLbls>
          <c:cat>
            <c:numRef>
              <c:f>Foglio1!$A$2:$A$5</c:f>
              <c:numCache>
                <c:formatCode>General</c:formatCode>
                <c:ptCount val="4"/>
                <c:pt idx="0">
                  <c:v>2004</c:v>
                </c:pt>
                <c:pt idx="1">
                  <c:v>2008</c:v>
                </c:pt>
                <c:pt idx="2">
                  <c:v>2012</c:v>
                </c:pt>
                <c:pt idx="3">
                  <c:v>2016</c:v>
                </c:pt>
              </c:numCache>
            </c:numRef>
          </c:cat>
          <c:val>
            <c:numRef>
              <c:f>Foglio1!$D$2:$D$5</c:f>
              <c:numCache>
                <c:formatCode>0.0</c:formatCode>
                <c:ptCount val="4"/>
                <c:pt idx="0">
                  <c:v>6.3673505214635497</c:v>
                </c:pt>
                <c:pt idx="1">
                  <c:v>6.2041849674986915</c:v>
                </c:pt>
                <c:pt idx="2">
                  <c:v>4.7571465183952739</c:v>
                </c:pt>
                <c:pt idx="3">
                  <c:v>3.7020767359271187</c:v>
                </c:pt>
              </c:numCache>
            </c:numRef>
          </c:val>
        </c:ser>
        <c:ser>
          <c:idx val="3"/>
          <c:order val="3"/>
          <c:tx>
            <c:strRef>
              <c:f>Foglio1!$E$1</c:f>
              <c:strCache>
                <c:ptCount val="1"/>
                <c:pt idx="0">
                  <c:v>Servizi</c:v>
                </c:pt>
              </c:strCache>
            </c:strRef>
          </c:tx>
          <c:spPr>
            <a:solidFill>
              <a:srgbClr val="99CCFF"/>
            </a:solidFill>
            <a:ln>
              <a:solidFill>
                <a:schemeClr val="tx1"/>
              </a:solidFill>
            </a:ln>
          </c:spPr>
          <c:invertIfNegative val="0"/>
          <c:dLbls>
            <c:showLegendKey val="0"/>
            <c:showVal val="1"/>
            <c:showCatName val="0"/>
            <c:showSerName val="0"/>
            <c:showPercent val="0"/>
            <c:showBubbleSize val="0"/>
            <c:showLeaderLines val="0"/>
          </c:dLbls>
          <c:cat>
            <c:numRef>
              <c:f>Foglio1!$A$2:$A$5</c:f>
              <c:numCache>
                <c:formatCode>General</c:formatCode>
                <c:ptCount val="4"/>
                <c:pt idx="0">
                  <c:v>2004</c:v>
                </c:pt>
                <c:pt idx="1">
                  <c:v>2008</c:v>
                </c:pt>
                <c:pt idx="2">
                  <c:v>2012</c:v>
                </c:pt>
                <c:pt idx="3">
                  <c:v>2016</c:v>
                </c:pt>
              </c:numCache>
            </c:numRef>
          </c:cat>
          <c:val>
            <c:numRef>
              <c:f>Foglio1!$E$2:$E$5</c:f>
              <c:numCache>
                <c:formatCode>0.0</c:formatCode>
                <c:ptCount val="4"/>
                <c:pt idx="0">
                  <c:v>66.306305041057414</c:v>
                </c:pt>
                <c:pt idx="1">
                  <c:v>66.174763119375314</c:v>
                </c:pt>
                <c:pt idx="2">
                  <c:v>67.872400943583557</c:v>
                </c:pt>
                <c:pt idx="3">
                  <c:v>67.230942843483092</c:v>
                </c:pt>
              </c:numCache>
            </c:numRef>
          </c:val>
        </c:ser>
        <c:dLbls>
          <c:showLegendKey val="0"/>
          <c:showVal val="0"/>
          <c:showCatName val="0"/>
          <c:showSerName val="0"/>
          <c:showPercent val="0"/>
          <c:showBubbleSize val="0"/>
        </c:dLbls>
        <c:gapWidth val="100"/>
        <c:overlap val="100"/>
        <c:serLines/>
        <c:axId val="226338816"/>
        <c:axId val="224560832"/>
      </c:barChart>
      <c:catAx>
        <c:axId val="226338816"/>
        <c:scaling>
          <c:orientation val="minMax"/>
        </c:scaling>
        <c:delete val="0"/>
        <c:axPos val="b"/>
        <c:numFmt formatCode="General" sourceLinked="1"/>
        <c:majorTickMark val="out"/>
        <c:minorTickMark val="none"/>
        <c:tickLblPos val="nextTo"/>
        <c:crossAx val="224560832"/>
        <c:crosses val="autoZero"/>
        <c:auto val="1"/>
        <c:lblAlgn val="ctr"/>
        <c:lblOffset val="100"/>
        <c:noMultiLvlLbl val="0"/>
      </c:catAx>
      <c:valAx>
        <c:axId val="224560832"/>
        <c:scaling>
          <c:orientation val="minMax"/>
        </c:scaling>
        <c:delete val="0"/>
        <c:axPos val="l"/>
        <c:numFmt formatCode="0%" sourceLinked="1"/>
        <c:majorTickMark val="out"/>
        <c:minorTickMark val="none"/>
        <c:tickLblPos val="nextTo"/>
        <c:txPr>
          <a:bodyPr/>
          <a:lstStyle/>
          <a:p>
            <a:pPr>
              <a:defRPr sz="700"/>
            </a:pPr>
            <a:endParaRPr lang="it-IT"/>
          </a:p>
        </c:txPr>
        <c:crossAx val="226338816"/>
        <c:crosses val="autoZero"/>
        <c:crossBetween val="between"/>
        <c:majorUnit val="0.2"/>
      </c:valAx>
      <c:spPr>
        <a:ln>
          <a:noFill/>
        </a:ln>
      </c:spPr>
    </c:plotArea>
    <c:legend>
      <c:legendPos val="t"/>
      <c:layout>
        <c:manualLayout>
          <c:xMode val="edge"/>
          <c:yMode val="edge"/>
          <c:x val="0.1470074574011582"/>
          <c:y val="0"/>
          <c:w val="0.70800316143432773"/>
          <c:h val="8.9573816599322037E-2"/>
        </c:manualLayout>
      </c:layout>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it-IT"/>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3.4084376794264626E-2"/>
          <c:y val="3.1659313725490655E-2"/>
          <c:w val="0.90555737647992451"/>
          <c:h val="0.87452686460325435"/>
        </c:manualLayout>
      </c:layout>
      <c:barChart>
        <c:barDir val="col"/>
        <c:grouping val="clustered"/>
        <c:varyColors val="0"/>
        <c:ser>
          <c:idx val="3"/>
          <c:order val="3"/>
          <c:tx>
            <c:strRef>
              <c:f>Foglio1!$E$1</c:f>
              <c:strCache>
                <c:ptCount val="1"/>
                <c:pt idx="0">
                  <c:v>Industria</c:v>
                </c:pt>
              </c:strCache>
            </c:strRef>
          </c:tx>
          <c:spPr>
            <a:solidFill>
              <a:schemeClr val="accent2">
                <a:lumMod val="60000"/>
                <a:lumOff val="40000"/>
              </a:schemeClr>
            </a:solidFill>
            <a:ln>
              <a:solidFill>
                <a:schemeClr val="tx1"/>
              </a:solidFill>
            </a:ln>
          </c:spPr>
          <c:invertIfNegative val="0"/>
          <c:cat>
            <c:numRef>
              <c:f>Foglio1!$A$2:$A$16</c:f>
              <c:numCache>
                <c:formatCode>General</c:formatCode>
                <c:ptCount val="15"/>
                <c:pt idx="0">
                  <c:v>2004</c:v>
                </c:pt>
                <c:pt idx="1">
                  <c:v>2005</c:v>
                </c:pt>
                <c:pt idx="2">
                  <c:v>2006</c:v>
                </c:pt>
                <c:pt idx="3">
                  <c:v>2007</c:v>
                </c:pt>
                <c:pt idx="4">
                  <c:v>2008</c:v>
                </c:pt>
                <c:pt idx="5">
                  <c:v>2009</c:v>
                </c:pt>
                <c:pt idx="6">
                  <c:v>2010</c:v>
                </c:pt>
                <c:pt idx="7">
                  <c:v>2011</c:v>
                </c:pt>
                <c:pt idx="8">
                  <c:v>2012</c:v>
                </c:pt>
                <c:pt idx="9">
                  <c:v>2013</c:v>
                </c:pt>
                <c:pt idx="10">
                  <c:v>2014</c:v>
                </c:pt>
                <c:pt idx="11">
                  <c:v>2015</c:v>
                </c:pt>
                <c:pt idx="12">
                  <c:v>2016</c:v>
                </c:pt>
                <c:pt idx="13">
                  <c:v>2017</c:v>
                </c:pt>
                <c:pt idx="14">
                  <c:v>2018</c:v>
                </c:pt>
              </c:numCache>
            </c:numRef>
          </c:cat>
          <c:val>
            <c:numRef>
              <c:f>Foglio1!$E$2:$E$16</c:f>
              <c:numCache>
                <c:formatCode>0.0</c:formatCode>
                <c:ptCount val="15"/>
                <c:pt idx="0">
                  <c:v>1.7594635155413485</c:v>
                </c:pt>
                <c:pt idx="1">
                  <c:v>0.22792522423671358</c:v>
                </c:pt>
                <c:pt idx="2">
                  <c:v>6.387991575730867</c:v>
                </c:pt>
                <c:pt idx="3">
                  <c:v>4.1890356643378812</c:v>
                </c:pt>
                <c:pt idx="4">
                  <c:v>-2.132887379754822</c:v>
                </c:pt>
                <c:pt idx="5">
                  <c:v>-19.456818799379327</c:v>
                </c:pt>
                <c:pt idx="6">
                  <c:v>13.214641542979244</c:v>
                </c:pt>
                <c:pt idx="7">
                  <c:v>5.1394866930118965</c:v>
                </c:pt>
                <c:pt idx="8">
                  <c:v>-3.1356491526697283</c:v>
                </c:pt>
                <c:pt idx="9">
                  <c:v>0.70943683653106326</c:v>
                </c:pt>
                <c:pt idx="10">
                  <c:v>1.7088404925658773</c:v>
                </c:pt>
                <c:pt idx="11">
                  <c:v>4.5295669617994472</c:v>
                </c:pt>
                <c:pt idx="12">
                  <c:v>2.0812908758722548</c:v>
                </c:pt>
                <c:pt idx="13">
                  <c:v>1.7682359119536972</c:v>
                </c:pt>
                <c:pt idx="14">
                  <c:v>1.7792207160597817</c:v>
                </c:pt>
              </c:numCache>
            </c:numRef>
          </c:val>
        </c:ser>
        <c:ser>
          <c:idx val="4"/>
          <c:order val="4"/>
          <c:tx>
            <c:strRef>
              <c:f>Foglio1!$F$1</c:f>
              <c:strCache>
                <c:ptCount val="1"/>
                <c:pt idx="0">
                  <c:v>Costruzioni</c:v>
                </c:pt>
              </c:strCache>
            </c:strRef>
          </c:tx>
          <c:spPr>
            <a:solidFill>
              <a:schemeClr val="bg1">
                <a:lumMod val="75000"/>
              </a:schemeClr>
            </a:solidFill>
            <a:ln>
              <a:solidFill>
                <a:schemeClr val="tx1"/>
              </a:solidFill>
            </a:ln>
          </c:spPr>
          <c:invertIfNegative val="0"/>
          <c:cat>
            <c:numRef>
              <c:f>Foglio1!$A$2:$A$16</c:f>
              <c:numCache>
                <c:formatCode>General</c:formatCode>
                <c:ptCount val="15"/>
                <c:pt idx="0">
                  <c:v>2004</c:v>
                </c:pt>
                <c:pt idx="1">
                  <c:v>2005</c:v>
                </c:pt>
                <c:pt idx="2">
                  <c:v>2006</c:v>
                </c:pt>
                <c:pt idx="3">
                  <c:v>2007</c:v>
                </c:pt>
                <c:pt idx="4">
                  <c:v>2008</c:v>
                </c:pt>
                <c:pt idx="5">
                  <c:v>2009</c:v>
                </c:pt>
                <c:pt idx="6">
                  <c:v>2010</c:v>
                </c:pt>
                <c:pt idx="7">
                  <c:v>2011</c:v>
                </c:pt>
                <c:pt idx="8">
                  <c:v>2012</c:v>
                </c:pt>
                <c:pt idx="9">
                  <c:v>2013</c:v>
                </c:pt>
                <c:pt idx="10">
                  <c:v>2014</c:v>
                </c:pt>
                <c:pt idx="11">
                  <c:v>2015</c:v>
                </c:pt>
                <c:pt idx="12">
                  <c:v>2016</c:v>
                </c:pt>
                <c:pt idx="13">
                  <c:v>2017</c:v>
                </c:pt>
                <c:pt idx="14">
                  <c:v>2018</c:v>
                </c:pt>
              </c:numCache>
            </c:numRef>
          </c:cat>
          <c:val>
            <c:numRef>
              <c:f>Foglio1!$F$2:$F$16</c:f>
              <c:numCache>
                <c:formatCode>0.0</c:formatCode>
                <c:ptCount val="15"/>
                <c:pt idx="0">
                  <c:v>9.5071367682992847</c:v>
                </c:pt>
                <c:pt idx="1">
                  <c:v>4.3572963278332599</c:v>
                </c:pt>
                <c:pt idx="2">
                  <c:v>4.4394440586225103</c:v>
                </c:pt>
                <c:pt idx="3">
                  <c:v>0.6039228550865694</c:v>
                </c:pt>
                <c:pt idx="4">
                  <c:v>-5.5714328572732619</c:v>
                </c:pt>
                <c:pt idx="5">
                  <c:v>-7.4685646961672125</c:v>
                </c:pt>
                <c:pt idx="6">
                  <c:v>-7.9848957650083374</c:v>
                </c:pt>
                <c:pt idx="7">
                  <c:v>-7.5881563739423008</c:v>
                </c:pt>
                <c:pt idx="8">
                  <c:v>-7.1415769026117237</c:v>
                </c:pt>
                <c:pt idx="9">
                  <c:v>-2.7869491315567041</c:v>
                </c:pt>
                <c:pt idx="10">
                  <c:v>-8.3874347661497932</c:v>
                </c:pt>
                <c:pt idx="11">
                  <c:v>-10.89614889149394</c:v>
                </c:pt>
                <c:pt idx="12">
                  <c:v>0.77115017760043258</c:v>
                </c:pt>
                <c:pt idx="13">
                  <c:v>0.79741239615145343</c:v>
                </c:pt>
                <c:pt idx="14">
                  <c:v>1.4955693313291274</c:v>
                </c:pt>
              </c:numCache>
            </c:numRef>
          </c:val>
        </c:ser>
        <c:ser>
          <c:idx val="5"/>
          <c:order val="5"/>
          <c:tx>
            <c:strRef>
              <c:f>Foglio1!$G$1</c:f>
              <c:strCache>
                <c:ptCount val="1"/>
                <c:pt idx="0">
                  <c:v>Servizi</c:v>
                </c:pt>
              </c:strCache>
            </c:strRef>
          </c:tx>
          <c:spPr>
            <a:solidFill>
              <a:srgbClr val="99CCFF"/>
            </a:solidFill>
            <a:ln>
              <a:solidFill>
                <a:schemeClr val="tx1"/>
              </a:solidFill>
            </a:ln>
          </c:spPr>
          <c:invertIfNegative val="0"/>
          <c:cat>
            <c:numRef>
              <c:f>Foglio1!$A$2:$A$16</c:f>
              <c:numCache>
                <c:formatCode>General</c:formatCode>
                <c:ptCount val="15"/>
                <c:pt idx="0">
                  <c:v>2004</c:v>
                </c:pt>
                <c:pt idx="1">
                  <c:v>2005</c:v>
                </c:pt>
                <c:pt idx="2">
                  <c:v>2006</c:v>
                </c:pt>
                <c:pt idx="3">
                  <c:v>2007</c:v>
                </c:pt>
                <c:pt idx="4">
                  <c:v>2008</c:v>
                </c:pt>
                <c:pt idx="5">
                  <c:v>2009</c:v>
                </c:pt>
                <c:pt idx="6">
                  <c:v>2010</c:v>
                </c:pt>
                <c:pt idx="7">
                  <c:v>2011</c:v>
                </c:pt>
                <c:pt idx="8">
                  <c:v>2012</c:v>
                </c:pt>
                <c:pt idx="9">
                  <c:v>2013</c:v>
                </c:pt>
                <c:pt idx="10">
                  <c:v>2014</c:v>
                </c:pt>
                <c:pt idx="11">
                  <c:v>2015</c:v>
                </c:pt>
                <c:pt idx="12">
                  <c:v>2016</c:v>
                </c:pt>
                <c:pt idx="13">
                  <c:v>2017</c:v>
                </c:pt>
                <c:pt idx="14">
                  <c:v>2018</c:v>
                </c:pt>
              </c:numCache>
            </c:numRef>
          </c:cat>
          <c:val>
            <c:numRef>
              <c:f>Foglio1!$G$2:$G$16</c:f>
              <c:numCache>
                <c:formatCode>0.0</c:formatCode>
                <c:ptCount val="15"/>
                <c:pt idx="0">
                  <c:v>0.52934628883751778</c:v>
                </c:pt>
                <c:pt idx="1">
                  <c:v>1.2888900785987589</c:v>
                </c:pt>
                <c:pt idx="2">
                  <c:v>2.4955998575012295</c:v>
                </c:pt>
                <c:pt idx="3">
                  <c:v>1.9719892189114852</c:v>
                </c:pt>
                <c:pt idx="4">
                  <c:v>0.17730635855532917</c:v>
                </c:pt>
                <c:pt idx="5">
                  <c:v>-2.5230160014698688</c:v>
                </c:pt>
                <c:pt idx="6">
                  <c:v>-0.43867772167369701</c:v>
                </c:pt>
                <c:pt idx="7">
                  <c:v>2.278893841109042</c:v>
                </c:pt>
                <c:pt idx="8">
                  <c:v>-1.5405002791588629</c:v>
                </c:pt>
                <c:pt idx="9">
                  <c:v>-0.67996539354205909</c:v>
                </c:pt>
                <c:pt idx="10">
                  <c:v>1.3830596774120352</c:v>
                </c:pt>
                <c:pt idx="11">
                  <c:v>7.5857093426034972E-2</c:v>
                </c:pt>
                <c:pt idx="12">
                  <c:v>1.008479508338489</c:v>
                </c:pt>
                <c:pt idx="13">
                  <c:v>0.82037058429247356</c:v>
                </c:pt>
                <c:pt idx="14">
                  <c:v>1.0255211552582688</c:v>
                </c:pt>
              </c:numCache>
            </c:numRef>
          </c:val>
        </c:ser>
        <c:dLbls>
          <c:showLegendKey val="0"/>
          <c:showVal val="0"/>
          <c:showCatName val="0"/>
          <c:showSerName val="0"/>
          <c:showPercent val="0"/>
          <c:showBubbleSize val="0"/>
        </c:dLbls>
        <c:gapWidth val="100"/>
        <c:axId val="242704384"/>
        <c:axId val="224564288"/>
      </c:barChart>
      <c:lineChart>
        <c:grouping val="standard"/>
        <c:varyColors val="0"/>
        <c:ser>
          <c:idx val="0"/>
          <c:order val="0"/>
          <c:tx>
            <c:strRef>
              <c:f>Foglio1!$B$1</c:f>
              <c:strCache>
                <c:ptCount val="1"/>
                <c:pt idx="0">
                  <c:v>Industria-i</c:v>
                </c:pt>
              </c:strCache>
            </c:strRef>
          </c:tx>
          <c:spPr>
            <a:ln w="34925">
              <a:solidFill>
                <a:srgbClr val="C00000"/>
              </a:solidFill>
            </a:ln>
          </c:spPr>
          <c:marker>
            <c:symbol val="none"/>
          </c:marker>
          <c:dLbls>
            <c:dLbl>
              <c:idx val="0"/>
              <c:dLblPos val="t"/>
              <c:showLegendKey val="0"/>
              <c:showVal val="1"/>
              <c:showCatName val="0"/>
              <c:showSerName val="0"/>
              <c:showPercent val="0"/>
              <c:showBubbleSize val="0"/>
            </c:dLbl>
            <c:dLbl>
              <c:idx val="3"/>
              <c:layout>
                <c:manualLayout>
                  <c:x val="-3.9787656111072191E-2"/>
                  <c:y val="4.0066740965357346E-2"/>
                </c:manualLayout>
              </c:layout>
              <c:dLblPos val="r"/>
              <c:showLegendKey val="0"/>
              <c:showVal val="1"/>
              <c:showCatName val="0"/>
              <c:showSerName val="0"/>
              <c:showPercent val="0"/>
              <c:showBubbleSize val="0"/>
            </c:dLbl>
            <c:dLbl>
              <c:idx val="5"/>
              <c:layout>
                <c:manualLayout>
                  <c:x val="-2.2110157665455991E-2"/>
                  <c:y val="5.0891903928809733E-2"/>
                </c:manualLayout>
              </c:layout>
              <c:dLblPos val="r"/>
              <c:showLegendKey val="0"/>
              <c:showVal val="1"/>
              <c:showCatName val="0"/>
              <c:showSerName val="0"/>
              <c:showPercent val="0"/>
              <c:showBubbleSize val="0"/>
            </c:dLbl>
            <c:dLbl>
              <c:idx val="13"/>
              <c:dLblPos val="t"/>
              <c:showLegendKey val="0"/>
              <c:showVal val="1"/>
              <c:showCatName val="0"/>
              <c:showSerName val="0"/>
              <c:showPercent val="0"/>
              <c:showBubbleSize val="0"/>
            </c:dLbl>
            <c:txPr>
              <a:bodyPr/>
              <a:lstStyle/>
              <a:p>
                <a:pPr>
                  <a:defRPr>
                    <a:solidFill>
                      <a:srgbClr val="C00000"/>
                    </a:solidFill>
                  </a:defRPr>
                </a:pPr>
                <a:endParaRPr lang="it-IT"/>
              </a:p>
            </c:txPr>
            <c:dLblPos val="t"/>
            <c:showLegendKey val="0"/>
            <c:showVal val="0"/>
            <c:showCatName val="0"/>
            <c:showSerName val="0"/>
            <c:showPercent val="0"/>
            <c:showBubbleSize val="0"/>
          </c:dLbls>
          <c:cat>
            <c:numRef>
              <c:f>Foglio1!$A$2:$A$16</c:f>
              <c:numCache>
                <c:formatCode>General</c:formatCode>
                <c:ptCount val="15"/>
                <c:pt idx="0">
                  <c:v>2004</c:v>
                </c:pt>
                <c:pt idx="1">
                  <c:v>2005</c:v>
                </c:pt>
                <c:pt idx="2">
                  <c:v>2006</c:v>
                </c:pt>
                <c:pt idx="3">
                  <c:v>2007</c:v>
                </c:pt>
                <c:pt idx="4">
                  <c:v>2008</c:v>
                </c:pt>
                <c:pt idx="5">
                  <c:v>2009</c:v>
                </c:pt>
                <c:pt idx="6">
                  <c:v>2010</c:v>
                </c:pt>
                <c:pt idx="7">
                  <c:v>2011</c:v>
                </c:pt>
                <c:pt idx="8">
                  <c:v>2012</c:v>
                </c:pt>
                <c:pt idx="9">
                  <c:v>2013</c:v>
                </c:pt>
                <c:pt idx="10">
                  <c:v>2014</c:v>
                </c:pt>
                <c:pt idx="11">
                  <c:v>2015</c:v>
                </c:pt>
                <c:pt idx="12">
                  <c:v>2016</c:v>
                </c:pt>
                <c:pt idx="13">
                  <c:v>2017</c:v>
                </c:pt>
                <c:pt idx="14">
                  <c:v>2018</c:v>
                </c:pt>
              </c:numCache>
            </c:numRef>
          </c:cat>
          <c:val>
            <c:numRef>
              <c:f>Foglio1!$B$2:$B$16</c:f>
              <c:numCache>
                <c:formatCode>0.0</c:formatCode>
                <c:ptCount val="15"/>
                <c:pt idx="0">
                  <c:v>102.96285155718505</c:v>
                </c:pt>
                <c:pt idx="1">
                  <c:v>103.1975298674773</c:v>
                </c:pt>
                <c:pt idx="2">
                  <c:v>109.78977938177408</c:v>
                </c:pt>
                <c:pt idx="3">
                  <c:v>114.38891239587447</c:v>
                </c:pt>
                <c:pt idx="4">
                  <c:v>111.94912571954407</c:v>
                </c:pt>
                <c:pt idx="5">
                  <c:v>90.167387180803019</c:v>
                </c:pt>
                <c:pt idx="6">
                  <c:v>102.08268418541637</c:v>
                </c:pt>
                <c:pt idx="7">
                  <c:v>107.32921015499521</c:v>
                </c:pt>
                <c:pt idx="8">
                  <c:v>103.96374268620299</c:v>
                </c:pt>
                <c:pt idx="9">
                  <c:v>104.70129977345528</c:v>
                </c:pt>
                <c:pt idx="10">
                  <c:v>106.49047798022687</c:v>
                </c:pt>
                <c:pt idx="11">
                  <c:v>111.31403548828153</c:v>
                </c:pt>
                <c:pt idx="12">
                  <c:v>113.63080435246434</c:v>
                </c:pt>
                <c:pt idx="13">
                  <c:v>115.64006504206647</c:v>
                </c:pt>
                <c:pt idx="14">
                  <c:v>117.69755703535994</c:v>
                </c:pt>
              </c:numCache>
            </c:numRef>
          </c:val>
          <c:smooth val="0"/>
        </c:ser>
        <c:ser>
          <c:idx val="1"/>
          <c:order val="1"/>
          <c:tx>
            <c:strRef>
              <c:f>Foglio1!$C$1</c:f>
              <c:strCache>
                <c:ptCount val="1"/>
                <c:pt idx="0">
                  <c:v>Costruzioni-i</c:v>
                </c:pt>
              </c:strCache>
            </c:strRef>
          </c:tx>
          <c:spPr>
            <a:ln w="34925">
              <a:solidFill>
                <a:schemeClr val="bg1">
                  <a:lumMod val="50000"/>
                </a:schemeClr>
              </a:solidFill>
            </a:ln>
          </c:spPr>
          <c:marker>
            <c:symbol val="none"/>
          </c:marker>
          <c:dLbls>
            <c:dLbl>
              <c:idx val="0"/>
              <c:dLblPos val="t"/>
              <c:showLegendKey val="0"/>
              <c:showVal val="1"/>
              <c:showCatName val="0"/>
              <c:showSerName val="0"/>
              <c:showPercent val="0"/>
              <c:showBubbleSize val="0"/>
            </c:dLbl>
            <c:dLbl>
              <c:idx val="3"/>
              <c:dLblPos val="t"/>
              <c:showLegendKey val="0"/>
              <c:showVal val="1"/>
              <c:showCatName val="0"/>
              <c:showSerName val="0"/>
              <c:showPercent val="0"/>
              <c:showBubbleSize val="0"/>
            </c:dLbl>
            <c:dLbl>
              <c:idx val="11"/>
              <c:delete val="1"/>
            </c:dLbl>
            <c:dLbl>
              <c:idx val="12"/>
              <c:delete val="1"/>
            </c:dLbl>
            <c:dLbl>
              <c:idx val="13"/>
              <c:numFmt formatCode="0.0" sourceLinked="0"/>
              <c:spPr/>
              <c:txPr>
                <a:bodyPr/>
                <a:lstStyle/>
                <a:p>
                  <a:pPr>
                    <a:defRPr>
                      <a:solidFill>
                        <a:schemeClr val="tx1">
                          <a:lumMod val="50000"/>
                          <a:lumOff val="50000"/>
                        </a:schemeClr>
                      </a:solidFill>
                    </a:defRPr>
                  </a:pPr>
                  <a:endParaRPr lang="it-IT"/>
                </a:p>
              </c:txPr>
              <c:dLblPos val="b"/>
              <c:showLegendKey val="0"/>
              <c:showVal val="1"/>
              <c:showCatName val="0"/>
              <c:showSerName val="0"/>
              <c:showPercent val="0"/>
              <c:showBubbleSize val="0"/>
            </c:dLbl>
            <c:dLbl>
              <c:idx val="14"/>
              <c:delete val="1"/>
            </c:dLbl>
            <c:dLbl>
              <c:idx val="18"/>
              <c:layout>
                <c:manualLayout>
                  <c:x val="-3.9821985094851006E-2"/>
                  <c:y val="0.1107027655183906"/>
                </c:manualLayout>
              </c:layout>
              <c:dLblPos val="r"/>
              <c:showLegendKey val="0"/>
              <c:showVal val="1"/>
              <c:showCatName val="0"/>
              <c:showSerName val="0"/>
              <c:showPercent val="0"/>
              <c:showBubbleSize val="0"/>
            </c:dLbl>
            <c:txPr>
              <a:bodyPr/>
              <a:lstStyle/>
              <a:p>
                <a:pPr>
                  <a:defRPr>
                    <a:solidFill>
                      <a:schemeClr val="tx1">
                        <a:lumMod val="50000"/>
                        <a:lumOff val="50000"/>
                      </a:schemeClr>
                    </a:solidFill>
                  </a:defRPr>
                </a:pPr>
                <a:endParaRPr lang="it-IT"/>
              </a:p>
            </c:txPr>
            <c:dLblPos val="t"/>
            <c:showLegendKey val="0"/>
            <c:showVal val="0"/>
            <c:showCatName val="0"/>
            <c:showSerName val="0"/>
            <c:showPercent val="0"/>
            <c:showBubbleSize val="0"/>
          </c:dLbls>
          <c:cat>
            <c:numRef>
              <c:f>Foglio1!$A$2:$A$16</c:f>
              <c:numCache>
                <c:formatCode>General</c:formatCode>
                <c:ptCount val="15"/>
                <c:pt idx="0">
                  <c:v>2004</c:v>
                </c:pt>
                <c:pt idx="1">
                  <c:v>2005</c:v>
                </c:pt>
                <c:pt idx="2">
                  <c:v>2006</c:v>
                </c:pt>
                <c:pt idx="3">
                  <c:v>2007</c:v>
                </c:pt>
                <c:pt idx="4">
                  <c:v>2008</c:v>
                </c:pt>
                <c:pt idx="5">
                  <c:v>2009</c:v>
                </c:pt>
                <c:pt idx="6">
                  <c:v>2010</c:v>
                </c:pt>
                <c:pt idx="7">
                  <c:v>2011</c:v>
                </c:pt>
                <c:pt idx="8">
                  <c:v>2012</c:v>
                </c:pt>
                <c:pt idx="9">
                  <c:v>2013</c:v>
                </c:pt>
                <c:pt idx="10">
                  <c:v>2014</c:v>
                </c:pt>
                <c:pt idx="11">
                  <c:v>2015</c:v>
                </c:pt>
                <c:pt idx="12">
                  <c:v>2016</c:v>
                </c:pt>
                <c:pt idx="13">
                  <c:v>2017</c:v>
                </c:pt>
                <c:pt idx="14">
                  <c:v>2018</c:v>
                </c:pt>
              </c:numCache>
            </c:numRef>
          </c:cat>
          <c:val>
            <c:numRef>
              <c:f>Foglio1!$C$2:$C$16</c:f>
              <c:numCache>
                <c:formatCode>0.0</c:formatCode>
                <c:ptCount val="15"/>
                <c:pt idx="0">
                  <c:v>125.41541924069263</c:v>
                </c:pt>
                <c:pt idx="1">
                  <c:v>130.88014069780402</c:v>
                </c:pt>
                <c:pt idx="2">
                  <c:v>136.69049132792946</c:v>
                </c:pt>
                <c:pt idx="3">
                  <c:v>137.51599644578897</c:v>
                </c:pt>
                <c:pt idx="4">
                  <c:v>129.85438503580156</c:v>
                </c:pt>
                <c:pt idx="5">
                  <c:v>120.15612627859264</c:v>
                </c:pt>
                <c:pt idx="6">
                  <c:v>110.56178483997522</c:v>
                </c:pt>
                <c:pt idx="7">
                  <c:v>102.17218371649628</c:v>
                </c:pt>
                <c:pt idx="8">
                  <c:v>94.875478643304945</c:v>
                </c:pt>
                <c:pt idx="9">
                  <c:v>92.231347315195094</c:v>
                </c:pt>
                <c:pt idx="10">
                  <c:v>84.495503225192067</c:v>
                </c:pt>
                <c:pt idx="11">
                  <c:v>75.288747387158082</c:v>
                </c:pt>
                <c:pt idx="12">
                  <c:v>75.86933669634729</c:v>
                </c:pt>
                <c:pt idx="13">
                  <c:v>76.474328192041853</c:v>
                </c:pt>
                <c:pt idx="14">
                  <c:v>77.618054790822015</c:v>
                </c:pt>
              </c:numCache>
            </c:numRef>
          </c:val>
          <c:smooth val="0"/>
        </c:ser>
        <c:ser>
          <c:idx val="2"/>
          <c:order val="2"/>
          <c:tx>
            <c:strRef>
              <c:f>Foglio1!$D$1</c:f>
              <c:strCache>
                <c:ptCount val="1"/>
                <c:pt idx="0">
                  <c:v>Servizi-i</c:v>
                </c:pt>
              </c:strCache>
            </c:strRef>
          </c:tx>
          <c:spPr>
            <a:ln w="34925">
              <a:solidFill>
                <a:srgbClr val="6699FF"/>
              </a:solidFill>
            </a:ln>
          </c:spPr>
          <c:marker>
            <c:symbol val="none"/>
          </c:marker>
          <c:dLbls>
            <c:dLbl>
              <c:idx val="13"/>
              <c:layout>
                <c:manualLayout>
                  <c:x val="-4.408611540110887E-2"/>
                  <c:y val="-3.570939977880868E-2"/>
                </c:manualLayout>
              </c:layout>
              <c:numFmt formatCode="0.0;[Red]\-0.0" sourceLinked="0"/>
              <c:spPr/>
              <c:txPr>
                <a:bodyPr/>
                <a:lstStyle/>
                <a:p>
                  <a:pPr>
                    <a:defRPr>
                      <a:solidFill>
                        <a:srgbClr val="0070C0"/>
                      </a:solidFill>
                    </a:defRPr>
                  </a:pPr>
                  <a:endParaRPr lang="it-IT"/>
                </a:p>
              </c:txPr>
              <c:dLblPos val="r"/>
              <c:showLegendKey val="0"/>
              <c:showVal val="1"/>
              <c:showCatName val="0"/>
              <c:showSerName val="0"/>
              <c:showPercent val="0"/>
              <c:showBubbleSize val="0"/>
            </c:dLbl>
            <c:dLblPos val="t"/>
            <c:showLegendKey val="0"/>
            <c:showVal val="0"/>
            <c:showCatName val="0"/>
            <c:showSerName val="0"/>
            <c:showPercent val="0"/>
            <c:showBubbleSize val="0"/>
          </c:dLbls>
          <c:cat>
            <c:numRef>
              <c:f>Foglio1!$A$2:$A$16</c:f>
              <c:numCache>
                <c:formatCode>General</c:formatCode>
                <c:ptCount val="15"/>
                <c:pt idx="0">
                  <c:v>2004</c:v>
                </c:pt>
                <c:pt idx="1">
                  <c:v>2005</c:v>
                </c:pt>
                <c:pt idx="2">
                  <c:v>2006</c:v>
                </c:pt>
                <c:pt idx="3">
                  <c:v>2007</c:v>
                </c:pt>
                <c:pt idx="4">
                  <c:v>2008</c:v>
                </c:pt>
                <c:pt idx="5">
                  <c:v>2009</c:v>
                </c:pt>
                <c:pt idx="6">
                  <c:v>2010</c:v>
                </c:pt>
                <c:pt idx="7">
                  <c:v>2011</c:v>
                </c:pt>
                <c:pt idx="8">
                  <c:v>2012</c:v>
                </c:pt>
                <c:pt idx="9">
                  <c:v>2013</c:v>
                </c:pt>
                <c:pt idx="10">
                  <c:v>2014</c:v>
                </c:pt>
                <c:pt idx="11">
                  <c:v>2015</c:v>
                </c:pt>
                <c:pt idx="12">
                  <c:v>2016</c:v>
                </c:pt>
                <c:pt idx="13">
                  <c:v>2017</c:v>
                </c:pt>
                <c:pt idx="14">
                  <c:v>2018</c:v>
                </c:pt>
              </c:numCache>
            </c:numRef>
          </c:cat>
          <c:val>
            <c:numRef>
              <c:f>Foglio1!$D$2:$D$16</c:f>
              <c:numCache>
                <c:formatCode>0.0</c:formatCode>
                <c:ptCount val="15"/>
                <c:pt idx="0">
                  <c:v>101.93598632263685</c:v>
                </c:pt>
                <c:pt idx="1">
                  <c:v>103.2498291368711</c:v>
                </c:pt>
                <c:pt idx="2">
                  <c:v>105.82653172568112</c:v>
                </c:pt>
                <c:pt idx="3">
                  <c:v>107.91341952205951</c:v>
                </c:pt>
                <c:pt idx="4">
                  <c:v>108.1047568766066</c:v>
                </c:pt>
                <c:pt idx="5">
                  <c:v>105.3772565622597</c:v>
                </c:pt>
                <c:pt idx="6">
                  <c:v>104.91499001401014</c:v>
                </c:pt>
                <c:pt idx="7">
                  <c:v>107.30589125983961</c:v>
                </c:pt>
                <c:pt idx="8">
                  <c:v>105.65284370542787</c:v>
                </c:pt>
                <c:pt idx="9">
                  <c:v>104.93444093093787</c:v>
                </c:pt>
                <c:pt idx="10">
                  <c:v>106.38574687117143</c:v>
                </c:pt>
                <c:pt idx="11">
                  <c:v>106.46644800656748</c:v>
                </c:pt>
                <c:pt idx="12">
                  <c:v>107.54014031796954</c:v>
                </c:pt>
                <c:pt idx="13">
                  <c:v>108.42236799544501</c:v>
                </c:pt>
                <c:pt idx="14">
                  <c:v>109.53426231627029</c:v>
                </c:pt>
              </c:numCache>
            </c:numRef>
          </c:val>
          <c:smooth val="0"/>
        </c:ser>
        <c:dLbls>
          <c:showLegendKey val="0"/>
          <c:showVal val="0"/>
          <c:showCatName val="0"/>
          <c:showSerName val="0"/>
          <c:showPercent val="0"/>
          <c:showBubbleSize val="0"/>
        </c:dLbls>
        <c:marker val="1"/>
        <c:smooth val="0"/>
        <c:axId val="240537088"/>
        <c:axId val="224563712"/>
      </c:lineChart>
      <c:catAx>
        <c:axId val="240537088"/>
        <c:scaling>
          <c:orientation val="minMax"/>
        </c:scaling>
        <c:delete val="0"/>
        <c:axPos val="b"/>
        <c:majorGridlines/>
        <c:numFmt formatCode="0" sourceLinked="0"/>
        <c:majorTickMark val="out"/>
        <c:minorTickMark val="none"/>
        <c:tickLblPos val="low"/>
        <c:spPr>
          <a:ln w="3175">
            <a:solidFill>
              <a:schemeClr val="tx1"/>
            </a:solidFill>
          </a:ln>
        </c:spPr>
        <c:crossAx val="224563712"/>
        <c:crossesAt val="100"/>
        <c:auto val="1"/>
        <c:lblAlgn val="ctr"/>
        <c:lblOffset val="100"/>
        <c:noMultiLvlLbl val="0"/>
      </c:catAx>
      <c:valAx>
        <c:axId val="224563712"/>
        <c:scaling>
          <c:orientation val="minMax"/>
          <c:max val="140"/>
          <c:min val="70"/>
        </c:scaling>
        <c:delete val="0"/>
        <c:axPos val="l"/>
        <c:numFmt formatCode="0" sourceLinked="0"/>
        <c:majorTickMark val="out"/>
        <c:minorTickMark val="none"/>
        <c:tickLblPos val="nextTo"/>
        <c:crossAx val="240537088"/>
        <c:crossesAt val="1"/>
        <c:crossBetween val="between"/>
        <c:majorUnit val="10"/>
        <c:minorUnit val="5"/>
      </c:valAx>
      <c:valAx>
        <c:axId val="224564288"/>
        <c:scaling>
          <c:orientation val="minMax"/>
          <c:min val="-20"/>
        </c:scaling>
        <c:delete val="0"/>
        <c:axPos val="r"/>
        <c:numFmt formatCode="0_ ;[Red]\-0\ " sourceLinked="0"/>
        <c:majorTickMark val="out"/>
        <c:minorTickMark val="none"/>
        <c:tickLblPos val="nextTo"/>
        <c:crossAx val="242704384"/>
        <c:crosses val="max"/>
        <c:crossBetween val="between"/>
      </c:valAx>
      <c:catAx>
        <c:axId val="242704384"/>
        <c:scaling>
          <c:orientation val="minMax"/>
        </c:scaling>
        <c:delete val="0"/>
        <c:axPos val="b"/>
        <c:numFmt formatCode="General" sourceLinked="1"/>
        <c:majorTickMark val="none"/>
        <c:minorTickMark val="none"/>
        <c:tickLblPos val="none"/>
        <c:crossAx val="224564288"/>
        <c:crossesAt val="0"/>
        <c:auto val="1"/>
        <c:lblAlgn val="ctr"/>
        <c:lblOffset val="100"/>
        <c:noMultiLvlLbl val="0"/>
      </c:catAx>
    </c:plotArea>
    <c:legend>
      <c:legendPos val="r"/>
      <c:legendEntry>
        <c:idx val="3"/>
        <c:delete val="1"/>
      </c:legendEntry>
      <c:legendEntry>
        <c:idx val="4"/>
        <c:delete val="1"/>
      </c:legendEntry>
      <c:legendEntry>
        <c:idx val="5"/>
        <c:delete val="1"/>
      </c:legendEntry>
      <c:layout>
        <c:manualLayout>
          <c:xMode val="edge"/>
          <c:yMode val="edge"/>
          <c:x val="0.39062739567182381"/>
          <c:y val="0.81827070802038493"/>
          <c:w val="0.29473244692428935"/>
          <c:h val="7.3469588350302872E-2"/>
        </c:manualLayout>
      </c:layout>
      <c:overlay val="0"/>
      <c:spPr>
        <a:solidFill>
          <a:schemeClr val="bg1"/>
        </a:solidFill>
      </c:spPr>
    </c:legend>
    <c:plotVisOnly val="1"/>
    <c:dispBlanksAs val="gap"/>
    <c:showDLblsOverMax val="0"/>
  </c:chart>
  <c:spPr>
    <a:ln>
      <a:noFill/>
    </a:ln>
  </c:spPr>
  <c:txPr>
    <a:bodyPr/>
    <a:lstStyle/>
    <a:p>
      <a:pPr>
        <a:defRPr sz="800">
          <a:latin typeface="Arial" pitchFamily="34" charset="0"/>
          <a:cs typeface="Arial" pitchFamily="34" charset="0"/>
        </a:defRPr>
      </a:pPr>
      <a:endParaRPr lang="it-IT"/>
    </a:p>
  </c:txPr>
  <c:externalData r:id="rId1">
    <c:autoUpdate val="0"/>
  </c:externalData>
</c:chartSpace>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2DA7A1-6BD5-48B4-87AE-EAE9A487C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14</Pages>
  <Words>7938</Words>
  <Characters>45250</Characters>
  <Application>Microsoft Office Word</Application>
  <DocSecurity>0</DocSecurity>
  <Lines>377</Lines>
  <Paragraphs>106</Paragraphs>
  <ScaleCrop>false</ScaleCrop>
  <HeadingPairs>
    <vt:vector size="2" baseType="variant">
      <vt:variant>
        <vt:lpstr>Titolo</vt:lpstr>
      </vt:variant>
      <vt:variant>
        <vt:i4>1</vt:i4>
      </vt:variant>
    </vt:vector>
  </HeadingPairs>
  <TitlesOfParts>
    <vt:vector size="1" baseType="lpstr">
      <vt:lpstr/>
    </vt:vector>
  </TitlesOfParts>
  <Company>Unioncamere Emilia Romagna</Company>
  <LinksUpToDate>false</LinksUpToDate>
  <CharactersWithSpaces>53082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Mauro Guaitoli</dc:creator>
  <cp:lastModifiedBy>Mauro Guaitoli</cp:lastModifiedBy>
  <cp:revision>7</cp:revision>
  <cp:lastPrinted>2017-03-05T18:22:00Z</cp:lastPrinted>
  <dcterms:created xsi:type="dcterms:W3CDTF">2017-03-05T18:21:00Z</dcterms:created>
  <dcterms:modified xsi:type="dcterms:W3CDTF">2017-03-05T18:25:00Z</dcterms:modified>
</cp:coreProperties>
</file>