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C43F0D">
        <w:t>L’economia mondiale</w:t>
      </w:r>
    </w:p>
    <w:tbl>
      <w:tblPr>
        <w:tblpPr w:topFromText="284" w:bottomFromText="284" w:tblpXSpec="center" w:tblpYSpec="bottom"/>
        <w:tblOverlap w:val="never"/>
        <w:tblW w:w="9358" w:type="dxa"/>
        <w:tblInd w:w="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7F6661" w:rsidRPr="00BC2A0C" w:rsidTr="006F74C6">
        <w:trPr>
          <w:cantSplit/>
        </w:trPr>
        <w:tc>
          <w:tcPr>
            <w:tcW w:w="9358" w:type="dxa"/>
            <w:gridSpan w:val="9"/>
            <w:tcBorders>
              <w:bottom w:val="single" w:sz="4" w:space="0" w:color="800000"/>
            </w:tcBorders>
          </w:tcPr>
          <w:p w:rsidR="007F6661" w:rsidRPr="00BC2A0C" w:rsidRDefault="007F6661" w:rsidP="006F74C6">
            <w:pPr>
              <w:pStyle w:val="TabTitolo"/>
            </w:pPr>
            <w:r w:rsidRPr="007C3BBD">
              <w:t>La previsione del Fondo Monetario Internazionale (a)(b)</w:t>
            </w:r>
          </w:p>
        </w:tc>
      </w:tr>
      <w:tr w:rsidR="007F6661" w:rsidRPr="00BC2A0C" w:rsidTr="006F74C6">
        <w:trPr>
          <w:cantSplit/>
        </w:trPr>
        <w:tc>
          <w:tcPr>
            <w:tcW w:w="3402" w:type="dxa"/>
            <w:tcBorders>
              <w:top w:val="single" w:sz="4" w:space="0" w:color="800000"/>
              <w:bottom w:val="single" w:sz="4" w:space="0" w:color="800000"/>
            </w:tcBorders>
          </w:tcPr>
          <w:p w:rsidR="007F6661" w:rsidRPr="00BC2A0C" w:rsidRDefault="007F6661" w:rsidP="006F74C6">
            <w:pPr>
              <w:pStyle w:val="TabIntestazioni"/>
            </w:pPr>
          </w:p>
        </w:tc>
        <w:tc>
          <w:tcPr>
            <w:tcW w:w="510" w:type="dxa"/>
            <w:tcBorders>
              <w:top w:val="single" w:sz="4" w:space="0" w:color="800000"/>
              <w:bottom w:val="single" w:sz="4" w:space="0" w:color="800000"/>
            </w:tcBorders>
          </w:tcPr>
          <w:p w:rsidR="007F6661" w:rsidRPr="003234B1" w:rsidRDefault="007F6661" w:rsidP="006F74C6">
            <w:pPr>
              <w:pStyle w:val="TabIntestazioni"/>
            </w:pPr>
            <w:r w:rsidRPr="003234B1">
              <w:t>2018</w:t>
            </w:r>
          </w:p>
        </w:tc>
        <w:tc>
          <w:tcPr>
            <w:tcW w:w="510" w:type="dxa"/>
            <w:tcBorders>
              <w:top w:val="single" w:sz="4" w:space="0" w:color="800000"/>
              <w:bottom w:val="single" w:sz="4" w:space="0" w:color="800000"/>
            </w:tcBorders>
          </w:tcPr>
          <w:p w:rsidR="007F6661" w:rsidRPr="003234B1" w:rsidRDefault="007F6661" w:rsidP="006F74C6">
            <w:pPr>
              <w:pStyle w:val="TabIntestazioni"/>
            </w:pPr>
            <w:r w:rsidRPr="003234B1">
              <w:t>201</w:t>
            </w:r>
            <w:r>
              <w:t>9</w:t>
            </w:r>
          </w:p>
        </w:tc>
        <w:tc>
          <w:tcPr>
            <w:tcW w:w="510" w:type="dxa"/>
            <w:tcBorders>
              <w:top w:val="single" w:sz="4" w:space="0" w:color="800000"/>
              <w:bottom w:val="single" w:sz="4" w:space="0" w:color="800000"/>
            </w:tcBorders>
          </w:tcPr>
          <w:p w:rsidR="007F6661" w:rsidRPr="003234B1" w:rsidRDefault="007F6661" w:rsidP="006F74C6">
            <w:pPr>
              <w:pStyle w:val="TabIntestazioni"/>
            </w:pPr>
            <w:r w:rsidRPr="003234B1">
              <w:t>20</w:t>
            </w:r>
            <w:r>
              <w:t>20</w:t>
            </w:r>
          </w:p>
        </w:tc>
        <w:tc>
          <w:tcPr>
            <w:tcW w:w="340" w:type="dxa"/>
            <w:tcBorders>
              <w:top w:val="single" w:sz="4" w:space="0" w:color="800000"/>
              <w:bottom w:val="single" w:sz="4" w:space="0" w:color="800000"/>
            </w:tcBorders>
          </w:tcPr>
          <w:p w:rsidR="007F6661" w:rsidRPr="00BC2A0C" w:rsidRDefault="007F6661" w:rsidP="006F74C6">
            <w:pPr>
              <w:pStyle w:val="TabIntestazioni"/>
            </w:pPr>
          </w:p>
        </w:tc>
        <w:tc>
          <w:tcPr>
            <w:tcW w:w="2552" w:type="dxa"/>
            <w:tcBorders>
              <w:top w:val="single" w:sz="4" w:space="0" w:color="800000"/>
              <w:bottom w:val="single" w:sz="4" w:space="0" w:color="800000"/>
            </w:tcBorders>
          </w:tcPr>
          <w:p w:rsidR="007F6661" w:rsidRPr="00BC2A0C" w:rsidRDefault="007F6661" w:rsidP="006F74C6">
            <w:pPr>
              <w:pStyle w:val="TabIntestazioni"/>
            </w:pPr>
          </w:p>
        </w:tc>
        <w:tc>
          <w:tcPr>
            <w:tcW w:w="510" w:type="dxa"/>
            <w:tcBorders>
              <w:top w:val="single" w:sz="4" w:space="0" w:color="800000"/>
              <w:bottom w:val="single" w:sz="4" w:space="0" w:color="800000"/>
            </w:tcBorders>
          </w:tcPr>
          <w:p w:rsidR="007F6661" w:rsidRPr="003234B1" w:rsidRDefault="007F6661" w:rsidP="006F74C6">
            <w:pPr>
              <w:pStyle w:val="TabIntestazioni"/>
            </w:pPr>
            <w:r w:rsidRPr="003234B1">
              <w:t>2018</w:t>
            </w:r>
          </w:p>
        </w:tc>
        <w:tc>
          <w:tcPr>
            <w:tcW w:w="510" w:type="dxa"/>
            <w:tcBorders>
              <w:top w:val="single" w:sz="4" w:space="0" w:color="800000"/>
              <w:bottom w:val="single" w:sz="4" w:space="0" w:color="800000"/>
            </w:tcBorders>
          </w:tcPr>
          <w:p w:rsidR="007F6661" w:rsidRPr="003234B1" w:rsidRDefault="007F6661" w:rsidP="006F74C6">
            <w:pPr>
              <w:pStyle w:val="TabIntestazioni"/>
            </w:pPr>
            <w:r w:rsidRPr="003234B1">
              <w:t>201</w:t>
            </w:r>
            <w:r>
              <w:t>9</w:t>
            </w:r>
          </w:p>
        </w:tc>
        <w:tc>
          <w:tcPr>
            <w:tcW w:w="514" w:type="dxa"/>
            <w:tcBorders>
              <w:top w:val="single" w:sz="4" w:space="0" w:color="800000"/>
              <w:bottom w:val="single" w:sz="4" w:space="0" w:color="800000"/>
            </w:tcBorders>
          </w:tcPr>
          <w:p w:rsidR="007F6661" w:rsidRPr="003234B1" w:rsidRDefault="007F6661" w:rsidP="006F74C6">
            <w:pPr>
              <w:pStyle w:val="TabIntestazioni"/>
            </w:pPr>
            <w:r w:rsidRPr="003234B1">
              <w:t>20</w:t>
            </w:r>
            <w:r>
              <w:t>20</w:t>
            </w:r>
          </w:p>
        </w:tc>
      </w:tr>
      <w:tr w:rsidR="007F6661" w:rsidRPr="00BC2A0C" w:rsidTr="006F74C6">
        <w:trPr>
          <w:cantSplit/>
          <w:trHeight w:val="255"/>
        </w:trPr>
        <w:tc>
          <w:tcPr>
            <w:tcW w:w="9358" w:type="dxa"/>
            <w:gridSpan w:val="9"/>
            <w:shd w:val="clear" w:color="auto" w:fill="F2F2F2" w:themeFill="background1" w:themeFillShade="F2"/>
          </w:tcPr>
          <w:p w:rsidR="007F6661" w:rsidRPr="00997C5D" w:rsidRDefault="007F6661" w:rsidP="006F74C6">
            <w:pPr>
              <w:pStyle w:val="TabIntestaSup"/>
            </w:pPr>
            <w:r>
              <w:t>Prodotto</w:t>
            </w:r>
          </w:p>
        </w:tc>
      </w:tr>
      <w:tr w:rsidR="007F6661" w:rsidRPr="00BC2A0C" w:rsidTr="006F74C6">
        <w:trPr>
          <w:cantSplit/>
          <w:trHeight w:val="255"/>
        </w:trPr>
        <w:tc>
          <w:tcPr>
            <w:tcW w:w="3402" w:type="dxa"/>
          </w:tcPr>
          <w:p w:rsidR="007F6661" w:rsidRPr="00BC2A0C" w:rsidRDefault="007F6661" w:rsidP="006F74C6">
            <w:pPr>
              <w:pStyle w:val="TabEtichette"/>
            </w:pPr>
            <w:r w:rsidRPr="00BC2A0C">
              <w:t>Prodotto mondiale</w:t>
            </w:r>
          </w:p>
        </w:tc>
        <w:tc>
          <w:tcPr>
            <w:tcW w:w="510" w:type="dxa"/>
          </w:tcPr>
          <w:p w:rsidR="007F6661" w:rsidRPr="00310AE2" w:rsidRDefault="007F6661" w:rsidP="006F74C6">
            <w:pPr>
              <w:pStyle w:val="TabNumeri"/>
            </w:pPr>
            <w:r w:rsidRPr="00310AE2">
              <w:t xml:space="preserve">3,7 </w:t>
            </w:r>
          </w:p>
        </w:tc>
        <w:tc>
          <w:tcPr>
            <w:tcW w:w="510" w:type="dxa"/>
          </w:tcPr>
          <w:p w:rsidR="007F6661" w:rsidRPr="00310AE2" w:rsidRDefault="007F6661" w:rsidP="006F74C6">
            <w:pPr>
              <w:pStyle w:val="TabNumeri"/>
            </w:pPr>
            <w:r w:rsidRPr="00310AE2">
              <w:t xml:space="preserve">3,5 </w:t>
            </w:r>
          </w:p>
        </w:tc>
        <w:tc>
          <w:tcPr>
            <w:tcW w:w="510" w:type="dxa"/>
          </w:tcPr>
          <w:p w:rsidR="007F6661" w:rsidRPr="00310AE2" w:rsidRDefault="007F6661" w:rsidP="006F74C6">
            <w:pPr>
              <w:pStyle w:val="TabNumeri"/>
            </w:pPr>
            <w:r w:rsidRPr="00310AE2">
              <w:t xml:space="preserve">3,6 </w:t>
            </w:r>
          </w:p>
        </w:tc>
        <w:tc>
          <w:tcPr>
            <w:tcW w:w="340" w:type="dxa"/>
          </w:tcPr>
          <w:p w:rsidR="007F6661" w:rsidRPr="00BC2A0C" w:rsidRDefault="007F6661" w:rsidP="006F74C6">
            <w:pPr>
              <w:pStyle w:val="TabEtichette"/>
            </w:pPr>
          </w:p>
        </w:tc>
        <w:tc>
          <w:tcPr>
            <w:tcW w:w="2552" w:type="dxa"/>
          </w:tcPr>
          <w:p w:rsidR="007F6661" w:rsidRPr="00903CBB" w:rsidRDefault="007F6661" w:rsidP="006F74C6">
            <w:pPr>
              <w:pStyle w:val="TabEtichette"/>
            </w:pPr>
            <w:r w:rsidRPr="00903CBB">
              <w:t>Stati Uniti</w:t>
            </w:r>
          </w:p>
        </w:tc>
        <w:tc>
          <w:tcPr>
            <w:tcW w:w="510" w:type="dxa"/>
          </w:tcPr>
          <w:p w:rsidR="007F6661" w:rsidRPr="00234393" w:rsidRDefault="007F6661" w:rsidP="006F74C6">
            <w:pPr>
              <w:pStyle w:val="TabNumeri"/>
            </w:pPr>
            <w:r w:rsidRPr="00234393">
              <w:t xml:space="preserve">2,9 </w:t>
            </w:r>
          </w:p>
        </w:tc>
        <w:tc>
          <w:tcPr>
            <w:tcW w:w="510" w:type="dxa"/>
          </w:tcPr>
          <w:p w:rsidR="007F6661" w:rsidRPr="00234393" w:rsidRDefault="007F6661" w:rsidP="006F74C6">
            <w:pPr>
              <w:pStyle w:val="TabNumeri"/>
            </w:pPr>
            <w:r w:rsidRPr="00234393">
              <w:t xml:space="preserve">2,5 </w:t>
            </w:r>
          </w:p>
        </w:tc>
        <w:tc>
          <w:tcPr>
            <w:tcW w:w="514" w:type="dxa"/>
          </w:tcPr>
          <w:p w:rsidR="007F6661" w:rsidRPr="00234393" w:rsidRDefault="007F6661" w:rsidP="006F74C6">
            <w:pPr>
              <w:pStyle w:val="TabNumeri"/>
            </w:pPr>
            <w:r w:rsidRPr="00234393">
              <w:t xml:space="preserve">1,8 </w:t>
            </w:r>
          </w:p>
        </w:tc>
      </w:tr>
      <w:tr w:rsidR="007F6661" w:rsidRPr="00BC2A0C" w:rsidTr="006F74C6">
        <w:trPr>
          <w:cantSplit/>
          <w:trHeight w:val="255"/>
        </w:trPr>
        <w:tc>
          <w:tcPr>
            <w:tcW w:w="3402" w:type="dxa"/>
            <w:shd w:val="clear" w:color="auto" w:fill="F2F2F2" w:themeFill="background1" w:themeFillShade="F2"/>
          </w:tcPr>
          <w:p w:rsidR="007F6661" w:rsidRPr="00BC2A0C" w:rsidRDefault="007F6661" w:rsidP="006F74C6">
            <w:pPr>
              <w:pStyle w:val="TabEtichette"/>
            </w:pPr>
            <w:r w:rsidRPr="00B85524">
              <w:t>Economie avanzate</w:t>
            </w:r>
          </w:p>
        </w:tc>
        <w:tc>
          <w:tcPr>
            <w:tcW w:w="510" w:type="dxa"/>
            <w:shd w:val="clear" w:color="auto" w:fill="F2F2F2" w:themeFill="background1" w:themeFillShade="F2"/>
          </w:tcPr>
          <w:p w:rsidR="007F6661" w:rsidRPr="00310AE2" w:rsidRDefault="007F6661" w:rsidP="006F74C6">
            <w:pPr>
              <w:pStyle w:val="TabNumeri"/>
            </w:pPr>
            <w:r w:rsidRPr="00310AE2">
              <w:t xml:space="preserve">2,3 </w:t>
            </w:r>
          </w:p>
        </w:tc>
        <w:tc>
          <w:tcPr>
            <w:tcW w:w="510" w:type="dxa"/>
            <w:shd w:val="clear" w:color="auto" w:fill="F2F2F2" w:themeFill="background1" w:themeFillShade="F2"/>
          </w:tcPr>
          <w:p w:rsidR="007F6661" w:rsidRPr="00310AE2" w:rsidRDefault="007F6661" w:rsidP="006F74C6">
            <w:pPr>
              <w:pStyle w:val="TabNumeri"/>
            </w:pPr>
            <w:r w:rsidRPr="00310AE2">
              <w:t xml:space="preserve">2,0 </w:t>
            </w:r>
          </w:p>
        </w:tc>
        <w:tc>
          <w:tcPr>
            <w:tcW w:w="510" w:type="dxa"/>
            <w:shd w:val="clear" w:color="auto" w:fill="F2F2F2" w:themeFill="background1" w:themeFillShade="F2"/>
          </w:tcPr>
          <w:p w:rsidR="007F6661" w:rsidRPr="00310AE2" w:rsidRDefault="007F6661" w:rsidP="006F74C6">
            <w:pPr>
              <w:pStyle w:val="TabNumeri"/>
            </w:pPr>
            <w:r w:rsidRPr="00310AE2">
              <w:t xml:space="preserve">1,7 </w:t>
            </w:r>
          </w:p>
        </w:tc>
        <w:tc>
          <w:tcPr>
            <w:tcW w:w="340" w:type="dxa"/>
            <w:shd w:val="clear" w:color="auto" w:fill="F2F2F2" w:themeFill="background1" w:themeFillShade="F2"/>
          </w:tcPr>
          <w:p w:rsidR="007F6661" w:rsidRPr="00BC2A0C" w:rsidRDefault="007F6661" w:rsidP="006F74C6">
            <w:pPr>
              <w:pStyle w:val="TabEtichette"/>
            </w:pPr>
          </w:p>
        </w:tc>
        <w:tc>
          <w:tcPr>
            <w:tcW w:w="2552" w:type="dxa"/>
            <w:shd w:val="clear" w:color="auto" w:fill="F2F2F2" w:themeFill="background1" w:themeFillShade="F2"/>
          </w:tcPr>
          <w:p w:rsidR="007F6661" w:rsidRPr="00903CBB" w:rsidRDefault="007F6661" w:rsidP="006F74C6">
            <w:pPr>
              <w:pStyle w:val="TabEtichette"/>
            </w:pPr>
            <w:r w:rsidRPr="00903CBB">
              <w:t>Cina</w:t>
            </w:r>
          </w:p>
        </w:tc>
        <w:tc>
          <w:tcPr>
            <w:tcW w:w="510" w:type="dxa"/>
            <w:shd w:val="clear" w:color="auto" w:fill="F2F2F2" w:themeFill="background1" w:themeFillShade="F2"/>
          </w:tcPr>
          <w:p w:rsidR="007F6661" w:rsidRPr="00234393" w:rsidRDefault="007F6661" w:rsidP="006F74C6">
            <w:pPr>
              <w:pStyle w:val="TabNumeri"/>
            </w:pPr>
            <w:r w:rsidRPr="00234393">
              <w:t xml:space="preserve">6,6 </w:t>
            </w:r>
          </w:p>
        </w:tc>
        <w:tc>
          <w:tcPr>
            <w:tcW w:w="510" w:type="dxa"/>
            <w:shd w:val="clear" w:color="auto" w:fill="F2F2F2" w:themeFill="background1" w:themeFillShade="F2"/>
          </w:tcPr>
          <w:p w:rsidR="007F6661" w:rsidRPr="00234393" w:rsidRDefault="007F6661" w:rsidP="006F74C6">
            <w:pPr>
              <w:pStyle w:val="TabNumeri"/>
            </w:pPr>
            <w:r w:rsidRPr="00234393">
              <w:t xml:space="preserve">6,2 </w:t>
            </w:r>
          </w:p>
        </w:tc>
        <w:tc>
          <w:tcPr>
            <w:tcW w:w="514" w:type="dxa"/>
            <w:shd w:val="clear" w:color="auto" w:fill="F2F2F2" w:themeFill="background1" w:themeFillShade="F2"/>
          </w:tcPr>
          <w:p w:rsidR="007F6661" w:rsidRPr="00234393" w:rsidRDefault="007F6661" w:rsidP="006F74C6">
            <w:pPr>
              <w:pStyle w:val="TabNumeri"/>
            </w:pPr>
            <w:r w:rsidRPr="00234393">
              <w:t xml:space="preserve">6,2 </w:t>
            </w:r>
          </w:p>
        </w:tc>
      </w:tr>
      <w:tr w:rsidR="007F6661" w:rsidRPr="00BC2A0C" w:rsidTr="006F74C6">
        <w:trPr>
          <w:cantSplit/>
          <w:trHeight w:val="255"/>
        </w:trPr>
        <w:tc>
          <w:tcPr>
            <w:tcW w:w="3402" w:type="dxa"/>
          </w:tcPr>
          <w:p w:rsidR="007F6661" w:rsidRPr="00BC2A0C" w:rsidRDefault="007F6661" w:rsidP="006F74C6">
            <w:pPr>
              <w:pStyle w:val="TabEtichette"/>
            </w:pPr>
            <w:r w:rsidRPr="00BC2A0C">
              <w:t>Economie emergenti e in sviluppo</w:t>
            </w:r>
          </w:p>
        </w:tc>
        <w:tc>
          <w:tcPr>
            <w:tcW w:w="510" w:type="dxa"/>
          </w:tcPr>
          <w:p w:rsidR="007F6661" w:rsidRPr="00310AE2" w:rsidRDefault="007F6661" w:rsidP="006F74C6">
            <w:pPr>
              <w:pStyle w:val="TabNumeri"/>
            </w:pPr>
            <w:r w:rsidRPr="00310AE2">
              <w:t xml:space="preserve">4,6 </w:t>
            </w:r>
          </w:p>
        </w:tc>
        <w:tc>
          <w:tcPr>
            <w:tcW w:w="510" w:type="dxa"/>
          </w:tcPr>
          <w:p w:rsidR="007F6661" w:rsidRPr="00310AE2" w:rsidRDefault="007F6661" w:rsidP="006F74C6">
            <w:pPr>
              <w:pStyle w:val="TabNumeri"/>
            </w:pPr>
            <w:r w:rsidRPr="00310AE2">
              <w:t xml:space="preserve">4,5 </w:t>
            </w:r>
          </w:p>
        </w:tc>
        <w:tc>
          <w:tcPr>
            <w:tcW w:w="510" w:type="dxa"/>
          </w:tcPr>
          <w:p w:rsidR="007F6661" w:rsidRPr="00310AE2" w:rsidRDefault="007F6661" w:rsidP="006F74C6">
            <w:pPr>
              <w:pStyle w:val="TabNumeri"/>
            </w:pPr>
            <w:r w:rsidRPr="00310AE2">
              <w:t xml:space="preserve">4,9 </w:t>
            </w:r>
          </w:p>
        </w:tc>
        <w:tc>
          <w:tcPr>
            <w:tcW w:w="340" w:type="dxa"/>
          </w:tcPr>
          <w:p w:rsidR="007F6661" w:rsidRPr="00BC2A0C" w:rsidRDefault="007F6661" w:rsidP="006F74C6">
            <w:pPr>
              <w:pStyle w:val="TabEtichette"/>
            </w:pPr>
          </w:p>
        </w:tc>
        <w:tc>
          <w:tcPr>
            <w:tcW w:w="2552" w:type="dxa"/>
          </w:tcPr>
          <w:p w:rsidR="007F6661" w:rsidRPr="00903CBB" w:rsidRDefault="007F6661" w:rsidP="006F74C6">
            <w:pPr>
              <w:pStyle w:val="TabEtichette"/>
            </w:pPr>
            <w:r w:rsidRPr="00903CBB">
              <w:t>Giappone</w:t>
            </w:r>
          </w:p>
        </w:tc>
        <w:tc>
          <w:tcPr>
            <w:tcW w:w="510" w:type="dxa"/>
          </w:tcPr>
          <w:p w:rsidR="007F6661" w:rsidRPr="00234393" w:rsidRDefault="007F6661" w:rsidP="006F74C6">
            <w:pPr>
              <w:pStyle w:val="TabNumeri"/>
            </w:pPr>
            <w:r w:rsidRPr="00234393">
              <w:t xml:space="preserve">0,9 </w:t>
            </w:r>
          </w:p>
        </w:tc>
        <w:tc>
          <w:tcPr>
            <w:tcW w:w="510" w:type="dxa"/>
          </w:tcPr>
          <w:p w:rsidR="007F6661" w:rsidRPr="00234393" w:rsidRDefault="007F6661" w:rsidP="006F74C6">
            <w:pPr>
              <w:pStyle w:val="TabNumeri"/>
            </w:pPr>
            <w:r w:rsidRPr="00234393">
              <w:t xml:space="preserve">1,1 </w:t>
            </w:r>
          </w:p>
        </w:tc>
        <w:tc>
          <w:tcPr>
            <w:tcW w:w="514" w:type="dxa"/>
          </w:tcPr>
          <w:p w:rsidR="007F6661" w:rsidRPr="00234393" w:rsidRDefault="007F6661" w:rsidP="006F74C6">
            <w:pPr>
              <w:pStyle w:val="TabNumeri"/>
            </w:pPr>
            <w:r w:rsidRPr="00234393">
              <w:t xml:space="preserve">0,5 </w:t>
            </w:r>
          </w:p>
        </w:tc>
      </w:tr>
      <w:tr w:rsidR="007F6661" w:rsidRPr="00BC2A0C" w:rsidTr="006F74C6">
        <w:trPr>
          <w:cantSplit/>
          <w:trHeight w:val="255"/>
        </w:trPr>
        <w:tc>
          <w:tcPr>
            <w:tcW w:w="3402" w:type="dxa"/>
            <w:shd w:val="clear" w:color="auto" w:fill="F2F2F2" w:themeFill="background1" w:themeFillShade="F2"/>
          </w:tcPr>
          <w:p w:rsidR="007F6661" w:rsidRPr="00C103CD" w:rsidRDefault="007F6661" w:rsidP="006F74C6">
            <w:pPr>
              <w:pStyle w:val="TabEtichette"/>
            </w:pPr>
            <w:r>
              <w:t xml:space="preserve">  Europa e</w:t>
            </w:r>
            <w:r w:rsidRPr="00C103CD">
              <w:t>mergente e in sviluppo</w:t>
            </w:r>
          </w:p>
        </w:tc>
        <w:tc>
          <w:tcPr>
            <w:tcW w:w="510" w:type="dxa"/>
            <w:shd w:val="clear" w:color="auto" w:fill="F2F2F2" w:themeFill="background1" w:themeFillShade="F2"/>
          </w:tcPr>
          <w:p w:rsidR="007F6661" w:rsidRPr="00310AE2" w:rsidRDefault="007F6661" w:rsidP="006F74C6">
            <w:pPr>
              <w:pStyle w:val="TabNumeri"/>
            </w:pPr>
            <w:r w:rsidRPr="00310AE2">
              <w:t xml:space="preserve">3,8 </w:t>
            </w:r>
          </w:p>
        </w:tc>
        <w:tc>
          <w:tcPr>
            <w:tcW w:w="510" w:type="dxa"/>
            <w:shd w:val="clear" w:color="auto" w:fill="F2F2F2" w:themeFill="background1" w:themeFillShade="F2"/>
          </w:tcPr>
          <w:p w:rsidR="007F6661" w:rsidRPr="00310AE2" w:rsidRDefault="007F6661" w:rsidP="006F74C6">
            <w:pPr>
              <w:pStyle w:val="TabNumeri"/>
            </w:pPr>
            <w:r w:rsidRPr="00310AE2">
              <w:t xml:space="preserve">0,7 </w:t>
            </w:r>
          </w:p>
        </w:tc>
        <w:tc>
          <w:tcPr>
            <w:tcW w:w="510" w:type="dxa"/>
            <w:shd w:val="clear" w:color="auto" w:fill="F2F2F2" w:themeFill="background1" w:themeFillShade="F2"/>
          </w:tcPr>
          <w:p w:rsidR="007F6661" w:rsidRPr="00310AE2" w:rsidRDefault="007F6661" w:rsidP="006F74C6">
            <w:pPr>
              <w:pStyle w:val="TabNumeri"/>
            </w:pPr>
            <w:r w:rsidRPr="00310AE2">
              <w:t xml:space="preserve">2,4 </w:t>
            </w:r>
          </w:p>
        </w:tc>
        <w:tc>
          <w:tcPr>
            <w:tcW w:w="340" w:type="dxa"/>
            <w:shd w:val="clear" w:color="auto" w:fill="F2F2F2" w:themeFill="background1" w:themeFillShade="F2"/>
          </w:tcPr>
          <w:p w:rsidR="007F6661" w:rsidRPr="00BC2A0C" w:rsidRDefault="007F6661" w:rsidP="006F74C6">
            <w:pPr>
              <w:pStyle w:val="TabEtichette"/>
            </w:pPr>
          </w:p>
        </w:tc>
        <w:tc>
          <w:tcPr>
            <w:tcW w:w="2552" w:type="dxa"/>
            <w:shd w:val="clear" w:color="auto" w:fill="F2F2F2" w:themeFill="background1" w:themeFillShade="F2"/>
          </w:tcPr>
          <w:p w:rsidR="007F6661" w:rsidRPr="00903CBB" w:rsidRDefault="007F6661" w:rsidP="006F74C6">
            <w:pPr>
              <w:pStyle w:val="TabEtichette"/>
            </w:pPr>
            <w:r w:rsidRPr="00903CBB">
              <w:t>Area dell'euro</w:t>
            </w:r>
          </w:p>
        </w:tc>
        <w:tc>
          <w:tcPr>
            <w:tcW w:w="510" w:type="dxa"/>
            <w:shd w:val="clear" w:color="auto" w:fill="F2F2F2" w:themeFill="background1" w:themeFillShade="F2"/>
          </w:tcPr>
          <w:p w:rsidR="007F6661" w:rsidRPr="00234393" w:rsidRDefault="007F6661" w:rsidP="006F74C6">
            <w:pPr>
              <w:pStyle w:val="TabNumeri"/>
            </w:pPr>
            <w:r w:rsidRPr="00234393">
              <w:t xml:space="preserve">1,8 </w:t>
            </w:r>
          </w:p>
        </w:tc>
        <w:tc>
          <w:tcPr>
            <w:tcW w:w="510" w:type="dxa"/>
            <w:shd w:val="clear" w:color="auto" w:fill="F2F2F2" w:themeFill="background1" w:themeFillShade="F2"/>
          </w:tcPr>
          <w:p w:rsidR="007F6661" w:rsidRPr="00234393" w:rsidRDefault="007F6661" w:rsidP="006F74C6">
            <w:pPr>
              <w:pStyle w:val="TabNumeri"/>
            </w:pPr>
            <w:r w:rsidRPr="00234393">
              <w:t xml:space="preserve">1,6 </w:t>
            </w:r>
          </w:p>
        </w:tc>
        <w:tc>
          <w:tcPr>
            <w:tcW w:w="514" w:type="dxa"/>
            <w:shd w:val="clear" w:color="auto" w:fill="F2F2F2" w:themeFill="background1" w:themeFillShade="F2"/>
          </w:tcPr>
          <w:p w:rsidR="007F6661" w:rsidRPr="00234393" w:rsidRDefault="007F6661" w:rsidP="006F74C6">
            <w:pPr>
              <w:pStyle w:val="TabNumeri"/>
            </w:pPr>
            <w:r w:rsidRPr="00234393">
              <w:t xml:space="preserve">1,7 </w:t>
            </w:r>
          </w:p>
        </w:tc>
      </w:tr>
      <w:tr w:rsidR="007F6661" w:rsidRPr="00BC2A0C" w:rsidTr="006F74C6">
        <w:trPr>
          <w:cantSplit/>
          <w:trHeight w:val="255"/>
        </w:trPr>
        <w:tc>
          <w:tcPr>
            <w:tcW w:w="3402" w:type="dxa"/>
          </w:tcPr>
          <w:p w:rsidR="007F6661" w:rsidRPr="00C103CD" w:rsidRDefault="007F6661" w:rsidP="006F74C6">
            <w:pPr>
              <w:pStyle w:val="TabEtichette"/>
            </w:pPr>
            <w:r w:rsidRPr="00C103CD">
              <w:t xml:space="preserve">  Comunità di Stati Indipendenti</w:t>
            </w:r>
          </w:p>
        </w:tc>
        <w:tc>
          <w:tcPr>
            <w:tcW w:w="510" w:type="dxa"/>
          </w:tcPr>
          <w:p w:rsidR="007F6661" w:rsidRPr="00310AE2" w:rsidRDefault="007F6661" w:rsidP="006F74C6">
            <w:pPr>
              <w:pStyle w:val="TabNumeri"/>
            </w:pPr>
            <w:r w:rsidRPr="00310AE2">
              <w:t xml:space="preserve">2,4 </w:t>
            </w:r>
          </w:p>
        </w:tc>
        <w:tc>
          <w:tcPr>
            <w:tcW w:w="510" w:type="dxa"/>
          </w:tcPr>
          <w:p w:rsidR="007F6661" w:rsidRPr="00310AE2" w:rsidRDefault="007F6661" w:rsidP="006F74C6">
            <w:pPr>
              <w:pStyle w:val="TabNumeri"/>
            </w:pPr>
            <w:r w:rsidRPr="00310AE2">
              <w:t xml:space="preserve">2,2 </w:t>
            </w:r>
          </w:p>
        </w:tc>
        <w:tc>
          <w:tcPr>
            <w:tcW w:w="510" w:type="dxa"/>
          </w:tcPr>
          <w:p w:rsidR="007F6661" w:rsidRPr="00310AE2" w:rsidRDefault="007F6661" w:rsidP="006F74C6">
            <w:pPr>
              <w:pStyle w:val="TabNumeri"/>
            </w:pPr>
            <w:r w:rsidRPr="00310AE2">
              <w:t xml:space="preserve">2,3 </w:t>
            </w:r>
          </w:p>
        </w:tc>
        <w:tc>
          <w:tcPr>
            <w:tcW w:w="340" w:type="dxa"/>
          </w:tcPr>
          <w:p w:rsidR="007F6661" w:rsidRPr="00BC2A0C" w:rsidRDefault="007F6661" w:rsidP="006F74C6">
            <w:pPr>
              <w:pStyle w:val="TabEtichette"/>
            </w:pPr>
          </w:p>
        </w:tc>
        <w:tc>
          <w:tcPr>
            <w:tcW w:w="2552" w:type="dxa"/>
          </w:tcPr>
          <w:p w:rsidR="007F6661" w:rsidRPr="00903CBB" w:rsidRDefault="007F6661" w:rsidP="006F74C6">
            <w:pPr>
              <w:pStyle w:val="TabEtichette"/>
            </w:pPr>
            <w:r w:rsidRPr="00903CBB">
              <w:t xml:space="preserve">  Germania</w:t>
            </w:r>
          </w:p>
        </w:tc>
        <w:tc>
          <w:tcPr>
            <w:tcW w:w="510" w:type="dxa"/>
          </w:tcPr>
          <w:p w:rsidR="007F6661" w:rsidRPr="00234393" w:rsidRDefault="007F6661" w:rsidP="006F74C6">
            <w:pPr>
              <w:pStyle w:val="TabNumeri"/>
            </w:pPr>
            <w:r w:rsidRPr="00234393">
              <w:t xml:space="preserve">1,5 </w:t>
            </w:r>
          </w:p>
        </w:tc>
        <w:tc>
          <w:tcPr>
            <w:tcW w:w="510" w:type="dxa"/>
          </w:tcPr>
          <w:p w:rsidR="007F6661" w:rsidRPr="00234393" w:rsidRDefault="007F6661" w:rsidP="006F74C6">
            <w:pPr>
              <w:pStyle w:val="TabNumeri"/>
            </w:pPr>
            <w:r w:rsidRPr="00234393">
              <w:t xml:space="preserve">1,3 </w:t>
            </w:r>
          </w:p>
        </w:tc>
        <w:tc>
          <w:tcPr>
            <w:tcW w:w="514" w:type="dxa"/>
          </w:tcPr>
          <w:p w:rsidR="007F6661" w:rsidRPr="00234393" w:rsidRDefault="007F6661" w:rsidP="006F74C6">
            <w:pPr>
              <w:pStyle w:val="TabNumeri"/>
            </w:pPr>
            <w:r w:rsidRPr="00234393">
              <w:t xml:space="preserve">1,6 </w:t>
            </w:r>
          </w:p>
        </w:tc>
      </w:tr>
      <w:tr w:rsidR="007F6661" w:rsidRPr="00BC2A0C" w:rsidTr="006F74C6">
        <w:trPr>
          <w:cantSplit/>
          <w:trHeight w:val="255"/>
        </w:trPr>
        <w:tc>
          <w:tcPr>
            <w:tcW w:w="3402" w:type="dxa"/>
            <w:shd w:val="clear" w:color="auto" w:fill="F2F2F2" w:themeFill="background1" w:themeFillShade="F2"/>
          </w:tcPr>
          <w:p w:rsidR="007F6661" w:rsidRPr="00C103CD" w:rsidRDefault="007F6661" w:rsidP="006F74C6">
            <w:pPr>
              <w:pStyle w:val="TabEtichette"/>
            </w:pPr>
            <w:r w:rsidRPr="00C103CD">
              <w:t xml:space="preserve">  Paesi Asiatici in </w:t>
            </w:r>
            <w:r>
              <w:t>s</w:t>
            </w:r>
            <w:r w:rsidRPr="00C103CD">
              <w:t>viluppo</w:t>
            </w:r>
            <w:r>
              <w:t xml:space="preserve"> e emergenti</w:t>
            </w:r>
          </w:p>
        </w:tc>
        <w:tc>
          <w:tcPr>
            <w:tcW w:w="510" w:type="dxa"/>
            <w:shd w:val="clear" w:color="auto" w:fill="F2F2F2" w:themeFill="background1" w:themeFillShade="F2"/>
          </w:tcPr>
          <w:p w:rsidR="007F6661" w:rsidRPr="00310AE2" w:rsidRDefault="007F6661" w:rsidP="006F74C6">
            <w:pPr>
              <w:pStyle w:val="TabNumeri"/>
            </w:pPr>
            <w:r w:rsidRPr="00310AE2">
              <w:t xml:space="preserve">6,5 </w:t>
            </w:r>
          </w:p>
        </w:tc>
        <w:tc>
          <w:tcPr>
            <w:tcW w:w="510" w:type="dxa"/>
            <w:shd w:val="clear" w:color="auto" w:fill="F2F2F2" w:themeFill="background1" w:themeFillShade="F2"/>
          </w:tcPr>
          <w:p w:rsidR="007F6661" w:rsidRPr="00310AE2" w:rsidRDefault="007F6661" w:rsidP="006F74C6">
            <w:pPr>
              <w:pStyle w:val="TabNumeri"/>
            </w:pPr>
            <w:r w:rsidRPr="00310AE2">
              <w:t xml:space="preserve">6,3 </w:t>
            </w:r>
          </w:p>
        </w:tc>
        <w:tc>
          <w:tcPr>
            <w:tcW w:w="510" w:type="dxa"/>
            <w:shd w:val="clear" w:color="auto" w:fill="F2F2F2" w:themeFill="background1" w:themeFillShade="F2"/>
          </w:tcPr>
          <w:p w:rsidR="007F6661" w:rsidRPr="00310AE2" w:rsidRDefault="007F6661" w:rsidP="006F74C6">
            <w:pPr>
              <w:pStyle w:val="TabNumeri"/>
            </w:pPr>
            <w:r w:rsidRPr="00310AE2">
              <w:t xml:space="preserve">6,4 </w:t>
            </w:r>
          </w:p>
        </w:tc>
        <w:tc>
          <w:tcPr>
            <w:tcW w:w="340" w:type="dxa"/>
            <w:shd w:val="clear" w:color="auto" w:fill="F2F2F2" w:themeFill="background1" w:themeFillShade="F2"/>
          </w:tcPr>
          <w:p w:rsidR="007F6661" w:rsidRPr="00BC2A0C" w:rsidRDefault="007F6661" w:rsidP="006F74C6">
            <w:pPr>
              <w:pStyle w:val="TabEtichette"/>
            </w:pPr>
          </w:p>
        </w:tc>
        <w:tc>
          <w:tcPr>
            <w:tcW w:w="2552" w:type="dxa"/>
            <w:shd w:val="clear" w:color="auto" w:fill="F2F2F2" w:themeFill="background1" w:themeFillShade="F2"/>
          </w:tcPr>
          <w:p w:rsidR="007F6661" w:rsidRPr="00903CBB" w:rsidRDefault="007F6661" w:rsidP="006F74C6">
            <w:pPr>
              <w:pStyle w:val="TabEtichette"/>
            </w:pPr>
            <w:r w:rsidRPr="00903CBB">
              <w:t xml:space="preserve">  Francia</w:t>
            </w:r>
          </w:p>
        </w:tc>
        <w:tc>
          <w:tcPr>
            <w:tcW w:w="510" w:type="dxa"/>
            <w:shd w:val="clear" w:color="auto" w:fill="F2F2F2" w:themeFill="background1" w:themeFillShade="F2"/>
          </w:tcPr>
          <w:p w:rsidR="007F6661" w:rsidRPr="00234393" w:rsidRDefault="007F6661" w:rsidP="006F74C6">
            <w:pPr>
              <w:pStyle w:val="TabNumeri"/>
            </w:pPr>
            <w:r w:rsidRPr="00234393">
              <w:t xml:space="preserve">1,5 </w:t>
            </w:r>
          </w:p>
        </w:tc>
        <w:tc>
          <w:tcPr>
            <w:tcW w:w="510" w:type="dxa"/>
            <w:shd w:val="clear" w:color="auto" w:fill="F2F2F2" w:themeFill="background1" w:themeFillShade="F2"/>
          </w:tcPr>
          <w:p w:rsidR="007F6661" w:rsidRPr="00234393" w:rsidRDefault="007F6661" w:rsidP="006F74C6">
            <w:pPr>
              <w:pStyle w:val="TabNumeri"/>
            </w:pPr>
            <w:r w:rsidRPr="00234393">
              <w:t xml:space="preserve">1,5 </w:t>
            </w:r>
          </w:p>
        </w:tc>
        <w:tc>
          <w:tcPr>
            <w:tcW w:w="514" w:type="dxa"/>
            <w:shd w:val="clear" w:color="auto" w:fill="F2F2F2" w:themeFill="background1" w:themeFillShade="F2"/>
          </w:tcPr>
          <w:p w:rsidR="007F6661" w:rsidRPr="00234393" w:rsidRDefault="007F6661" w:rsidP="006F74C6">
            <w:pPr>
              <w:pStyle w:val="TabNumeri"/>
            </w:pPr>
            <w:r w:rsidRPr="00234393">
              <w:t xml:space="preserve">1,6 </w:t>
            </w:r>
          </w:p>
        </w:tc>
      </w:tr>
      <w:tr w:rsidR="007F6661" w:rsidRPr="00BC2A0C" w:rsidTr="006F74C6">
        <w:trPr>
          <w:cantSplit/>
          <w:trHeight w:val="255"/>
        </w:trPr>
        <w:tc>
          <w:tcPr>
            <w:tcW w:w="3402" w:type="dxa"/>
          </w:tcPr>
          <w:p w:rsidR="007F6661" w:rsidRPr="00C103CD" w:rsidRDefault="007F6661" w:rsidP="006F74C6">
            <w:pPr>
              <w:pStyle w:val="TabEtichette"/>
            </w:pPr>
            <w:r w:rsidRPr="00C103CD">
              <w:t xml:space="preserve">  M. Oriente</w:t>
            </w:r>
            <w:r>
              <w:t>,</w:t>
            </w:r>
            <w:r w:rsidRPr="00C103CD">
              <w:t xml:space="preserve"> Nord Africa</w:t>
            </w:r>
            <w:r>
              <w:t>,</w:t>
            </w:r>
            <w:r w:rsidRPr="00C103CD">
              <w:t xml:space="preserve"> </w:t>
            </w:r>
            <w:proofErr w:type="spellStart"/>
            <w:r w:rsidRPr="00C103CD">
              <w:t>Afg</w:t>
            </w:r>
            <w:r>
              <w:t>anistan</w:t>
            </w:r>
            <w:proofErr w:type="spellEnd"/>
            <w:r>
              <w:t>,</w:t>
            </w:r>
            <w:r w:rsidRPr="00C103CD">
              <w:t xml:space="preserve"> Pak</w:t>
            </w:r>
            <w:r>
              <w:t>istan</w:t>
            </w:r>
          </w:p>
        </w:tc>
        <w:tc>
          <w:tcPr>
            <w:tcW w:w="510" w:type="dxa"/>
          </w:tcPr>
          <w:p w:rsidR="007F6661" w:rsidRPr="00310AE2" w:rsidRDefault="007F6661" w:rsidP="006F74C6">
            <w:pPr>
              <w:pStyle w:val="TabNumeri"/>
            </w:pPr>
            <w:r w:rsidRPr="00310AE2">
              <w:t xml:space="preserve">2,4 </w:t>
            </w:r>
          </w:p>
        </w:tc>
        <w:tc>
          <w:tcPr>
            <w:tcW w:w="510" w:type="dxa"/>
          </w:tcPr>
          <w:p w:rsidR="007F6661" w:rsidRPr="00310AE2" w:rsidRDefault="007F6661" w:rsidP="006F74C6">
            <w:pPr>
              <w:pStyle w:val="TabNumeri"/>
            </w:pPr>
            <w:r w:rsidRPr="00310AE2">
              <w:t xml:space="preserve">2,4 </w:t>
            </w:r>
          </w:p>
        </w:tc>
        <w:tc>
          <w:tcPr>
            <w:tcW w:w="510" w:type="dxa"/>
          </w:tcPr>
          <w:p w:rsidR="007F6661" w:rsidRPr="00310AE2" w:rsidRDefault="007F6661" w:rsidP="006F74C6">
            <w:pPr>
              <w:pStyle w:val="TabNumeri"/>
            </w:pPr>
            <w:r w:rsidRPr="00310AE2">
              <w:t xml:space="preserve">3,0 </w:t>
            </w:r>
          </w:p>
        </w:tc>
        <w:tc>
          <w:tcPr>
            <w:tcW w:w="340" w:type="dxa"/>
          </w:tcPr>
          <w:p w:rsidR="007F6661" w:rsidRPr="00BC2A0C" w:rsidRDefault="007F6661" w:rsidP="006F74C6">
            <w:pPr>
              <w:pStyle w:val="TabEtichette"/>
            </w:pPr>
          </w:p>
        </w:tc>
        <w:tc>
          <w:tcPr>
            <w:tcW w:w="2552" w:type="dxa"/>
          </w:tcPr>
          <w:p w:rsidR="007F6661" w:rsidRPr="00903CBB" w:rsidRDefault="007F6661" w:rsidP="006F74C6">
            <w:pPr>
              <w:pStyle w:val="TabEtichette"/>
            </w:pPr>
            <w:r w:rsidRPr="00903CBB">
              <w:t>Russia</w:t>
            </w:r>
          </w:p>
        </w:tc>
        <w:tc>
          <w:tcPr>
            <w:tcW w:w="510" w:type="dxa"/>
          </w:tcPr>
          <w:p w:rsidR="007F6661" w:rsidRPr="00234393" w:rsidRDefault="007F6661" w:rsidP="006F74C6">
            <w:pPr>
              <w:pStyle w:val="TabNumeri"/>
            </w:pPr>
            <w:r w:rsidRPr="00234393">
              <w:t xml:space="preserve">1,7 </w:t>
            </w:r>
          </w:p>
        </w:tc>
        <w:tc>
          <w:tcPr>
            <w:tcW w:w="510" w:type="dxa"/>
          </w:tcPr>
          <w:p w:rsidR="007F6661" w:rsidRPr="00234393" w:rsidRDefault="007F6661" w:rsidP="006F74C6">
            <w:pPr>
              <w:pStyle w:val="TabNumeri"/>
            </w:pPr>
            <w:r w:rsidRPr="00234393">
              <w:t xml:space="preserve">1,6 </w:t>
            </w:r>
          </w:p>
        </w:tc>
        <w:tc>
          <w:tcPr>
            <w:tcW w:w="514" w:type="dxa"/>
          </w:tcPr>
          <w:p w:rsidR="007F6661" w:rsidRPr="00234393" w:rsidRDefault="007F6661" w:rsidP="006F74C6">
            <w:pPr>
              <w:pStyle w:val="TabNumeri"/>
            </w:pPr>
            <w:r w:rsidRPr="00234393">
              <w:t xml:space="preserve">1,7 </w:t>
            </w:r>
          </w:p>
        </w:tc>
      </w:tr>
      <w:tr w:rsidR="007F6661" w:rsidRPr="00BC2A0C" w:rsidTr="006F74C6">
        <w:trPr>
          <w:cantSplit/>
          <w:trHeight w:val="255"/>
        </w:trPr>
        <w:tc>
          <w:tcPr>
            <w:tcW w:w="3402" w:type="dxa"/>
            <w:shd w:val="clear" w:color="auto" w:fill="F2F2F2" w:themeFill="background1" w:themeFillShade="F2"/>
          </w:tcPr>
          <w:p w:rsidR="007F6661" w:rsidRPr="00C103CD" w:rsidRDefault="007F6661" w:rsidP="006F74C6">
            <w:pPr>
              <w:pStyle w:val="TabEtichette"/>
            </w:pPr>
            <w:r w:rsidRPr="00C103CD">
              <w:t xml:space="preserve">  Africa Sub-Sahariana</w:t>
            </w:r>
          </w:p>
        </w:tc>
        <w:tc>
          <w:tcPr>
            <w:tcW w:w="510" w:type="dxa"/>
            <w:shd w:val="clear" w:color="auto" w:fill="F2F2F2" w:themeFill="background1" w:themeFillShade="F2"/>
          </w:tcPr>
          <w:p w:rsidR="007F6661" w:rsidRPr="00310AE2" w:rsidRDefault="007F6661" w:rsidP="006F74C6">
            <w:pPr>
              <w:pStyle w:val="TabNumeri"/>
            </w:pPr>
            <w:r w:rsidRPr="00310AE2">
              <w:t xml:space="preserve">2,9 </w:t>
            </w:r>
          </w:p>
        </w:tc>
        <w:tc>
          <w:tcPr>
            <w:tcW w:w="510" w:type="dxa"/>
            <w:shd w:val="clear" w:color="auto" w:fill="F2F2F2" w:themeFill="background1" w:themeFillShade="F2"/>
          </w:tcPr>
          <w:p w:rsidR="007F6661" w:rsidRPr="00310AE2" w:rsidRDefault="007F6661" w:rsidP="006F74C6">
            <w:pPr>
              <w:pStyle w:val="TabNumeri"/>
            </w:pPr>
            <w:r w:rsidRPr="00310AE2">
              <w:t xml:space="preserve">3,5 </w:t>
            </w:r>
          </w:p>
        </w:tc>
        <w:tc>
          <w:tcPr>
            <w:tcW w:w="510" w:type="dxa"/>
            <w:shd w:val="clear" w:color="auto" w:fill="F2F2F2" w:themeFill="background1" w:themeFillShade="F2"/>
          </w:tcPr>
          <w:p w:rsidR="007F6661" w:rsidRPr="00310AE2" w:rsidRDefault="007F6661" w:rsidP="006F74C6">
            <w:pPr>
              <w:pStyle w:val="TabNumeri"/>
            </w:pPr>
            <w:r w:rsidRPr="00310AE2">
              <w:t xml:space="preserve">3,6 </w:t>
            </w:r>
          </w:p>
        </w:tc>
        <w:tc>
          <w:tcPr>
            <w:tcW w:w="340" w:type="dxa"/>
            <w:shd w:val="clear" w:color="auto" w:fill="F2F2F2" w:themeFill="background1" w:themeFillShade="F2"/>
          </w:tcPr>
          <w:p w:rsidR="007F6661" w:rsidRPr="00BC2A0C" w:rsidRDefault="007F6661" w:rsidP="006F74C6">
            <w:pPr>
              <w:pStyle w:val="TabEtichette"/>
            </w:pPr>
          </w:p>
        </w:tc>
        <w:tc>
          <w:tcPr>
            <w:tcW w:w="2552" w:type="dxa"/>
            <w:shd w:val="clear" w:color="auto" w:fill="F2F2F2" w:themeFill="background1" w:themeFillShade="F2"/>
          </w:tcPr>
          <w:p w:rsidR="007F6661" w:rsidRPr="00903CBB" w:rsidRDefault="007F6661" w:rsidP="006F74C6">
            <w:pPr>
              <w:pStyle w:val="TabEtichette"/>
            </w:pPr>
            <w:r w:rsidRPr="00903CBB">
              <w:t>India</w:t>
            </w:r>
          </w:p>
        </w:tc>
        <w:tc>
          <w:tcPr>
            <w:tcW w:w="510" w:type="dxa"/>
            <w:shd w:val="clear" w:color="auto" w:fill="F2F2F2" w:themeFill="background1" w:themeFillShade="F2"/>
          </w:tcPr>
          <w:p w:rsidR="007F6661" w:rsidRPr="00234393" w:rsidRDefault="007F6661" w:rsidP="006F74C6">
            <w:pPr>
              <w:pStyle w:val="TabNumeri"/>
            </w:pPr>
            <w:r w:rsidRPr="00234393">
              <w:t xml:space="preserve">7,3 </w:t>
            </w:r>
          </w:p>
        </w:tc>
        <w:tc>
          <w:tcPr>
            <w:tcW w:w="510" w:type="dxa"/>
            <w:shd w:val="clear" w:color="auto" w:fill="F2F2F2" w:themeFill="background1" w:themeFillShade="F2"/>
          </w:tcPr>
          <w:p w:rsidR="007F6661" w:rsidRPr="00234393" w:rsidRDefault="007F6661" w:rsidP="006F74C6">
            <w:pPr>
              <w:pStyle w:val="TabNumeri"/>
            </w:pPr>
            <w:r w:rsidRPr="00234393">
              <w:t xml:space="preserve">7,5 </w:t>
            </w:r>
          </w:p>
        </w:tc>
        <w:tc>
          <w:tcPr>
            <w:tcW w:w="514" w:type="dxa"/>
            <w:shd w:val="clear" w:color="auto" w:fill="F2F2F2" w:themeFill="background1" w:themeFillShade="F2"/>
          </w:tcPr>
          <w:p w:rsidR="007F6661" w:rsidRPr="00234393" w:rsidRDefault="007F6661" w:rsidP="006F74C6">
            <w:pPr>
              <w:pStyle w:val="TabNumeri"/>
            </w:pPr>
            <w:r w:rsidRPr="00234393">
              <w:t xml:space="preserve">7,7 </w:t>
            </w:r>
          </w:p>
        </w:tc>
      </w:tr>
      <w:tr w:rsidR="007F6661" w:rsidRPr="00BC2A0C" w:rsidTr="006F74C6">
        <w:trPr>
          <w:cantSplit/>
          <w:trHeight w:val="255"/>
        </w:trPr>
        <w:tc>
          <w:tcPr>
            <w:tcW w:w="3402" w:type="dxa"/>
          </w:tcPr>
          <w:p w:rsidR="007F6661" w:rsidRDefault="007F6661" w:rsidP="006F74C6">
            <w:pPr>
              <w:pStyle w:val="TabEtichette"/>
            </w:pPr>
            <w:r w:rsidRPr="00C103CD">
              <w:t xml:space="preserve">  America Latina e Caraibi</w:t>
            </w:r>
          </w:p>
        </w:tc>
        <w:tc>
          <w:tcPr>
            <w:tcW w:w="510" w:type="dxa"/>
          </w:tcPr>
          <w:p w:rsidR="007F6661" w:rsidRPr="00310AE2" w:rsidRDefault="007F6661" w:rsidP="006F74C6">
            <w:pPr>
              <w:pStyle w:val="TabNumeri"/>
            </w:pPr>
            <w:r w:rsidRPr="00310AE2">
              <w:t xml:space="preserve">1,1 </w:t>
            </w:r>
          </w:p>
        </w:tc>
        <w:tc>
          <w:tcPr>
            <w:tcW w:w="510" w:type="dxa"/>
          </w:tcPr>
          <w:p w:rsidR="007F6661" w:rsidRPr="00310AE2" w:rsidRDefault="007F6661" w:rsidP="006F74C6">
            <w:pPr>
              <w:pStyle w:val="TabNumeri"/>
            </w:pPr>
            <w:r w:rsidRPr="00310AE2">
              <w:t xml:space="preserve">2,0 </w:t>
            </w:r>
          </w:p>
        </w:tc>
        <w:tc>
          <w:tcPr>
            <w:tcW w:w="510" w:type="dxa"/>
          </w:tcPr>
          <w:p w:rsidR="007F6661" w:rsidRDefault="007F6661" w:rsidP="006F74C6">
            <w:pPr>
              <w:pStyle w:val="TabNumeri"/>
            </w:pPr>
            <w:r w:rsidRPr="00310AE2">
              <w:t xml:space="preserve">2,5 </w:t>
            </w:r>
          </w:p>
        </w:tc>
        <w:tc>
          <w:tcPr>
            <w:tcW w:w="340" w:type="dxa"/>
          </w:tcPr>
          <w:p w:rsidR="007F6661" w:rsidRPr="00BC2A0C" w:rsidRDefault="007F6661" w:rsidP="006F74C6">
            <w:pPr>
              <w:pStyle w:val="TabEtichette"/>
            </w:pPr>
          </w:p>
        </w:tc>
        <w:tc>
          <w:tcPr>
            <w:tcW w:w="2552" w:type="dxa"/>
          </w:tcPr>
          <w:p w:rsidR="007F6661" w:rsidRPr="00903CBB" w:rsidRDefault="007F6661" w:rsidP="006F74C6">
            <w:pPr>
              <w:pStyle w:val="TabEtichette"/>
            </w:pPr>
            <w:r w:rsidRPr="00903CBB">
              <w:t>Brasile</w:t>
            </w:r>
          </w:p>
        </w:tc>
        <w:tc>
          <w:tcPr>
            <w:tcW w:w="510" w:type="dxa"/>
          </w:tcPr>
          <w:p w:rsidR="007F6661" w:rsidRPr="00234393" w:rsidRDefault="007F6661" w:rsidP="006F74C6">
            <w:pPr>
              <w:pStyle w:val="TabNumeri"/>
            </w:pPr>
            <w:r w:rsidRPr="00234393">
              <w:t xml:space="preserve">1,3 </w:t>
            </w:r>
          </w:p>
        </w:tc>
        <w:tc>
          <w:tcPr>
            <w:tcW w:w="510" w:type="dxa"/>
          </w:tcPr>
          <w:p w:rsidR="007F6661" w:rsidRPr="00234393" w:rsidRDefault="007F6661" w:rsidP="006F74C6">
            <w:pPr>
              <w:pStyle w:val="TabNumeri"/>
            </w:pPr>
            <w:r w:rsidRPr="00234393">
              <w:t xml:space="preserve">2,5 </w:t>
            </w:r>
          </w:p>
        </w:tc>
        <w:tc>
          <w:tcPr>
            <w:tcW w:w="514" w:type="dxa"/>
          </w:tcPr>
          <w:p w:rsidR="007F6661" w:rsidRPr="00234393" w:rsidRDefault="007F6661" w:rsidP="006F74C6">
            <w:pPr>
              <w:pStyle w:val="TabNumeri"/>
            </w:pPr>
            <w:r w:rsidRPr="00234393">
              <w:t xml:space="preserve">2,2 </w:t>
            </w:r>
          </w:p>
        </w:tc>
      </w:tr>
      <w:tr w:rsidR="007F6661" w:rsidRPr="00BC2A0C" w:rsidTr="006F74C6">
        <w:trPr>
          <w:cantSplit/>
          <w:trHeight w:val="255"/>
        </w:trPr>
        <w:tc>
          <w:tcPr>
            <w:tcW w:w="3402" w:type="dxa"/>
            <w:shd w:val="clear" w:color="auto" w:fill="F2F2F2" w:themeFill="background1" w:themeFillShade="F2"/>
          </w:tcPr>
          <w:p w:rsidR="007F6661" w:rsidRPr="007C2916" w:rsidRDefault="007F6661" w:rsidP="006F74C6">
            <w:pPr>
              <w:pStyle w:val="TabEtichette"/>
            </w:pPr>
          </w:p>
        </w:tc>
        <w:tc>
          <w:tcPr>
            <w:tcW w:w="510" w:type="dxa"/>
            <w:shd w:val="clear" w:color="auto" w:fill="F2F2F2" w:themeFill="background1" w:themeFillShade="F2"/>
          </w:tcPr>
          <w:p w:rsidR="007F6661" w:rsidRPr="003234B1" w:rsidRDefault="007F6661" w:rsidP="006F74C6">
            <w:pPr>
              <w:pStyle w:val="TabNumeri"/>
            </w:pPr>
          </w:p>
        </w:tc>
        <w:tc>
          <w:tcPr>
            <w:tcW w:w="510" w:type="dxa"/>
            <w:shd w:val="clear" w:color="auto" w:fill="F2F2F2" w:themeFill="background1" w:themeFillShade="F2"/>
          </w:tcPr>
          <w:p w:rsidR="007F6661" w:rsidRPr="003234B1" w:rsidRDefault="007F6661" w:rsidP="006F74C6">
            <w:pPr>
              <w:pStyle w:val="TabNumeri"/>
            </w:pPr>
          </w:p>
        </w:tc>
        <w:tc>
          <w:tcPr>
            <w:tcW w:w="510" w:type="dxa"/>
            <w:shd w:val="clear" w:color="auto" w:fill="F2F2F2" w:themeFill="background1" w:themeFillShade="F2"/>
          </w:tcPr>
          <w:p w:rsidR="007F6661" w:rsidRPr="003234B1" w:rsidRDefault="007F6661" w:rsidP="006F74C6">
            <w:pPr>
              <w:pStyle w:val="TabNumeri"/>
            </w:pPr>
          </w:p>
        </w:tc>
        <w:tc>
          <w:tcPr>
            <w:tcW w:w="340" w:type="dxa"/>
            <w:shd w:val="clear" w:color="auto" w:fill="F2F2F2" w:themeFill="background1" w:themeFillShade="F2"/>
          </w:tcPr>
          <w:p w:rsidR="007F6661" w:rsidRPr="00BC2A0C" w:rsidRDefault="007F6661" w:rsidP="006F74C6">
            <w:pPr>
              <w:pStyle w:val="TabEtichette"/>
            </w:pPr>
          </w:p>
        </w:tc>
        <w:tc>
          <w:tcPr>
            <w:tcW w:w="2552" w:type="dxa"/>
            <w:shd w:val="clear" w:color="auto" w:fill="F2F2F2" w:themeFill="background1" w:themeFillShade="F2"/>
          </w:tcPr>
          <w:p w:rsidR="007F6661" w:rsidRDefault="007F6661" w:rsidP="006F74C6">
            <w:pPr>
              <w:pStyle w:val="TabEtichette"/>
            </w:pPr>
            <w:r w:rsidRPr="00903CBB">
              <w:t>Messico</w:t>
            </w:r>
          </w:p>
        </w:tc>
        <w:tc>
          <w:tcPr>
            <w:tcW w:w="510" w:type="dxa"/>
            <w:shd w:val="clear" w:color="auto" w:fill="F2F2F2" w:themeFill="background1" w:themeFillShade="F2"/>
          </w:tcPr>
          <w:p w:rsidR="007F6661" w:rsidRPr="00234393" w:rsidRDefault="007F6661" w:rsidP="006F74C6">
            <w:pPr>
              <w:pStyle w:val="TabNumeri"/>
            </w:pPr>
            <w:r w:rsidRPr="00234393">
              <w:t xml:space="preserve">2,1 </w:t>
            </w:r>
          </w:p>
        </w:tc>
        <w:tc>
          <w:tcPr>
            <w:tcW w:w="510" w:type="dxa"/>
            <w:shd w:val="clear" w:color="auto" w:fill="F2F2F2" w:themeFill="background1" w:themeFillShade="F2"/>
          </w:tcPr>
          <w:p w:rsidR="007F6661" w:rsidRPr="00234393" w:rsidRDefault="007F6661" w:rsidP="006F74C6">
            <w:pPr>
              <w:pStyle w:val="TabNumeri"/>
            </w:pPr>
            <w:r w:rsidRPr="00234393">
              <w:t xml:space="preserve">2,1 </w:t>
            </w:r>
          </w:p>
        </w:tc>
        <w:tc>
          <w:tcPr>
            <w:tcW w:w="514" w:type="dxa"/>
            <w:shd w:val="clear" w:color="auto" w:fill="F2F2F2" w:themeFill="background1" w:themeFillShade="F2"/>
          </w:tcPr>
          <w:p w:rsidR="007F6661" w:rsidRDefault="007F6661" w:rsidP="006F74C6">
            <w:pPr>
              <w:pStyle w:val="TabNumeri"/>
            </w:pPr>
            <w:r w:rsidRPr="00234393">
              <w:t xml:space="preserve">2,2 </w:t>
            </w:r>
          </w:p>
        </w:tc>
      </w:tr>
      <w:tr w:rsidR="007F6661" w:rsidRPr="00BC2A0C" w:rsidTr="006F74C6">
        <w:trPr>
          <w:cantSplit/>
          <w:trHeight w:val="255"/>
        </w:trPr>
        <w:tc>
          <w:tcPr>
            <w:tcW w:w="9358" w:type="dxa"/>
            <w:gridSpan w:val="9"/>
          </w:tcPr>
          <w:p w:rsidR="007F6661" w:rsidRPr="009100D8" w:rsidRDefault="007F6661" w:rsidP="006F74C6">
            <w:pPr>
              <w:pStyle w:val="TabIntestaSup"/>
            </w:pPr>
            <w:r>
              <w:t>Commercio mondiale e tassi di interesse</w:t>
            </w:r>
          </w:p>
        </w:tc>
      </w:tr>
      <w:tr w:rsidR="007F6661" w:rsidRPr="00BC2A0C" w:rsidTr="006F74C6">
        <w:trPr>
          <w:cantSplit/>
          <w:trHeight w:val="255"/>
        </w:trPr>
        <w:tc>
          <w:tcPr>
            <w:tcW w:w="3402" w:type="dxa"/>
            <w:shd w:val="clear" w:color="auto" w:fill="F2F2F2" w:themeFill="background1" w:themeFillShade="F2"/>
          </w:tcPr>
          <w:p w:rsidR="007F6661" w:rsidRPr="00BC2A0C" w:rsidRDefault="007F6661" w:rsidP="006F74C6">
            <w:pPr>
              <w:pStyle w:val="TabEtichette"/>
            </w:pPr>
            <w:r w:rsidRPr="00BC2A0C">
              <w:t>Commercio mondiale(c)</w:t>
            </w:r>
          </w:p>
        </w:tc>
        <w:tc>
          <w:tcPr>
            <w:tcW w:w="510" w:type="dxa"/>
            <w:shd w:val="clear" w:color="auto" w:fill="F2F2F2" w:themeFill="background1" w:themeFillShade="F2"/>
          </w:tcPr>
          <w:p w:rsidR="007F6661" w:rsidRPr="00132129" w:rsidRDefault="007F6661" w:rsidP="006F74C6">
            <w:pPr>
              <w:pStyle w:val="TabNumeri"/>
            </w:pPr>
            <w:r w:rsidRPr="00132129">
              <w:t xml:space="preserve">4,0 </w:t>
            </w:r>
          </w:p>
        </w:tc>
        <w:tc>
          <w:tcPr>
            <w:tcW w:w="510" w:type="dxa"/>
            <w:shd w:val="clear" w:color="auto" w:fill="F2F2F2" w:themeFill="background1" w:themeFillShade="F2"/>
          </w:tcPr>
          <w:p w:rsidR="007F6661" w:rsidRPr="00132129" w:rsidRDefault="007F6661" w:rsidP="006F74C6">
            <w:pPr>
              <w:pStyle w:val="TabNumeri"/>
            </w:pPr>
            <w:r w:rsidRPr="00132129">
              <w:t xml:space="preserve">4,0 </w:t>
            </w:r>
          </w:p>
        </w:tc>
        <w:tc>
          <w:tcPr>
            <w:tcW w:w="510" w:type="dxa"/>
            <w:shd w:val="clear" w:color="auto" w:fill="F2F2F2" w:themeFill="background1" w:themeFillShade="F2"/>
          </w:tcPr>
          <w:p w:rsidR="007F6661" w:rsidRPr="00132129" w:rsidRDefault="007F6661" w:rsidP="006F74C6">
            <w:pPr>
              <w:pStyle w:val="TabNumeri"/>
            </w:pPr>
            <w:r w:rsidRPr="00132129">
              <w:t xml:space="preserve">4,0 </w:t>
            </w:r>
          </w:p>
        </w:tc>
        <w:tc>
          <w:tcPr>
            <w:tcW w:w="340" w:type="dxa"/>
            <w:shd w:val="clear" w:color="auto" w:fill="F2F2F2" w:themeFill="background1" w:themeFillShade="F2"/>
          </w:tcPr>
          <w:p w:rsidR="007F6661" w:rsidRPr="00BC2A0C" w:rsidRDefault="007F6661" w:rsidP="006F74C6">
            <w:pPr>
              <w:pStyle w:val="TabEtichette"/>
            </w:pPr>
          </w:p>
        </w:tc>
        <w:tc>
          <w:tcPr>
            <w:tcW w:w="2552" w:type="dxa"/>
            <w:shd w:val="clear" w:color="auto" w:fill="F2F2F2" w:themeFill="background1" w:themeFillShade="F2"/>
          </w:tcPr>
          <w:p w:rsidR="007F6661" w:rsidRPr="00BC2A0C" w:rsidRDefault="007F6661" w:rsidP="006F74C6">
            <w:pPr>
              <w:pStyle w:val="TabEtichette"/>
            </w:pPr>
            <w:proofErr w:type="spellStart"/>
            <w:r>
              <w:t>Libor</w:t>
            </w:r>
            <w:proofErr w:type="spellEnd"/>
            <w:r>
              <w:t xml:space="preserve"> su depositi in </w:t>
            </w:r>
            <w:r w:rsidRPr="00BC2A0C">
              <w:t>Dollari Usa</w:t>
            </w:r>
            <w:r>
              <w:t xml:space="preserve"> (f)</w:t>
            </w:r>
          </w:p>
        </w:tc>
        <w:tc>
          <w:tcPr>
            <w:tcW w:w="510" w:type="dxa"/>
            <w:shd w:val="clear" w:color="auto" w:fill="F2F2F2" w:themeFill="background1" w:themeFillShade="F2"/>
          </w:tcPr>
          <w:p w:rsidR="007F6661" w:rsidRPr="00CC183E" w:rsidRDefault="007F6661" w:rsidP="006F74C6">
            <w:pPr>
              <w:pStyle w:val="TabNumeri"/>
            </w:pPr>
            <w:r w:rsidRPr="00CC183E">
              <w:t xml:space="preserve">2,5 </w:t>
            </w:r>
          </w:p>
        </w:tc>
        <w:tc>
          <w:tcPr>
            <w:tcW w:w="510" w:type="dxa"/>
            <w:shd w:val="clear" w:color="auto" w:fill="F2F2F2" w:themeFill="background1" w:themeFillShade="F2"/>
          </w:tcPr>
          <w:p w:rsidR="007F6661" w:rsidRPr="00CC183E" w:rsidRDefault="007F6661" w:rsidP="006F74C6">
            <w:pPr>
              <w:pStyle w:val="TabNumeri"/>
            </w:pPr>
            <w:r w:rsidRPr="00CC183E">
              <w:t xml:space="preserve">3,2 </w:t>
            </w:r>
          </w:p>
        </w:tc>
        <w:tc>
          <w:tcPr>
            <w:tcW w:w="514" w:type="dxa"/>
            <w:shd w:val="clear" w:color="auto" w:fill="F2F2F2" w:themeFill="background1" w:themeFillShade="F2"/>
          </w:tcPr>
          <w:p w:rsidR="007F6661" w:rsidRPr="00CC183E" w:rsidRDefault="007F6661" w:rsidP="006F74C6">
            <w:pPr>
              <w:pStyle w:val="TabNumeri"/>
            </w:pPr>
            <w:r w:rsidRPr="00CC183E">
              <w:t xml:space="preserve">3,8 </w:t>
            </w:r>
          </w:p>
        </w:tc>
      </w:tr>
      <w:tr w:rsidR="007F6661" w:rsidRPr="00BC2A0C" w:rsidTr="006F74C6">
        <w:trPr>
          <w:cantSplit/>
          <w:trHeight w:val="255"/>
        </w:trPr>
        <w:tc>
          <w:tcPr>
            <w:tcW w:w="3402" w:type="dxa"/>
          </w:tcPr>
          <w:p w:rsidR="007F6661" w:rsidRPr="003F3E03" w:rsidRDefault="007F6661" w:rsidP="006F74C6">
            <w:pPr>
              <w:pStyle w:val="TabEtichette"/>
            </w:pPr>
            <w:r w:rsidRPr="003F3E03">
              <w:t xml:space="preserve">  Economie avanzate</w:t>
            </w:r>
          </w:p>
        </w:tc>
        <w:tc>
          <w:tcPr>
            <w:tcW w:w="510" w:type="dxa"/>
          </w:tcPr>
          <w:p w:rsidR="007F6661" w:rsidRPr="00132129" w:rsidRDefault="007F6661" w:rsidP="006F74C6">
            <w:pPr>
              <w:pStyle w:val="TabNumeri"/>
            </w:pPr>
            <w:r w:rsidRPr="00132129">
              <w:t xml:space="preserve">3,2 </w:t>
            </w:r>
          </w:p>
        </w:tc>
        <w:tc>
          <w:tcPr>
            <w:tcW w:w="510" w:type="dxa"/>
          </w:tcPr>
          <w:p w:rsidR="007F6661" w:rsidRPr="00132129" w:rsidRDefault="007F6661" w:rsidP="006F74C6">
            <w:pPr>
              <w:pStyle w:val="TabNumeri"/>
            </w:pPr>
            <w:r w:rsidRPr="00132129">
              <w:t xml:space="preserve">3,5 </w:t>
            </w:r>
          </w:p>
        </w:tc>
        <w:tc>
          <w:tcPr>
            <w:tcW w:w="510" w:type="dxa"/>
          </w:tcPr>
          <w:p w:rsidR="007F6661" w:rsidRPr="00132129" w:rsidRDefault="007F6661" w:rsidP="006F74C6">
            <w:pPr>
              <w:pStyle w:val="TabNumeri"/>
            </w:pPr>
            <w:r w:rsidRPr="00132129">
              <w:t xml:space="preserve">3,3 </w:t>
            </w:r>
          </w:p>
        </w:tc>
        <w:tc>
          <w:tcPr>
            <w:tcW w:w="340" w:type="dxa"/>
          </w:tcPr>
          <w:p w:rsidR="007F6661" w:rsidRPr="00BC2A0C" w:rsidRDefault="007F6661" w:rsidP="006F74C6">
            <w:pPr>
              <w:pStyle w:val="TabEtichette"/>
            </w:pPr>
          </w:p>
        </w:tc>
        <w:tc>
          <w:tcPr>
            <w:tcW w:w="2552" w:type="dxa"/>
          </w:tcPr>
          <w:p w:rsidR="007F6661" w:rsidRPr="00BC2A0C" w:rsidRDefault="007F6661" w:rsidP="006F74C6">
            <w:pPr>
              <w:pStyle w:val="TabEtichette"/>
            </w:pPr>
            <w:proofErr w:type="spellStart"/>
            <w:r>
              <w:t>Libor</w:t>
            </w:r>
            <w:proofErr w:type="spellEnd"/>
            <w:r>
              <w:t xml:space="preserve"> su depositi in </w:t>
            </w:r>
            <w:r w:rsidRPr="00BC2A0C">
              <w:t>Euro</w:t>
            </w:r>
            <w:r>
              <w:t xml:space="preserve"> (f)</w:t>
            </w:r>
          </w:p>
        </w:tc>
        <w:tc>
          <w:tcPr>
            <w:tcW w:w="510" w:type="dxa"/>
          </w:tcPr>
          <w:p w:rsidR="007F6661" w:rsidRPr="00CC183E" w:rsidRDefault="007F6661" w:rsidP="006F74C6">
            <w:pPr>
              <w:pStyle w:val="TabNumeri"/>
            </w:pPr>
            <w:r w:rsidRPr="00CC183E">
              <w:t xml:space="preserve">-0,3 </w:t>
            </w:r>
          </w:p>
        </w:tc>
        <w:tc>
          <w:tcPr>
            <w:tcW w:w="510" w:type="dxa"/>
          </w:tcPr>
          <w:p w:rsidR="007F6661" w:rsidRPr="00CC183E" w:rsidRDefault="007F6661" w:rsidP="006F74C6">
            <w:pPr>
              <w:pStyle w:val="TabNumeri"/>
            </w:pPr>
            <w:r w:rsidRPr="00CC183E">
              <w:t xml:space="preserve">-0,3 </w:t>
            </w:r>
          </w:p>
        </w:tc>
        <w:tc>
          <w:tcPr>
            <w:tcW w:w="514" w:type="dxa"/>
          </w:tcPr>
          <w:p w:rsidR="007F6661" w:rsidRPr="00CC183E" w:rsidRDefault="007F6661" w:rsidP="006F74C6">
            <w:pPr>
              <w:pStyle w:val="TabNumeri"/>
            </w:pPr>
            <w:r w:rsidRPr="00CC183E">
              <w:t xml:space="preserve">0,0 </w:t>
            </w:r>
          </w:p>
        </w:tc>
      </w:tr>
      <w:tr w:rsidR="007F6661" w:rsidRPr="00BC2A0C" w:rsidTr="006F74C6">
        <w:trPr>
          <w:cantSplit/>
          <w:trHeight w:val="255"/>
        </w:trPr>
        <w:tc>
          <w:tcPr>
            <w:tcW w:w="3402" w:type="dxa"/>
            <w:shd w:val="clear" w:color="auto" w:fill="F2F2F2" w:themeFill="background1" w:themeFillShade="F2"/>
          </w:tcPr>
          <w:p w:rsidR="007F6661" w:rsidRDefault="007F6661" w:rsidP="006F74C6">
            <w:pPr>
              <w:pStyle w:val="TabEtichette"/>
            </w:pPr>
            <w:r w:rsidRPr="003F3E03">
              <w:t xml:space="preserve">  Economie emergenti e in sviluppo</w:t>
            </w:r>
          </w:p>
        </w:tc>
        <w:tc>
          <w:tcPr>
            <w:tcW w:w="510" w:type="dxa"/>
            <w:shd w:val="clear" w:color="auto" w:fill="F2F2F2" w:themeFill="background1" w:themeFillShade="F2"/>
          </w:tcPr>
          <w:p w:rsidR="007F6661" w:rsidRPr="00132129" w:rsidRDefault="007F6661" w:rsidP="006F74C6">
            <w:pPr>
              <w:pStyle w:val="TabNumeri"/>
            </w:pPr>
            <w:r w:rsidRPr="00132129">
              <w:t xml:space="preserve">5,4 </w:t>
            </w:r>
          </w:p>
        </w:tc>
        <w:tc>
          <w:tcPr>
            <w:tcW w:w="510" w:type="dxa"/>
            <w:shd w:val="clear" w:color="auto" w:fill="F2F2F2" w:themeFill="background1" w:themeFillShade="F2"/>
          </w:tcPr>
          <w:p w:rsidR="007F6661" w:rsidRPr="00132129" w:rsidRDefault="007F6661" w:rsidP="006F74C6">
            <w:pPr>
              <w:pStyle w:val="TabNumeri"/>
            </w:pPr>
            <w:r w:rsidRPr="00132129">
              <w:t xml:space="preserve">4,8 </w:t>
            </w:r>
          </w:p>
        </w:tc>
        <w:tc>
          <w:tcPr>
            <w:tcW w:w="510" w:type="dxa"/>
            <w:shd w:val="clear" w:color="auto" w:fill="F2F2F2" w:themeFill="background1" w:themeFillShade="F2"/>
          </w:tcPr>
          <w:p w:rsidR="007F6661" w:rsidRDefault="007F6661" w:rsidP="006F74C6">
            <w:pPr>
              <w:pStyle w:val="TabNumeri"/>
            </w:pPr>
            <w:r w:rsidRPr="00132129">
              <w:t xml:space="preserve">5,2 </w:t>
            </w:r>
          </w:p>
        </w:tc>
        <w:tc>
          <w:tcPr>
            <w:tcW w:w="340" w:type="dxa"/>
            <w:shd w:val="clear" w:color="auto" w:fill="F2F2F2" w:themeFill="background1" w:themeFillShade="F2"/>
          </w:tcPr>
          <w:p w:rsidR="007F6661" w:rsidRPr="00BC2A0C" w:rsidRDefault="007F6661" w:rsidP="006F74C6">
            <w:pPr>
              <w:pStyle w:val="TabEtichette"/>
            </w:pPr>
          </w:p>
        </w:tc>
        <w:tc>
          <w:tcPr>
            <w:tcW w:w="2552" w:type="dxa"/>
            <w:shd w:val="clear" w:color="auto" w:fill="F2F2F2" w:themeFill="background1" w:themeFillShade="F2"/>
          </w:tcPr>
          <w:p w:rsidR="007F6661" w:rsidRPr="00BC2A0C" w:rsidRDefault="007F6661" w:rsidP="006F74C6">
            <w:pPr>
              <w:pStyle w:val="TabEtichette"/>
            </w:pPr>
            <w:proofErr w:type="spellStart"/>
            <w:r>
              <w:t>Libor</w:t>
            </w:r>
            <w:proofErr w:type="spellEnd"/>
            <w:r>
              <w:t xml:space="preserve"> su depositi in </w:t>
            </w:r>
            <w:r w:rsidRPr="00BC2A0C">
              <w:t xml:space="preserve">Yen </w:t>
            </w:r>
            <w:r>
              <w:t>(f)</w:t>
            </w:r>
          </w:p>
        </w:tc>
        <w:tc>
          <w:tcPr>
            <w:tcW w:w="510" w:type="dxa"/>
            <w:shd w:val="clear" w:color="auto" w:fill="F2F2F2" w:themeFill="background1" w:themeFillShade="F2"/>
          </w:tcPr>
          <w:p w:rsidR="007F6661" w:rsidRPr="00CC183E" w:rsidRDefault="007F6661" w:rsidP="006F74C6">
            <w:pPr>
              <w:pStyle w:val="TabNumeri"/>
            </w:pPr>
            <w:r w:rsidRPr="00CC183E">
              <w:t xml:space="preserve">0,0 </w:t>
            </w:r>
          </w:p>
        </w:tc>
        <w:tc>
          <w:tcPr>
            <w:tcW w:w="510" w:type="dxa"/>
            <w:shd w:val="clear" w:color="auto" w:fill="F2F2F2" w:themeFill="background1" w:themeFillShade="F2"/>
          </w:tcPr>
          <w:p w:rsidR="007F6661" w:rsidRPr="00CC183E" w:rsidRDefault="007F6661" w:rsidP="006F74C6">
            <w:pPr>
              <w:pStyle w:val="TabNumeri"/>
            </w:pPr>
            <w:r w:rsidRPr="00CC183E">
              <w:t xml:space="preserve">0,0 </w:t>
            </w:r>
          </w:p>
        </w:tc>
        <w:tc>
          <w:tcPr>
            <w:tcW w:w="514" w:type="dxa"/>
            <w:shd w:val="clear" w:color="auto" w:fill="F2F2F2" w:themeFill="background1" w:themeFillShade="F2"/>
          </w:tcPr>
          <w:p w:rsidR="007F6661" w:rsidRDefault="007F6661" w:rsidP="006F74C6">
            <w:pPr>
              <w:pStyle w:val="TabNumeri"/>
            </w:pPr>
            <w:r w:rsidRPr="00CC183E">
              <w:t xml:space="preserve">0,1 </w:t>
            </w:r>
          </w:p>
        </w:tc>
      </w:tr>
      <w:tr w:rsidR="007F6661" w:rsidRPr="00BC2A0C" w:rsidTr="006F74C6">
        <w:trPr>
          <w:cantSplit/>
          <w:trHeight w:val="255"/>
        </w:trPr>
        <w:tc>
          <w:tcPr>
            <w:tcW w:w="9358" w:type="dxa"/>
            <w:gridSpan w:val="9"/>
          </w:tcPr>
          <w:p w:rsidR="007F6661" w:rsidRPr="009100D8" w:rsidRDefault="007F6661" w:rsidP="006F74C6">
            <w:pPr>
              <w:pStyle w:val="TabIntestaSup"/>
            </w:pPr>
            <w:r>
              <w:t>Prezzi</w:t>
            </w:r>
          </w:p>
        </w:tc>
      </w:tr>
      <w:tr w:rsidR="007F6661" w:rsidRPr="00BC2A0C" w:rsidTr="006F74C6">
        <w:trPr>
          <w:cantSplit/>
          <w:trHeight w:val="255"/>
        </w:trPr>
        <w:tc>
          <w:tcPr>
            <w:tcW w:w="3402" w:type="dxa"/>
            <w:shd w:val="clear" w:color="auto" w:fill="F2F2F2" w:themeFill="background1" w:themeFillShade="F2"/>
          </w:tcPr>
          <w:p w:rsidR="007F6661" w:rsidRPr="00BC2A0C" w:rsidRDefault="007F6661" w:rsidP="006F74C6">
            <w:pPr>
              <w:pStyle w:val="TabEtichette"/>
            </w:pPr>
            <w:r w:rsidRPr="00BC2A0C">
              <w:t xml:space="preserve">Prezzi materie prime (in </w:t>
            </w:r>
            <w:proofErr w:type="spellStart"/>
            <w:r w:rsidRPr="00BC2A0C">
              <w:t>Usd</w:t>
            </w:r>
            <w:proofErr w:type="spellEnd"/>
            <w:r w:rsidRPr="00BC2A0C">
              <w:t>)</w:t>
            </w:r>
          </w:p>
        </w:tc>
        <w:tc>
          <w:tcPr>
            <w:tcW w:w="510" w:type="dxa"/>
            <w:shd w:val="clear" w:color="auto" w:fill="F2F2F2" w:themeFill="background1" w:themeFillShade="F2"/>
          </w:tcPr>
          <w:p w:rsidR="007F6661" w:rsidRPr="006129FC" w:rsidRDefault="007F6661" w:rsidP="006F74C6">
            <w:pPr>
              <w:pStyle w:val="TabNumeri"/>
            </w:pPr>
          </w:p>
        </w:tc>
        <w:tc>
          <w:tcPr>
            <w:tcW w:w="510" w:type="dxa"/>
            <w:shd w:val="clear" w:color="auto" w:fill="F2F2F2" w:themeFill="background1" w:themeFillShade="F2"/>
          </w:tcPr>
          <w:p w:rsidR="007F6661" w:rsidRPr="006129FC" w:rsidRDefault="007F6661" w:rsidP="006F74C6">
            <w:pPr>
              <w:pStyle w:val="TabNumeri"/>
            </w:pPr>
          </w:p>
        </w:tc>
        <w:tc>
          <w:tcPr>
            <w:tcW w:w="510" w:type="dxa"/>
            <w:shd w:val="clear" w:color="auto" w:fill="F2F2F2" w:themeFill="background1" w:themeFillShade="F2"/>
          </w:tcPr>
          <w:p w:rsidR="007F6661" w:rsidRPr="006129FC" w:rsidRDefault="007F6661" w:rsidP="006F74C6">
            <w:pPr>
              <w:pStyle w:val="TabNumeri"/>
            </w:pPr>
          </w:p>
        </w:tc>
        <w:tc>
          <w:tcPr>
            <w:tcW w:w="340" w:type="dxa"/>
            <w:shd w:val="clear" w:color="auto" w:fill="F2F2F2" w:themeFill="background1" w:themeFillShade="F2"/>
          </w:tcPr>
          <w:p w:rsidR="007F6661" w:rsidRPr="00BC2A0C" w:rsidRDefault="007F6661" w:rsidP="006F74C6">
            <w:pPr>
              <w:pStyle w:val="TabEtichette"/>
            </w:pPr>
          </w:p>
        </w:tc>
        <w:tc>
          <w:tcPr>
            <w:tcW w:w="2552" w:type="dxa"/>
            <w:shd w:val="clear" w:color="auto" w:fill="F2F2F2" w:themeFill="background1" w:themeFillShade="F2"/>
          </w:tcPr>
          <w:p w:rsidR="007F6661" w:rsidRPr="00BC2A0C" w:rsidRDefault="007F6661" w:rsidP="006F74C6">
            <w:pPr>
              <w:pStyle w:val="TabEtichette"/>
            </w:pPr>
            <w:r w:rsidRPr="00BC2A0C">
              <w:t>Prezzi al consumo</w:t>
            </w:r>
          </w:p>
        </w:tc>
        <w:tc>
          <w:tcPr>
            <w:tcW w:w="510" w:type="dxa"/>
            <w:shd w:val="clear" w:color="auto" w:fill="F2F2F2" w:themeFill="background1" w:themeFillShade="F2"/>
          </w:tcPr>
          <w:p w:rsidR="007F6661" w:rsidRPr="006129FC" w:rsidRDefault="007F6661" w:rsidP="006F74C6">
            <w:pPr>
              <w:pStyle w:val="TabNumeri"/>
            </w:pPr>
          </w:p>
        </w:tc>
        <w:tc>
          <w:tcPr>
            <w:tcW w:w="510" w:type="dxa"/>
            <w:shd w:val="clear" w:color="auto" w:fill="F2F2F2" w:themeFill="background1" w:themeFillShade="F2"/>
          </w:tcPr>
          <w:p w:rsidR="007F6661" w:rsidRPr="006129FC" w:rsidRDefault="007F6661" w:rsidP="006F74C6">
            <w:pPr>
              <w:pStyle w:val="TabNumeri"/>
            </w:pPr>
          </w:p>
        </w:tc>
        <w:tc>
          <w:tcPr>
            <w:tcW w:w="514" w:type="dxa"/>
            <w:shd w:val="clear" w:color="auto" w:fill="F2F2F2" w:themeFill="background1" w:themeFillShade="F2"/>
          </w:tcPr>
          <w:p w:rsidR="007F6661" w:rsidRPr="006129FC" w:rsidRDefault="007F6661" w:rsidP="006F74C6">
            <w:pPr>
              <w:pStyle w:val="TabNumeri"/>
            </w:pPr>
          </w:p>
        </w:tc>
      </w:tr>
      <w:tr w:rsidR="007F6661" w:rsidRPr="00BC2A0C" w:rsidTr="006F74C6">
        <w:trPr>
          <w:cantSplit/>
          <w:trHeight w:val="255"/>
        </w:trPr>
        <w:tc>
          <w:tcPr>
            <w:tcW w:w="3402" w:type="dxa"/>
            <w:shd w:val="clear" w:color="auto" w:fill="auto"/>
          </w:tcPr>
          <w:p w:rsidR="007F6661" w:rsidRPr="00BC2A0C" w:rsidRDefault="007F6661" w:rsidP="006F74C6">
            <w:pPr>
              <w:pStyle w:val="TabEtichette"/>
            </w:pPr>
            <w:r w:rsidRPr="00BC2A0C">
              <w:t xml:space="preserve"> - Petrolio (d)</w:t>
            </w:r>
          </w:p>
        </w:tc>
        <w:tc>
          <w:tcPr>
            <w:tcW w:w="510" w:type="dxa"/>
            <w:shd w:val="clear" w:color="auto" w:fill="auto"/>
          </w:tcPr>
          <w:p w:rsidR="007F6661" w:rsidRPr="00E631B7" w:rsidRDefault="007F6661" w:rsidP="006F74C6">
            <w:pPr>
              <w:pStyle w:val="TabNumeri"/>
            </w:pPr>
            <w:r w:rsidRPr="00E631B7">
              <w:t xml:space="preserve">29,9 </w:t>
            </w:r>
          </w:p>
        </w:tc>
        <w:tc>
          <w:tcPr>
            <w:tcW w:w="510" w:type="dxa"/>
            <w:shd w:val="clear" w:color="auto" w:fill="auto"/>
          </w:tcPr>
          <w:p w:rsidR="007F6661" w:rsidRPr="00E631B7" w:rsidRDefault="007F6661" w:rsidP="006F74C6">
            <w:pPr>
              <w:pStyle w:val="TabNumeri"/>
            </w:pPr>
            <w:r w:rsidRPr="00E631B7">
              <w:t xml:space="preserve">-14,1 </w:t>
            </w:r>
          </w:p>
        </w:tc>
        <w:tc>
          <w:tcPr>
            <w:tcW w:w="510" w:type="dxa"/>
            <w:shd w:val="clear" w:color="auto" w:fill="auto"/>
          </w:tcPr>
          <w:p w:rsidR="007F6661" w:rsidRPr="00E631B7" w:rsidRDefault="007F6661" w:rsidP="006F74C6">
            <w:pPr>
              <w:pStyle w:val="TabNumeri"/>
            </w:pPr>
            <w:r w:rsidRPr="00E631B7">
              <w:t xml:space="preserve">-0,4 </w:t>
            </w:r>
          </w:p>
        </w:tc>
        <w:tc>
          <w:tcPr>
            <w:tcW w:w="340" w:type="dxa"/>
            <w:shd w:val="clear" w:color="auto" w:fill="auto"/>
          </w:tcPr>
          <w:p w:rsidR="007F6661" w:rsidRPr="00BC2A0C" w:rsidRDefault="007F6661" w:rsidP="006F74C6">
            <w:pPr>
              <w:pStyle w:val="TabEtichette"/>
            </w:pPr>
          </w:p>
        </w:tc>
        <w:tc>
          <w:tcPr>
            <w:tcW w:w="2552" w:type="dxa"/>
            <w:shd w:val="clear" w:color="auto" w:fill="auto"/>
          </w:tcPr>
          <w:p w:rsidR="007F6661" w:rsidRPr="00BC2A0C" w:rsidRDefault="007F6661" w:rsidP="006F74C6">
            <w:pPr>
              <w:pStyle w:val="TabEtichette"/>
            </w:pPr>
            <w:r w:rsidRPr="00BC2A0C">
              <w:t xml:space="preserve">  Economie avanzate</w:t>
            </w:r>
          </w:p>
        </w:tc>
        <w:tc>
          <w:tcPr>
            <w:tcW w:w="510" w:type="dxa"/>
            <w:shd w:val="clear" w:color="auto" w:fill="auto"/>
          </w:tcPr>
          <w:p w:rsidR="007F6661" w:rsidRPr="00AB59AA" w:rsidRDefault="007F6661" w:rsidP="006F74C6">
            <w:pPr>
              <w:pStyle w:val="TabNumeri"/>
            </w:pPr>
            <w:r w:rsidRPr="00AB59AA">
              <w:t xml:space="preserve">2,0 </w:t>
            </w:r>
          </w:p>
        </w:tc>
        <w:tc>
          <w:tcPr>
            <w:tcW w:w="510" w:type="dxa"/>
            <w:shd w:val="clear" w:color="auto" w:fill="auto"/>
          </w:tcPr>
          <w:p w:rsidR="007F6661" w:rsidRPr="00AB59AA" w:rsidRDefault="007F6661" w:rsidP="006F74C6">
            <w:pPr>
              <w:pStyle w:val="TabNumeri"/>
            </w:pPr>
            <w:r w:rsidRPr="00AB59AA">
              <w:t xml:space="preserve">1,7 </w:t>
            </w:r>
          </w:p>
        </w:tc>
        <w:tc>
          <w:tcPr>
            <w:tcW w:w="514" w:type="dxa"/>
            <w:shd w:val="clear" w:color="auto" w:fill="auto"/>
          </w:tcPr>
          <w:p w:rsidR="007F6661" w:rsidRPr="00AB59AA" w:rsidRDefault="007F6661" w:rsidP="006F74C6">
            <w:pPr>
              <w:pStyle w:val="TabNumeri"/>
            </w:pPr>
            <w:r w:rsidRPr="00AB59AA">
              <w:t xml:space="preserve">2,0 </w:t>
            </w:r>
          </w:p>
        </w:tc>
      </w:tr>
      <w:tr w:rsidR="007F6661" w:rsidRPr="00BC2A0C" w:rsidTr="006F74C6">
        <w:trPr>
          <w:cantSplit/>
          <w:trHeight w:val="255"/>
        </w:trPr>
        <w:tc>
          <w:tcPr>
            <w:tcW w:w="3402" w:type="dxa"/>
            <w:shd w:val="clear" w:color="auto" w:fill="F2F2F2" w:themeFill="background1" w:themeFillShade="F2"/>
          </w:tcPr>
          <w:p w:rsidR="007F6661" w:rsidRPr="00BC2A0C" w:rsidRDefault="007F6661" w:rsidP="006F74C6">
            <w:pPr>
              <w:pStyle w:val="TabEtichette"/>
            </w:pPr>
            <w:r w:rsidRPr="00BC2A0C">
              <w:t xml:space="preserve"> - Materie prime non energetiche(e)</w:t>
            </w:r>
          </w:p>
        </w:tc>
        <w:tc>
          <w:tcPr>
            <w:tcW w:w="510" w:type="dxa"/>
            <w:shd w:val="clear" w:color="auto" w:fill="F2F2F2" w:themeFill="background1" w:themeFillShade="F2"/>
          </w:tcPr>
          <w:p w:rsidR="007F6661" w:rsidRPr="00E631B7" w:rsidRDefault="007F6661" w:rsidP="006F74C6">
            <w:pPr>
              <w:pStyle w:val="TabNumeri"/>
            </w:pPr>
            <w:r w:rsidRPr="00E631B7">
              <w:t xml:space="preserve">1,9 </w:t>
            </w:r>
          </w:p>
        </w:tc>
        <w:tc>
          <w:tcPr>
            <w:tcW w:w="510" w:type="dxa"/>
            <w:shd w:val="clear" w:color="auto" w:fill="F2F2F2" w:themeFill="background1" w:themeFillShade="F2"/>
          </w:tcPr>
          <w:p w:rsidR="007F6661" w:rsidRPr="00E631B7" w:rsidRDefault="007F6661" w:rsidP="006F74C6">
            <w:pPr>
              <w:pStyle w:val="TabNumeri"/>
            </w:pPr>
            <w:r w:rsidRPr="00E631B7">
              <w:t xml:space="preserve">-2,7 </w:t>
            </w:r>
          </w:p>
        </w:tc>
        <w:tc>
          <w:tcPr>
            <w:tcW w:w="510" w:type="dxa"/>
            <w:shd w:val="clear" w:color="auto" w:fill="F2F2F2" w:themeFill="background1" w:themeFillShade="F2"/>
          </w:tcPr>
          <w:p w:rsidR="007F6661" w:rsidRDefault="007F6661" w:rsidP="006F74C6">
            <w:pPr>
              <w:pStyle w:val="TabNumeri"/>
            </w:pPr>
            <w:r w:rsidRPr="00E631B7">
              <w:t xml:space="preserve">1,2 </w:t>
            </w:r>
          </w:p>
        </w:tc>
        <w:tc>
          <w:tcPr>
            <w:tcW w:w="340" w:type="dxa"/>
            <w:shd w:val="clear" w:color="auto" w:fill="F2F2F2" w:themeFill="background1" w:themeFillShade="F2"/>
          </w:tcPr>
          <w:p w:rsidR="007F6661" w:rsidRPr="00BC2A0C" w:rsidRDefault="007F6661" w:rsidP="006F74C6">
            <w:pPr>
              <w:pStyle w:val="TabEtichette"/>
            </w:pPr>
          </w:p>
        </w:tc>
        <w:tc>
          <w:tcPr>
            <w:tcW w:w="2552" w:type="dxa"/>
            <w:shd w:val="clear" w:color="auto" w:fill="F2F2F2" w:themeFill="background1" w:themeFillShade="F2"/>
          </w:tcPr>
          <w:p w:rsidR="007F6661" w:rsidRPr="00BC2A0C" w:rsidRDefault="007F6661" w:rsidP="006F74C6">
            <w:pPr>
              <w:pStyle w:val="TabEtichette"/>
            </w:pPr>
            <w:r w:rsidRPr="00BC2A0C">
              <w:t xml:space="preserve">  Economie emergenti e in sviluppo</w:t>
            </w:r>
          </w:p>
        </w:tc>
        <w:tc>
          <w:tcPr>
            <w:tcW w:w="510" w:type="dxa"/>
            <w:shd w:val="clear" w:color="auto" w:fill="F2F2F2" w:themeFill="background1" w:themeFillShade="F2"/>
          </w:tcPr>
          <w:p w:rsidR="007F6661" w:rsidRPr="00AB59AA" w:rsidRDefault="007F6661" w:rsidP="006F74C6">
            <w:pPr>
              <w:pStyle w:val="TabNumeri"/>
            </w:pPr>
            <w:r w:rsidRPr="00AB59AA">
              <w:t xml:space="preserve">4,9 </w:t>
            </w:r>
          </w:p>
        </w:tc>
        <w:tc>
          <w:tcPr>
            <w:tcW w:w="510" w:type="dxa"/>
            <w:shd w:val="clear" w:color="auto" w:fill="F2F2F2" w:themeFill="background1" w:themeFillShade="F2"/>
          </w:tcPr>
          <w:p w:rsidR="007F6661" w:rsidRPr="00AB59AA" w:rsidRDefault="007F6661" w:rsidP="006F74C6">
            <w:pPr>
              <w:pStyle w:val="TabNumeri"/>
            </w:pPr>
            <w:r w:rsidRPr="00AB59AA">
              <w:t xml:space="preserve">5,1 </w:t>
            </w:r>
          </w:p>
        </w:tc>
        <w:tc>
          <w:tcPr>
            <w:tcW w:w="514" w:type="dxa"/>
            <w:shd w:val="clear" w:color="auto" w:fill="F2F2F2" w:themeFill="background1" w:themeFillShade="F2"/>
          </w:tcPr>
          <w:p w:rsidR="007F6661" w:rsidRDefault="007F6661" w:rsidP="006F74C6">
            <w:pPr>
              <w:pStyle w:val="TabNumeri"/>
            </w:pPr>
            <w:r w:rsidRPr="00AB59AA">
              <w:t xml:space="preserve">4,6 </w:t>
            </w:r>
          </w:p>
        </w:tc>
      </w:tr>
      <w:tr w:rsidR="007F6661" w:rsidRPr="00191A72" w:rsidTr="006F74C6">
        <w:trPr>
          <w:cantSplit/>
        </w:trPr>
        <w:tc>
          <w:tcPr>
            <w:tcW w:w="9358" w:type="dxa"/>
            <w:gridSpan w:val="9"/>
            <w:tcBorders>
              <w:top w:val="single" w:sz="4" w:space="0" w:color="800000"/>
            </w:tcBorders>
          </w:tcPr>
          <w:p w:rsidR="007F6661" w:rsidRPr="00860AE6" w:rsidRDefault="007F6661" w:rsidP="006F74C6">
            <w:pPr>
              <w:pStyle w:val="TabNoteSuperiori"/>
            </w:pPr>
            <w:r w:rsidRPr="00BC2A0C">
              <w:t xml:space="preserve">a) </w:t>
            </w:r>
            <w:r>
              <w:t xml:space="preserve">Le </w:t>
            </w:r>
            <w:r w:rsidRPr="00BC2A0C">
              <w:t>assunzioni della previsione economica</w:t>
            </w:r>
            <w:r>
              <w:t xml:space="preserve"> sono alla sezione </w:t>
            </w:r>
            <w:proofErr w:type="spellStart"/>
            <w:r>
              <w:t>Assumption</w:t>
            </w:r>
            <w:proofErr w:type="spellEnd"/>
            <w:r>
              <w:t xml:space="preserve"> and </w:t>
            </w:r>
            <w:proofErr w:type="spellStart"/>
            <w:r>
              <w:t>Conventions</w:t>
            </w:r>
            <w:proofErr w:type="spellEnd"/>
            <w:r>
              <w:t>.</w:t>
            </w:r>
            <w:r w:rsidRPr="00BC2A0C">
              <w:t xml:space="preserve"> (b) Tasso di variazione percentuale sul periodo precedente. (c) Beni e servizi in volume. (d) Media dei prezzi spot del petrolio greggio  Brent, Dubai e West </w:t>
            </w:r>
            <w:proofErr w:type="spellStart"/>
            <w:r w:rsidRPr="00BC2A0C">
              <w:t>texas</w:t>
            </w:r>
            <w:proofErr w:type="spellEnd"/>
            <w:r w:rsidRPr="00BC2A0C">
              <w:t xml:space="preserve"> Intermediate. (e) Media dei prezzi mondiali delle materie prime non </w:t>
            </w:r>
            <w:proofErr w:type="spellStart"/>
            <w:r w:rsidRPr="00BC2A0C">
              <w:t>fuel</w:t>
            </w:r>
            <w:proofErr w:type="spellEnd"/>
            <w:r w:rsidRPr="00BC2A0C">
              <w:t xml:space="preserve"> (energia) pesata per la loro quota media delle esportazioni di materie prime</w:t>
            </w:r>
            <w:r w:rsidRPr="00860AE6">
              <w:t>. (f) LIBOR (</w:t>
            </w:r>
            <w:proofErr w:type="spellStart"/>
            <w:r w:rsidRPr="00860AE6">
              <w:t>London</w:t>
            </w:r>
            <w:proofErr w:type="spellEnd"/>
            <w:r w:rsidRPr="00860AE6">
              <w:t xml:space="preserve"> </w:t>
            </w:r>
            <w:proofErr w:type="spellStart"/>
            <w:r w:rsidRPr="00860AE6">
              <w:t>interbank</w:t>
            </w:r>
            <w:proofErr w:type="spellEnd"/>
            <w:r w:rsidRPr="00860AE6">
              <w:t xml:space="preserve"> </w:t>
            </w:r>
            <w:proofErr w:type="spellStart"/>
            <w:r w:rsidRPr="00860AE6">
              <w:t>offered</w:t>
            </w:r>
            <w:proofErr w:type="spellEnd"/>
            <w:r w:rsidRPr="00860AE6">
              <w:t xml:space="preserve"> rate), tasso di interesse percentuale: sui depositi a 6 mesi in U.S.$; sui depositi a 6 mesi in yen; sui depositi a 3 mesi in euro. </w:t>
            </w:r>
          </w:p>
          <w:p w:rsidR="007F6661" w:rsidRPr="00BC2A0C" w:rsidRDefault="007F6661" w:rsidP="006F74C6">
            <w:pPr>
              <w:pStyle w:val="TabNoteSuperiori"/>
              <w:rPr>
                <w:lang w:val="en-US"/>
              </w:rPr>
            </w:pPr>
            <w:r w:rsidRPr="00860AE6">
              <w:rPr>
                <w:lang w:val="en-GB"/>
              </w:rPr>
              <w:t xml:space="preserve">IMF, World Economic Outlook, 21 </w:t>
            </w:r>
            <w:proofErr w:type="spellStart"/>
            <w:r w:rsidRPr="00860AE6">
              <w:rPr>
                <w:lang w:val="en-GB"/>
              </w:rPr>
              <w:t>gennaio</w:t>
            </w:r>
            <w:proofErr w:type="spellEnd"/>
            <w:r w:rsidRPr="00860AE6">
              <w:rPr>
                <w:lang w:val="en-GB"/>
              </w:rPr>
              <w:t xml:space="preserve"> </w:t>
            </w:r>
            <w:r w:rsidRPr="00860AE6">
              <w:rPr>
                <w:lang w:val="en-US"/>
              </w:rPr>
              <w:t>2019</w:t>
            </w:r>
          </w:p>
        </w:tc>
      </w:tr>
    </w:tbl>
    <w:p w:rsidR="00402003" w:rsidRPr="000F0271" w:rsidRDefault="000659EE" w:rsidP="000659EE">
      <w:r w:rsidRPr="000F0271">
        <w:t xml:space="preserve">La fase di espansione ha raggiunto il culmine e rallenta, passato l’effetto delle politiche </w:t>
      </w:r>
      <w:proofErr w:type="spellStart"/>
      <w:r w:rsidRPr="000F0271">
        <w:t>procicliche</w:t>
      </w:r>
      <w:proofErr w:type="spellEnd"/>
      <w:r w:rsidRPr="000F0271">
        <w:t xml:space="preserve"> statunitensi, a seguito del rallentamento della crescita cinese e delle restrizioni al commercio.</w:t>
      </w:r>
      <w:r w:rsidR="00891349" w:rsidRPr="000F0271">
        <w:t xml:space="preserve"> </w:t>
      </w:r>
    </w:p>
    <w:p w:rsidR="000659EE" w:rsidRPr="000F0271" w:rsidRDefault="000659EE" w:rsidP="000659EE">
      <w:r w:rsidRPr="000F0271">
        <w:t>Il Fondo monetario internazionale, lo scorso gennaio, stimava una crescita dell’economia mondiale del 3,7 per cento per il 2018 e per l’anno in corso ne prospettava un rallentamento al 3,5 per cento. A marzo, l’Ocse ne ha previsto un rallentamento al 3,3 per cento per il 2019, senza una sos</w:t>
      </w:r>
      <w:r w:rsidR="00891349" w:rsidRPr="000F0271">
        <w:t>t</w:t>
      </w:r>
      <w:r w:rsidRPr="000F0271">
        <w:t xml:space="preserve">anziale ripresa per il 2020 (+3,4 per cento). </w:t>
      </w:r>
    </w:p>
    <w:p w:rsidR="000659EE" w:rsidRPr="000F0271" w:rsidRDefault="000659EE" w:rsidP="000659EE">
      <w:r w:rsidRPr="000F0271">
        <w:t xml:space="preserve">Dopo il rallentamento registrato nel 2018 (+4,0 per cento), la crescita del commercio mondiale dovrebbe rimanere stabile nel 2019, con un’accelerazione per le economie avanzate e un rallentamento per quelle emergenti e in sviluppo, </w:t>
      </w:r>
      <w:r w:rsidR="00402003" w:rsidRPr="000F0271">
        <w:t xml:space="preserve">frenata </w:t>
      </w:r>
      <w:r w:rsidRPr="000F0271">
        <w:t>d</w:t>
      </w:r>
      <w:r w:rsidR="00402003" w:rsidRPr="000F0271">
        <w:t>a</w:t>
      </w:r>
      <w:r w:rsidRPr="000F0271">
        <w:t>lle tensioni commerciali.</w:t>
      </w:r>
    </w:p>
    <w:p w:rsidR="000659EE" w:rsidRPr="000F0271" w:rsidRDefault="000659EE" w:rsidP="000659EE">
      <w:r w:rsidRPr="000F0271">
        <w:t xml:space="preserve">Per il Fmi, in termini di prodotto, </w:t>
      </w:r>
      <w:r w:rsidR="00402003" w:rsidRPr="000F0271">
        <w:t xml:space="preserve">nelle economie avanzate </w:t>
      </w:r>
      <w:r w:rsidRPr="000F0271">
        <w:t>la ripresa è stata solo più contenuta nel 2018 (+2,3 per cento), ma rallenterà più sensibilmente nel 2019 (+2,0 per cento), invece nei paesi emergenti il rallentamento dovrebbe risultare lieve sia nel 2018 (4,6 per cento), sia nel 2019 (+4,5 per cento)</w:t>
      </w:r>
      <w:r w:rsidR="00402003" w:rsidRPr="000F0271">
        <w:t>.</w:t>
      </w:r>
      <w:r w:rsidRPr="000F0271">
        <w:t xml:space="preserve"> </w:t>
      </w:r>
    </w:p>
    <w:p w:rsidR="000659EE" w:rsidRPr="000F0271" w:rsidRDefault="000659EE" w:rsidP="000659EE">
      <w:r w:rsidRPr="000F0271">
        <w:t xml:space="preserve">Le quotazioni del petrolio, dopo l’impennata del 2018 (+29,9 per cento), dovrebbero contrarsi sensibilmente nel 2019 (-14,1 per cento). Nello stesso periodo, i prezzi delle materie prime non energetiche </w:t>
      </w:r>
      <w:proofErr w:type="spellStart"/>
      <w:r w:rsidRPr="000F0271">
        <w:t>passerano</w:t>
      </w:r>
      <w:proofErr w:type="spellEnd"/>
      <w:r w:rsidRPr="000F0271">
        <w:t xml:space="preserve"> da un lieve aumento a una leggera contrazione. </w:t>
      </w:r>
    </w:p>
    <w:p w:rsidR="000659EE" w:rsidRPr="000F0271" w:rsidRDefault="000659EE" w:rsidP="000659EE">
      <w:r w:rsidRPr="000F0271">
        <w:t xml:space="preserve">Nei paesi avanzati la dinamica dei prezzi è rimasta moderata nel 2018 e si ridurrà lievemente nel 2019, in presenza di moderate pressioni salariali. Nei paesi emergenti e in sviluppo, invece, si è rafforzata nel 2018 anche per a svalutazione dei cambi e potrebbe </w:t>
      </w:r>
      <w:proofErr w:type="spellStart"/>
      <w:r w:rsidRPr="000F0271">
        <w:t>accellerare</w:t>
      </w:r>
      <w:proofErr w:type="spellEnd"/>
      <w:r w:rsidRPr="000F0271">
        <w:t xml:space="preserve"> lievemente nel 2019, frenata dalla politica monetaria e da materie prime e energetici.</w:t>
      </w:r>
    </w:p>
    <w:p w:rsidR="000659EE" w:rsidRPr="000F0271" w:rsidRDefault="000659EE" w:rsidP="000659EE">
      <w:r w:rsidRPr="000F0271">
        <w:lastRenderedPageBreak/>
        <w:t>La politica monetaria resta divergente tra Stati Uniti e Unione europea</w:t>
      </w:r>
      <w:r w:rsidR="00402003" w:rsidRPr="000F0271">
        <w:t>,</w:t>
      </w:r>
      <w:r w:rsidRPr="000F0271">
        <w:t xml:space="preserve"> più </w:t>
      </w:r>
      <w:r w:rsidR="00402003" w:rsidRPr="000F0271">
        <w:t xml:space="preserve">ancora </w:t>
      </w:r>
      <w:r w:rsidRPr="000F0271">
        <w:t xml:space="preserve">rispetto al Giappone. La curva dei rendimenti del reddito fisso (breve-lungo termine) si è </w:t>
      </w:r>
      <w:proofErr w:type="spellStart"/>
      <w:r w:rsidRPr="000F0271">
        <w:t>abbasata</w:t>
      </w:r>
      <w:proofErr w:type="spellEnd"/>
      <w:r w:rsidRPr="000F0271">
        <w:t xml:space="preserve"> e ulteriormente appiattita. La pausa della Federal Reserve </w:t>
      </w:r>
      <w:r w:rsidR="000F0271" w:rsidRPr="000F0271">
        <w:t>ne</w:t>
      </w:r>
      <w:r w:rsidRPr="000F0271">
        <w:t>ll’azione su tassi e bilancio ha dato sollievo ai mercati finanziari e ai paesi emergenti, in particolare quelli con ampi squilibri interni e esterni e un elevato debito in dollari.</w:t>
      </w:r>
    </w:p>
    <w:p w:rsidR="000659EE" w:rsidRPr="000F0271" w:rsidRDefault="000659EE" w:rsidP="000659EE">
      <w:r w:rsidRPr="000F0271">
        <w:t>La crescita negli Stati Uniti ha raggiunto il 2,9 per cento nel 2018 e rallenterà al 2,5 per cento nel 2019, trascorso l’effetto dello stimolo della riforma fiscale. Secondo l’Ocse il rallentamento proseguirà nel  2020 (+2,2  per cento ).</w:t>
      </w:r>
    </w:p>
    <w:tbl>
      <w:tblPr>
        <w:tblStyle w:val="Grigliatabella"/>
        <w:tblpPr w:topFromText="425" w:bottomFromText="425" w:horzAnchor="margin" w:tblpXSpec="right"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7B1BA4" w:rsidRPr="002B550F" w:rsidTr="006F74C6">
        <w:tc>
          <w:tcPr>
            <w:tcW w:w="9356" w:type="dxa"/>
          </w:tcPr>
          <w:p w:rsidR="007B1BA4" w:rsidRPr="002B550F" w:rsidRDefault="007B1BA4" w:rsidP="006F74C6">
            <w:pPr>
              <w:pStyle w:val="FigTitolo"/>
            </w:pPr>
            <w:r w:rsidRPr="002B550F">
              <w:t>La previsione del</w:t>
            </w:r>
            <w:r>
              <w:t xml:space="preserve">l’Ocse, </w:t>
            </w:r>
            <w:r w:rsidRPr="002B550F">
              <w:t xml:space="preserve">tasso di variazione del </w:t>
            </w:r>
            <w:r>
              <w:t>p</w:t>
            </w:r>
            <w:r w:rsidRPr="002B550F">
              <w:t>rodotto interno lordo</w:t>
            </w:r>
          </w:p>
        </w:tc>
      </w:tr>
      <w:tr w:rsidR="007B1BA4" w:rsidRPr="002B550F" w:rsidTr="006F74C6">
        <w:tc>
          <w:tcPr>
            <w:tcW w:w="9356" w:type="dxa"/>
          </w:tcPr>
          <w:p w:rsidR="007B1BA4" w:rsidRPr="004C3A94" w:rsidRDefault="007B1BA4" w:rsidP="006F74C6">
            <w:pPr>
              <w:pStyle w:val="Figure"/>
            </w:pPr>
            <w:r>
              <w:rPr>
                <w:noProof/>
              </w:rPr>
              <w:drawing>
                <wp:inline distT="0" distB="0" distL="0" distR="0" wp14:anchorId="457FB694" wp14:editId="4F8C2155">
                  <wp:extent cx="5905500" cy="19812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0" cy="1981200"/>
                          </a:xfrm>
                          <a:prstGeom prst="rect">
                            <a:avLst/>
                          </a:prstGeom>
                          <a:noFill/>
                          <a:ln>
                            <a:noFill/>
                          </a:ln>
                        </pic:spPr>
                      </pic:pic>
                    </a:graphicData>
                  </a:graphic>
                </wp:inline>
              </w:drawing>
            </w:r>
          </w:p>
        </w:tc>
      </w:tr>
      <w:tr w:rsidR="007B1BA4" w:rsidRPr="00BC439F" w:rsidTr="006F74C6">
        <w:tc>
          <w:tcPr>
            <w:tcW w:w="9356" w:type="dxa"/>
          </w:tcPr>
          <w:p w:rsidR="007B1BA4" w:rsidRDefault="007B1BA4" w:rsidP="006F74C6">
            <w:pPr>
              <w:pStyle w:val="Fineoggettoword"/>
            </w:pPr>
          </w:p>
          <w:p w:rsidR="007B1BA4" w:rsidRPr="007C05D9" w:rsidRDefault="007B1BA4" w:rsidP="006F74C6">
            <w:pPr>
              <w:pStyle w:val="TabNoteInferiori"/>
            </w:pPr>
            <w:r w:rsidRPr="007C05D9">
              <w:t xml:space="preserve">Fonte: Oecd, Interim </w:t>
            </w:r>
            <w:proofErr w:type="spellStart"/>
            <w:r w:rsidRPr="007C05D9">
              <w:t>Economic</w:t>
            </w:r>
            <w:proofErr w:type="spellEnd"/>
            <w:r w:rsidRPr="007C05D9">
              <w:t xml:space="preserve"> Outlook, </w:t>
            </w:r>
            <w:r>
              <w:t>6</w:t>
            </w:r>
            <w:r w:rsidRPr="007C05D9">
              <w:t xml:space="preserve"> marzo </w:t>
            </w:r>
            <w:r w:rsidRPr="007C05D9">
              <w:rPr>
                <w:lang w:val="en-US"/>
              </w:rPr>
              <w:fldChar w:fldCharType="begin"/>
            </w:r>
            <w:r w:rsidRPr="007C05D9">
              <w:rPr>
                <w:lang w:val="en-US"/>
              </w:rPr>
              <w:instrText xml:space="preserve"> DATE  \@ "yyyy"  \* MERGEFORMAT </w:instrText>
            </w:r>
            <w:r w:rsidRPr="007C05D9">
              <w:rPr>
                <w:lang w:val="en-US"/>
              </w:rPr>
              <w:fldChar w:fldCharType="separate"/>
            </w:r>
            <w:r w:rsidR="00191A72">
              <w:rPr>
                <w:noProof/>
                <w:lang w:val="en-US"/>
              </w:rPr>
              <w:t>2019</w:t>
            </w:r>
            <w:r w:rsidRPr="007C05D9">
              <w:rPr>
                <w:lang w:val="en-US"/>
              </w:rPr>
              <w:fldChar w:fldCharType="end"/>
            </w:r>
            <w:r w:rsidRPr="007C05D9">
              <w:rPr>
                <w:lang w:val="en-US"/>
              </w:rPr>
              <w:t>.</w:t>
            </w:r>
          </w:p>
        </w:tc>
      </w:tr>
    </w:tbl>
    <w:p w:rsidR="000659EE" w:rsidRPr="000F0271" w:rsidRDefault="000659EE" w:rsidP="000659EE">
      <w:r w:rsidRPr="000F0271">
        <w:t>Il ritmo di sviluppo in Cina dovrebbe essersi ridotto nel 2018 (6,6 per cento) e scenderà ulteriormente nel 2019 (6,2 per cento). Un ulteriore rallentamento peggiorerebbe le prospettive a livello globale. La politica fiscale ha margini di intervento, quella monetaria bilancia crescita e rischi finanziari connessi all’elevato debito e il cambio equilibra le oscillazioni commerciali</w:t>
      </w:r>
      <w:r w:rsidR="000F0271" w:rsidRPr="000F0271">
        <w:t>.</w:t>
      </w:r>
    </w:p>
    <w:p w:rsidR="000659EE" w:rsidRPr="000F0271" w:rsidRDefault="000659EE" w:rsidP="000659EE">
      <w:r w:rsidRPr="000F0271">
        <w:t xml:space="preserve">La crescita in Giappone non è andata oltre lo 0,9 per cento nel 2018, l’Ocse stima un andamento </w:t>
      </w:r>
      <w:r w:rsidR="000F0271" w:rsidRPr="000F0271">
        <w:t xml:space="preserve">più </w:t>
      </w:r>
      <w:r w:rsidRPr="000F0271">
        <w:t>contenuto nel 2019 (+0,8 per cento), nonostante misure di sostegno fiscale e un ciclo positivo degli investimenti spinto da elevati profitti e carenza di lavoro.</w:t>
      </w:r>
    </w:p>
    <w:p w:rsidR="00C43F0D" w:rsidRPr="00DB2CF9" w:rsidRDefault="00C43F0D" w:rsidP="00C43F0D">
      <w:pPr>
        <w:pStyle w:val="Titolo2"/>
      </w:pPr>
      <w:r>
        <w:t>X.2.</w:t>
      </w:r>
      <w:r>
        <w:tab/>
        <w:t>L’a</w:t>
      </w:r>
      <w:r w:rsidRPr="00DB2CF9">
        <w:t>rea dell’euro</w:t>
      </w:r>
    </w:p>
    <w:tbl>
      <w:tblPr>
        <w:tblStyle w:val="Grigliatabella"/>
        <w:tblpPr w:topFromText="284" w:bottomFromText="284" w:horzAnchor="margin" w:tblpXSpec="center" w:tblpYSpec="bottom"/>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7B1BA4" w:rsidTr="006F74C6">
        <w:trPr>
          <w:cantSplit/>
          <w:trHeight w:val="255"/>
        </w:trPr>
        <w:tc>
          <w:tcPr>
            <w:tcW w:w="9370" w:type="dxa"/>
            <w:gridSpan w:val="10"/>
            <w:tcBorders>
              <w:bottom w:val="single" w:sz="4" w:space="0" w:color="632423" w:themeColor="accent2" w:themeShade="80"/>
            </w:tcBorders>
            <w:noWrap/>
          </w:tcPr>
          <w:p w:rsidR="007B1BA4" w:rsidRDefault="007B1BA4" w:rsidP="006F74C6">
            <w:pPr>
              <w:pStyle w:val="TabTitolo"/>
            </w:pPr>
            <w:r>
              <w:t>Proiezioni macro economiche per l’area dell’euro.</w:t>
            </w:r>
          </w:p>
        </w:tc>
      </w:tr>
      <w:tr w:rsidR="007B1BA4" w:rsidRPr="00DD211F" w:rsidTr="006F74C6">
        <w:tblPrEx>
          <w:tblBorders>
            <w:top w:val="single" w:sz="4" w:space="0" w:color="632423" w:themeColor="accent2" w:themeShade="80"/>
            <w:bottom w:val="single" w:sz="4" w:space="0" w:color="632423" w:themeColor="accent2" w:themeShade="80"/>
          </w:tblBorders>
        </w:tblPrEx>
        <w:trPr>
          <w:gridAfter w:val="1"/>
          <w:wAfter w:w="16" w:type="dxa"/>
          <w:cantSplit/>
        </w:trPr>
        <w:tc>
          <w:tcPr>
            <w:tcW w:w="2211" w:type="dxa"/>
            <w:noWrap/>
          </w:tcPr>
          <w:p w:rsidR="007B1BA4" w:rsidRPr="00DD211F" w:rsidRDefault="007B1BA4" w:rsidP="006F74C6">
            <w:pPr>
              <w:pStyle w:val="TabIntestazioni"/>
            </w:pPr>
          </w:p>
        </w:tc>
        <w:tc>
          <w:tcPr>
            <w:tcW w:w="737" w:type="dxa"/>
            <w:noWrap/>
          </w:tcPr>
          <w:p w:rsidR="007B1BA4" w:rsidRPr="00DD211F" w:rsidRDefault="007B1BA4" w:rsidP="006F74C6">
            <w:pPr>
              <w:pStyle w:val="TabIntestazioni"/>
            </w:pPr>
            <w:r>
              <w:t>2018</w:t>
            </w:r>
          </w:p>
        </w:tc>
        <w:tc>
          <w:tcPr>
            <w:tcW w:w="737" w:type="dxa"/>
          </w:tcPr>
          <w:p w:rsidR="007B1BA4" w:rsidRPr="00DD211F" w:rsidRDefault="007B1BA4" w:rsidP="006F74C6">
            <w:pPr>
              <w:pStyle w:val="TabIntestazioni"/>
            </w:pPr>
            <w:r>
              <w:t>2019</w:t>
            </w:r>
          </w:p>
        </w:tc>
        <w:tc>
          <w:tcPr>
            <w:tcW w:w="737" w:type="dxa"/>
          </w:tcPr>
          <w:p w:rsidR="007B1BA4" w:rsidRPr="00DD211F" w:rsidRDefault="007B1BA4" w:rsidP="006F74C6">
            <w:pPr>
              <w:pStyle w:val="TabIntestazioni"/>
            </w:pPr>
            <w:r>
              <w:t>2020</w:t>
            </w:r>
          </w:p>
        </w:tc>
        <w:tc>
          <w:tcPr>
            <w:tcW w:w="510" w:type="dxa"/>
            <w:noWrap/>
          </w:tcPr>
          <w:p w:rsidR="007B1BA4" w:rsidRPr="00DD211F" w:rsidRDefault="007B1BA4" w:rsidP="006F74C6">
            <w:pPr>
              <w:pStyle w:val="TabIntestazioni"/>
            </w:pPr>
          </w:p>
        </w:tc>
        <w:tc>
          <w:tcPr>
            <w:tcW w:w="2211" w:type="dxa"/>
          </w:tcPr>
          <w:p w:rsidR="007B1BA4" w:rsidRPr="00DD211F" w:rsidRDefault="007B1BA4" w:rsidP="006F74C6">
            <w:pPr>
              <w:pStyle w:val="TabIntestazioni"/>
            </w:pPr>
          </w:p>
        </w:tc>
        <w:tc>
          <w:tcPr>
            <w:tcW w:w="737" w:type="dxa"/>
          </w:tcPr>
          <w:p w:rsidR="007B1BA4" w:rsidRPr="00DD211F" w:rsidRDefault="007B1BA4" w:rsidP="006F74C6">
            <w:pPr>
              <w:pStyle w:val="TabIntestazioni"/>
            </w:pPr>
            <w:r>
              <w:t>2018</w:t>
            </w:r>
          </w:p>
        </w:tc>
        <w:tc>
          <w:tcPr>
            <w:tcW w:w="737" w:type="dxa"/>
          </w:tcPr>
          <w:p w:rsidR="007B1BA4" w:rsidRPr="00DD211F" w:rsidRDefault="007B1BA4" w:rsidP="006F74C6">
            <w:pPr>
              <w:pStyle w:val="TabIntestazioni"/>
            </w:pPr>
            <w:r>
              <w:t>2019</w:t>
            </w:r>
          </w:p>
        </w:tc>
        <w:tc>
          <w:tcPr>
            <w:tcW w:w="737" w:type="dxa"/>
          </w:tcPr>
          <w:p w:rsidR="007B1BA4" w:rsidRPr="00DD211F" w:rsidRDefault="007B1BA4" w:rsidP="006F74C6">
            <w:pPr>
              <w:pStyle w:val="TabIntestazioni"/>
            </w:pPr>
            <w:r>
              <w:t>2020</w:t>
            </w:r>
          </w:p>
        </w:tc>
      </w:tr>
      <w:tr w:rsidR="007B1BA4" w:rsidTr="006F74C6">
        <w:trPr>
          <w:gridAfter w:val="1"/>
          <w:wAfter w:w="16" w:type="dxa"/>
          <w:cantSplit/>
          <w:trHeight w:hRule="exact" w:val="113"/>
        </w:trPr>
        <w:tc>
          <w:tcPr>
            <w:tcW w:w="2211" w:type="dxa"/>
            <w:tcBorders>
              <w:top w:val="single" w:sz="4" w:space="0" w:color="632423" w:themeColor="accent2" w:themeShade="80"/>
            </w:tcBorders>
            <w:noWrap/>
          </w:tcPr>
          <w:p w:rsidR="007B1BA4" w:rsidRDefault="007B1BA4" w:rsidP="006F74C6">
            <w:pPr>
              <w:pStyle w:val="TabEtichette"/>
            </w:pPr>
          </w:p>
        </w:tc>
        <w:tc>
          <w:tcPr>
            <w:tcW w:w="737" w:type="dxa"/>
            <w:tcBorders>
              <w:top w:val="single" w:sz="4" w:space="0" w:color="632423" w:themeColor="accent2" w:themeShade="80"/>
            </w:tcBorders>
            <w:noWrap/>
          </w:tcPr>
          <w:p w:rsidR="007B1BA4" w:rsidRDefault="007B1BA4" w:rsidP="006F74C6">
            <w:pPr>
              <w:pStyle w:val="TabNumeri"/>
            </w:pPr>
          </w:p>
        </w:tc>
        <w:tc>
          <w:tcPr>
            <w:tcW w:w="737" w:type="dxa"/>
            <w:tcBorders>
              <w:top w:val="single" w:sz="4" w:space="0" w:color="632423" w:themeColor="accent2" w:themeShade="80"/>
            </w:tcBorders>
            <w:noWrap/>
          </w:tcPr>
          <w:p w:rsidR="007B1BA4" w:rsidRDefault="007B1BA4" w:rsidP="006F74C6">
            <w:pPr>
              <w:pStyle w:val="TabNumeri"/>
            </w:pPr>
          </w:p>
        </w:tc>
        <w:tc>
          <w:tcPr>
            <w:tcW w:w="737" w:type="dxa"/>
            <w:tcBorders>
              <w:top w:val="single" w:sz="4" w:space="0" w:color="632423" w:themeColor="accent2" w:themeShade="80"/>
            </w:tcBorders>
            <w:noWrap/>
          </w:tcPr>
          <w:p w:rsidR="007B1BA4" w:rsidRDefault="007B1BA4" w:rsidP="006F74C6">
            <w:pPr>
              <w:pStyle w:val="TabNumeri"/>
            </w:pPr>
          </w:p>
        </w:tc>
        <w:tc>
          <w:tcPr>
            <w:tcW w:w="510" w:type="dxa"/>
            <w:tcBorders>
              <w:top w:val="single" w:sz="4" w:space="0" w:color="632423" w:themeColor="accent2" w:themeShade="80"/>
            </w:tcBorders>
            <w:noWrap/>
          </w:tcPr>
          <w:p w:rsidR="007B1BA4" w:rsidRDefault="007B1BA4" w:rsidP="006F74C6">
            <w:pPr>
              <w:pStyle w:val="TabNumeri"/>
            </w:pPr>
          </w:p>
        </w:tc>
        <w:tc>
          <w:tcPr>
            <w:tcW w:w="2211" w:type="dxa"/>
            <w:tcBorders>
              <w:top w:val="single" w:sz="4" w:space="0" w:color="632423" w:themeColor="accent2" w:themeShade="80"/>
            </w:tcBorders>
          </w:tcPr>
          <w:p w:rsidR="007B1BA4" w:rsidRDefault="007B1BA4" w:rsidP="006F74C6">
            <w:pPr>
              <w:pStyle w:val="TabEtichette"/>
            </w:pPr>
          </w:p>
        </w:tc>
        <w:tc>
          <w:tcPr>
            <w:tcW w:w="737" w:type="dxa"/>
            <w:tcBorders>
              <w:top w:val="single" w:sz="4" w:space="0" w:color="632423" w:themeColor="accent2" w:themeShade="80"/>
            </w:tcBorders>
            <w:noWrap/>
          </w:tcPr>
          <w:p w:rsidR="007B1BA4" w:rsidRDefault="007B1BA4" w:rsidP="006F74C6">
            <w:pPr>
              <w:pStyle w:val="TabNumeri"/>
            </w:pPr>
          </w:p>
        </w:tc>
        <w:tc>
          <w:tcPr>
            <w:tcW w:w="737" w:type="dxa"/>
            <w:tcBorders>
              <w:top w:val="single" w:sz="4" w:space="0" w:color="632423" w:themeColor="accent2" w:themeShade="80"/>
            </w:tcBorders>
          </w:tcPr>
          <w:p w:rsidR="007B1BA4" w:rsidRDefault="007B1BA4" w:rsidP="006F74C6">
            <w:pPr>
              <w:pStyle w:val="TabNumeri"/>
            </w:pPr>
          </w:p>
        </w:tc>
        <w:tc>
          <w:tcPr>
            <w:tcW w:w="737" w:type="dxa"/>
            <w:tcBorders>
              <w:top w:val="single" w:sz="4" w:space="0" w:color="632423" w:themeColor="accent2" w:themeShade="80"/>
            </w:tcBorders>
            <w:noWrap/>
          </w:tcPr>
          <w:p w:rsidR="007B1BA4" w:rsidRDefault="007B1BA4" w:rsidP="006F74C6">
            <w:pPr>
              <w:pStyle w:val="TabNumeri"/>
            </w:pPr>
          </w:p>
        </w:tc>
      </w:tr>
      <w:tr w:rsidR="007B1BA4" w:rsidTr="006F74C6">
        <w:trPr>
          <w:gridAfter w:val="1"/>
          <w:wAfter w:w="16" w:type="dxa"/>
          <w:cantSplit/>
          <w:trHeight w:val="255"/>
        </w:trPr>
        <w:tc>
          <w:tcPr>
            <w:tcW w:w="2211" w:type="dxa"/>
            <w:noWrap/>
          </w:tcPr>
          <w:p w:rsidR="007B1BA4" w:rsidRPr="00233F5C" w:rsidRDefault="007B1BA4" w:rsidP="006F74C6">
            <w:pPr>
              <w:pStyle w:val="TabEtichette"/>
            </w:pPr>
            <w:r w:rsidRPr="00233F5C">
              <w:t>Prodotto interno lordo</w:t>
            </w:r>
            <w:r>
              <w:t xml:space="preserve"> (1, 2)</w:t>
            </w:r>
          </w:p>
        </w:tc>
        <w:tc>
          <w:tcPr>
            <w:tcW w:w="737" w:type="dxa"/>
            <w:noWrap/>
          </w:tcPr>
          <w:p w:rsidR="007B1BA4" w:rsidRPr="00F91714" w:rsidRDefault="007B1BA4" w:rsidP="006F74C6">
            <w:pPr>
              <w:pStyle w:val="TabNumeri"/>
            </w:pPr>
            <w:r w:rsidRPr="00F91714">
              <w:t>1,9</w:t>
            </w:r>
          </w:p>
        </w:tc>
        <w:tc>
          <w:tcPr>
            <w:tcW w:w="737" w:type="dxa"/>
            <w:noWrap/>
          </w:tcPr>
          <w:p w:rsidR="007B1BA4" w:rsidRPr="00F91714" w:rsidRDefault="007B1BA4" w:rsidP="006F74C6">
            <w:pPr>
              <w:pStyle w:val="TabNumeri"/>
            </w:pPr>
            <w:r w:rsidRPr="00F91714">
              <w:t>1,1</w:t>
            </w:r>
          </w:p>
        </w:tc>
        <w:tc>
          <w:tcPr>
            <w:tcW w:w="737" w:type="dxa"/>
            <w:noWrap/>
          </w:tcPr>
          <w:p w:rsidR="007B1BA4" w:rsidRPr="00F91714" w:rsidRDefault="007B1BA4" w:rsidP="006F74C6">
            <w:pPr>
              <w:pStyle w:val="TabNumeri"/>
            </w:pPr>
            <w:r w:rsidRPr="00F91714">
              <w:t>1,6</w:t>
            </w:r>
          </w:p>
        </w:tc>
        <w:tc>
          <w:tcPr>
            <w:tcW w:w="510" w:type="dxa"/>
            <w:noWrap/>
          </w:tcPr>
          <w:p w:rsidR="007B1BA4" w:rsidRPr="000770A1" w:rsidRDefault="007B1BA4" w:rsidP="006F74C6">
            <w:pPr>
              <w:pStyle w:val="TabNumeri"/>
              <w:rPr>
                <w:sz w:val="14"/>
                <w:szCs w:val="14"/>
              </w:rPr>
            </w:pPr>
          </w:p>
        </w:tc>
        <w:tc>
          <w:tcPr>
            <w:tcW w:w="2211" w:type="dxa"/>
          </w:tcPr>
          <w:p w:rsidR="007B1BA4" w:rsidRPr="00233F5C" w:rsidRDefault="007B1BA4" w:rsidP="006F74C6">
            <w:pPr>
              <w:pStyle w:val="TabEtichette"/>
            </w:pPr>
            <w:r>
              <w:t>Saldo di conto corrente (4)</w:t>
            </w:r>
          </w:p>
        </w:tc>
        <w:tc>
          <w:tcPr>
            <w:tcW w:w="737" w:type="dxa"/>
            <w:noWrap/>
          </w:tcPr>
          <w:p w:rsidR="007B1BA4" w:rsidRPr="00C66E81" w:rsidRDefault="007B1BA4" w:rsidP="006F74C6">
            <w:pPr>
              <w:pStyle w:val="TabNumeri"/>
            </w:pPr>
            <w:r w:rsidRPr="00C66E81">
              <w:t>3,0</w:t>
            </w:r>
          </w:p>
        </w:tc>
        <w:tc>
          <w:tcPr>
            <w:tcW w:w="737" w:type="dxa"/>
          </w:tcPr>
          <w:p w:rsidR="007B1BA4" w:rsidRPr="00C66E81" w:rsidRDefault="007B1BA4" w:rsidP="006F74C6">
            <w:pPr>
              <w:pStyle w:val="TabNumeri"/>
            </w:pPr>
            <w:r w:rsidRPr="00C66E81">
              <w:t>2,4</w:t>
            </w:r>
          </w:p>
        </w:tc>
        <w:tc>
          <w:tcPr>
            <w:tcW w:w="737" w:type="dxa"/>
            <w:noWrap/>
          </w:tcPr>
          <w:p w:rsidR="007B1BA4" w:rsidRPr="00C66E81" w:rsidRDefault="007B1BA4" w:rsidP="006F74C6">
            <w:pPr>
              <w:pStyle w:val="TabNumeri"/>
            </w:pPr>
            <w:r w:rsidRPr="00C66E81">
              <w:t>2,3</w:t>
            </w:r>
          </w:p>
        </w:tc>
      </w:tr>
      <w:tr w:rsidR="007B1BA4" w:rsidTr="006F74C6">
        <w:trPr>
          <w:gridAfter w:val="1"/>
          <w:wAfter w:w="16" w:type="dxa"/>
          <w:cantSplit/>
          <w:trHeight w:val="255"/>
        </w:trPr>
        <w:tc>
          <w:tcPr>
            <w:tcW w:w="2211" w:type="dxa"/>
            <w:shd w:val="clear" w:color="auto" w:fill="EAF1DD" w:themeFill="accent3" w:themeFillTint="33"/>
            <w:noWrap/>
          </w:tcPr>
          <w:p w:rsidR="007B1BA4" w:rsidRPr="00233F5C" w:rsidRDefault="007B1BA4" w:rsidP="006F74C6">
            <w:pPr>
              <w:pStyle w:val="TabEtichette"/>
            </w:pPr>
            <w:r w:rsidRPr="00233F5C">
              <w:t xml:space="preserve">Consumi </w:t>
            </w:r>
            <w:r>
              <w:t>privati (1, 2)</w:t>
            </w:r>
          </w:p>
        </w:tc>
        <w:tc>
          <w:tcPr>
            <w:tcW w:w="737" w:type="dxa"/>
            <w:shd w:val="clear" w:color="auto" w:fill="EAF1DD" w:themeFill="accent3" w:themeFillTint="33"/>
            <w:noWrap/>
          </w:tcPr>
          <w:p w:rsidR="007B1BA4" w:rsidRPr="00F91714" w:rsidRDefault="007B1BA4" w:rsidP="006F74C6">
            <w:pPr>
              <w:pStyle w:val="TabNumeri"/>
            </w:pPr>
            <w:r w:rsidRPr="00F91714">
              <w:t>1,3</w:t>
            </w:r>
          </w:p>
        </w:tc>
        <w:tc>
          <w:tcPr>
            <w:tcW w:w="737" w:type="dxa"/>
            <w:shd w:val="clear" w:color="auto" w:fill="EAF1DD" w:themeFill="accent3" w:themeFillTint="33"/>
            <w:noWrap/>
          </w:tcPr>
          <w:p w:rsidR="007B1BA4" w:rsidRPr="00F91714" w:rsidRDefault="007B1BA4" w:rsidP="006F74C6">
            <w:pPr>
              <w:pStyle w:val="TabNumeri"/>
            </w:pPr>
            <w:r w:rsidRPr="00F91714">
              <w:t>1,3</w:t>
            </w:r>
          </w:p>
        </w:tc>
        <w:tc>
          <w:tcPr>
            <w:tcW w:w="737" w:type="dxa"/>
            <w:shd w:val="clear" w:color="auto" w:fill="EAF1DD" w:themeFill="accent3" w:themeFillTint="33"/>
            <w:noWrap/>
          </w:tcPr>
          <w:p w:rsidR="007B1BA4" w:rsidRPr="00F91714" w:rsidRDefault="007B1BA4" w:rsidP="006F74C6">
            <w:pPr>
              <w:pStyle w:val="TabNumeri"/>
            </w:pPr>
            <w:r w:rsidRPr="00F91714">
              <w:t>1,6</w:t>
            </w:r>
          </w:p>
        </w:tc>
        <w:tc>
          <w:tcPr>
            <w:tcW w:w="510" w:type="dxa"/>
            <w:shd w:val="clear" w:color="auto" w:fill="EAF1DD" w:themeFill="accent3" w:themeFillTint="33"/>
            <w:noWrap/>
          </w:tcPr>
          <w:p w:rsidR="007B1BA4" w:rsidRPr="000770A1" w:rsidRDefault="007B1BA4" w:rsidP="006F74C6">
            <w:pPr>
              <w:pStyle w:val="TabNumeri"/>
              <w:rPr>
                <w:sz w:val="14"/>
                <w:szCs w:val="14"/>
              </w:rPr>
            </w:pPr>
          </w:p>
        </w:tc>
        <w:tc>
          <w:tcPr>
            <w:tcW w:w="2211" w:type="dxa"/>
            <w:shd w:val="clear" w:color="auto" w:fill="EAF1DD" w:themeFill="accent3" w:themeFillTint="33"/>
          </w:tcPr>
          <w:p w:rsidR="007B1BA4" w:rsidRPr="00233F5C" w:rsidRDefault="007B1BA4" w:rsidP="006F74C6">
            <w:pPr>
              <w:pStyle w:val="TabEtichette"/>
            </w:pPr>
            <w:r>
              <w:t>Occupazione (1)</w:t>
            </w:r>
          </w:p>
        </w:tc>
        <w:tc>
          <w:tcPr>
            <w:tcW w:w="737" w:type="dxa"/>
            <w:shd w:val="clear" w:color="auto" w:fill="EAF1DD" w:themeFill="accent3" w:themeFillTint="33"/>
            <w:noWrap/>
          </w:tcPr>
          <w:p w:rsidR="007B1BA4" w:rsidRPr="00C66E81" w:rsidRDefault="007B1BA4" w:rsidP="006F74C6">
            <w:pPr>
              <w:pStyle w:val="TabNumeri"/>
            </w:pPr>
            <w:r w:rsidRPr="00C66E81">
              <w:t>1,4</w:t>
            </w:r>
          </w:p>
        </w:tc>
        <w:tc>
          <w:tcPr>
            <w:tcW w:w="737" w:type="dxa"/>
            <w:shd w:val="clear" w:color="auto" w:fill="EAF1DD" w:themeFill="accent3" w:themeFillTint="33"/>
          </w:tcPr>
          <w:p w:rsidR="007B1BA4" w:rsidRPr="00C66E81" w:rsidRDefault="007B1BA4" w:rsidP="006F74C6">
            <w:pPr>
              <w:pStyle w:val="TabNumeri"/>
            </w:pPr>
            <w:r w:rsidRPr="00C66E81">
              <w:t>0,7</w:t>
            </w:r>
          </w:p>
        </w:tc>
        <w:tc>
          <w:tcPr>
            <w:tcW w:w="737" w:type="dxa"/>
            <w:shd w:val="clear" w:color="auto" w:fill="EAF1DD" w:themeFill="accent3" w:themeFillTint="33"/>
            <w:noWrap/>
          </w:tcPr>
          <w:p w:rsidR="007B1BA4" w:rsidRPr="00C66E81" w:rsidRDefault="007B1BA4" w:rsidP="006F74C6">
            <w:pPr>
              <w:pStyle w:val="TabNumeri"/>
            </w:pPr>
            <w:r w:rsidRPr="00C66E81">
              <w:t>0,6</w:t>
            </w:r>
          </w:p>
        </w:tc>
      </w:tr>
      <w:tr w:rsidR="007B1BA4" w:rsidTr="006F74C6">
        <w:trPr>
          <w:gridAfter w:val="1"/>
          <w:wAfter w:w="16" w:type="dxa"/>
          <w:cantSplit/>
          <w:trHeight w:val="255"/>
        </w:trPr>
        <w:tc>
          <w:tcPr>
            <w:tcW w:w="2211" w:type="dxa"/>
            <w:noWrap/>
          </w:tcPr>
          <w:p w:rsidR="007B1BA4" w:rsidRPr="00233F5C" w:rsidRDefault="007B1BA4" w:rsidP="006F74C6">
            <w:pPr>
              <w:pStyle w:val="TabEtichette"/>
            </w:pPr>
            <w:r w:rsidRPr="00233F5C">
              <w:t xml:space="preserve">Consumi </w:t>
            </w:r>
            <w:r>
              <w:t>pubblici (1, 2)</w:t>
            </w:r>
          </w:p>
        </w:tc>
        <w:tc>
          <w:tcPr>
            <w:tcW w:w="737" w:type="dxa"/>
            <w:noWrap/>
          </w:tcPr>
          <w:p w:rsidR="007B1BA4" w:rsidRPr="00F91714" w:rsidRDefault="007B1BA4" w:rsidP="006F74C6">
            <w:pPr>
              <w:pStyle w:val="TabNumeri"/>
            </w:pPr>
            <w:r w:rsidRPr="00F91714">
              <w:t>1,1</w:t>
            </w:r>
          </w:p>
        </w:tc>
        <w:tc>
          <w:tcPr>
            <w:tcW w:w="737" w:type="dxa"/>
            <w:noWrap/>
          </w:tcPr>
          <w:p w:rsidR="007B1BA4" w:rsidRPr="00F91714" w:rsidRDefault="007B1BA4" w:rsidP="006F74C6">
            <w:pPr>
              <w:pStyle w:val="TabNumeri"/>
            </w:pPr>
            <w:r w:rsidRPr="00F91714">
              <w:t>1,7</w:t>
            </w:r>
          </w:p>
        </w:tc>
        <w:tc>
          <w:tcPr>
            <w:tcW w:w="737" w:type="dxa"/>
            <w:noWrap/>
          </w:tcPr>
          <w:p w:rsidR="007B1BA4" w:rsidRPr="00F91714" w:rsidRDefault="007B1BA4" w:rsidP="006F74C6">
            <w:pPr>
              <w:pStyle w:val="TabNumeri"/>
            </w:pPr>
            <w:r w:rsidRPr="00F91714">
              <w:t>1,6</w:t>
            </w:r>
          </w:p>
        </w:tc>
        <w:tc>
          <w:tcPr>
            <w:tcW w:w="510" w:type="dxa"/>
            <w:noWrap/>
          </w:tcPr>
          <w:p w:rsidR="007B1BA4" w:rsidRPr="000770A1" w:rsidRDefault="007B1BA4" w:rsidP="006F74C6">
            <w:pPr>
              <w:pStyle w:val="TabNumeri"/>
              <w:rPr>
                <w:sz w:val="14"/>
                <w:szCs w:val="14"/>
              </w:rPr>
            </w:pPr>
          </w:p>
        </w:tc>
        <w:tc>
          <w:tcPr>
            <w:tcW w:w="2211" w:type="dxa"/>
          </w:tcPr>
          <w:p w:rsidR="007B1BA4" w:rsidRPr="00233F5C" w:rsidRDefault="007B1BA4" w:rsidP="006F74C6">
            <w:pPr>
              <w:pStyle w:val="TabEtichette"/>
            </w:pPr>
            <w:r>
              <w:t>Tasso di d</w:t>
            </w:r>
            <w:r w:rsidRPr="00233F5C">
              <w:t>isoccupazione [</w:t>
            </w:r>
            <w:r>
              <w:t>5</w:t>
            </w:r>
            <w:r w:rsidRPr="00233F5C">
              <w:t>]</w:t>
            </w:r>
          </w:p>
        </w:tc>
        <w:tc>
          <w:tcPr>
            <w:tcW w:w="737" w:type="dxa"/>
            <w:noWrap/>
          </w:tcPr>
          <w:p w:rsidR="007B1BA4" w:rsidRPr="00C66E81" w:rsidRDefault="007B1BA4" w:rsidP="006F74C6">
            <w:pPr>
              <w:pStyle w:val="TabNumeri"/>
            </w:pPr>
            <w:r w:rsidRPr="00C66E81">
              <w:t>8,2</w:t>
            </w:r>
          </w:p>
        </w:tc>
        <w:tc>
          <w:tcPr>
            <w:tcW w:w="737" w:type="dxa"/>
          </w:tcPr>
          <w:p w:rsidR="007B1BA4" w:rsidRPr="00C66E81" w:rsidRDefault="007B1BA4" w:rsidP="006F74C6">
            <w:pPr>
              <w:pStyle w:val="TabNumeri"/>
            </w:pPr>
            <w:r w:rsidRPr="00C66E81">
              <w:t>7,9</w:t>
            </w:r>
          </w:p>
        </w:tc>
        <w:tc>
          <w:tcPr>
            <w:tcW w:w="737" w:type="dxa"/>
            <w:noWrap/>
          </w:tcPr>
          <w:p w:rsidR="007B1BA4" w:rsidRPr="00C66E81" w:rsidRDefault="007B1BA4" w:rsidP="006F74C6">
            <w:pPr>
              <w:pStyle w:val="TabNumeri"/>
            </w:pPr>
            <w:r w:rsidRPr="00C66E81">
              <w:t>7,7</w:t>
            </w:r>
          </w:p>
        </w:tc>
      </w:tr>
      <w:tr w:rsidR="007B1BA4" w:rsidTr="006F74C6">
        <w:trPr>
          <w:gridAfter w:val="1"/>
          <w:wAfter w:w="16" w:type="dxa"/>
          <w:cantSplit/>
          <w:trHeight w:val="255"/>
        </w:trPr>
        <w:tc>
          <w:tcPr>
            <w:tcW w:w="2211" w:type="dxa"/>
            <w:shd w:val="clear" w:color="auto" w:fill="EAF1DD" w:themeFill="accent3" w:themeFillTint="33"/>
            <w:noWrap/>
          </w:tcPr>
          <w:p w:rsidR="007B1BA4" w:rsidRPr="00233F5C" w:rsidRDefault="007B1BA4" w:rsidP="006F74C6">
            <w:pPr>
              <w:pStyle w:val="TabEtichette"/>
            </w:pPr>
            <w:r w:rsidRPr="00233F5C">
              <w:t>Investimenti fissi lordi</w:t>
            </w:r>
            <w:r>
              <w:t xml:space="preserve"> (1, 2)</w:t>
            </w:r>
          </w:p>
        </w:tc>
        <w:tc>
          <w:tcPr>
            <w:tcW w:w="737" w:type="dxa"/>
            <w:shd w:val="clear" w:color="auto" w:fill="EAF1DD" w:themeFill="accent3" w:themeFillTint="33"/>
            <w:noWrap/>
          </w:tcPr>
          <w:p w:rsidR="007B1BA4" w:rsidRPr="00F91714" w:rsidRDefault="007B1BA4" w:rsidP="006F74C6">
            <w:pPr>
              <w:pStyle w:val="TabNumeri"/>
            </w:pPr>
            <w:r w:rsidRPr="00F91714">
              <w:t>3,3</w:t>
            </w:r>
          </w:p>
        </w:tc>
        <w:tc>
          <w:tcPr>
            <w:tcW w:w="737" w:type="dxa"/>
            <w:shd w:val="clear" w:color="auto" w:fill="EAF1DD" w:themeFill="accent3" w:themeFillTint="33"/>
            <w:noWrap/>
          </w:tcPr>
          <w:p w:rsidR="007B1BA4" w:rsidRPr="00F91714" w:rsidRDefault="007B1BA4" w:rsidP="006F74C6">
            <w:pPr>
              <w:pStyle w:val="TabNumeri"/>
            </w:pPr>
            <w:r w:rsidRPr="00F91714">
              <w:t>2,1</w:t>
            </w:r>
          </w:p>
        </w:tc>
        <w:tc>
          <w:tcPr>
            <w:tcW w:w="737" w:type="dxa"/>
            <w:shd w:val="clear" w:color="auto" w:fill="EAF1DD" w:themeFill="accent3" w:themeFillTint="33"/>
            <w:noWrap/>
          </w:tcPr>
          <w:p w:rsidR="007B1BA4" w:rsidRPr="00F91714" w:rsidRDefault="007B1BA4" w:rsidP="006F74C6">
            <w:pPr>
              <w:pStyle w:val="TabNumeri"/>
            </w:pPr>
            <w:r w:rsidRPr="00F91714">
              <w:t>2,4</w:t>
            </w:r>
          </w:p>
        </w:tc>
        <w:tc>
          <w:tcPr>
            <w:tcW w:w="510" w:type="dxa"/>
            <w:shd w:val="clear" w:color="auto" w:fill="EAF1DD" w:themeFill="accent3" w:themeFillTint="33"/>
            <w:noWrap/>
          </w:tcPr>
          <w:p w:rsidR="007B1BA4" w:rsidRPr="000770A1" w:rsidRDefault="007B1BA4" w:rsidP="006F74C6">
            <w:pPr>
              <w:pStyle w:val="TabNumeri"/>
              <w:rPr>
                <w:sz w:val="14"/>
                <w:szCs w:val="14"/>
              </w:rPr>
            </w:pPr>
          </w:p>
        </w:tc>
        <w:tc>
          <w:tcPr>
            <w:tcW w:w="2211" w:type="dxa"/>
            <w:shd w:val="clear" w:color="auto" w:fill="EAF1DD" w:themeFill="accent3" w:themeFillTint="33"/>
          </w:tcPr>
          <w:p w:rsidR="007B1BA4" w:rsidRPr="00233F5C" w:rsidRDefault="007B1BA4" w:rsidP="006F74C6">
            <w:pPr>
              <w:pStyle w:val="TabEtichette"/>
            </w:pPr>
            <w:r w:rsidRPr="00233F5C">
              <w:t>Prezzi al consumo</w:t>
            </w:r>
            <w:r>
              <w:t xml:space="preserve"> [1, 6]</w:t>
            </w:r>
          </w:p>
        </w:tc>
        <w:tc>
          <w:tcPr>
            <w:tcW w:w="737" w:type="dxa"/>
            <w:shd w:val="clear" w:color="auto" w:fill="EAF1DD" w:themeFill="accent3" w:themeFillTint="33"/>
            <w:noWrap/>
          </w:tcPr>
          <w:p w:rsidR="007B1BA4" w:rsidRPr="00C66E81" w:rsidRDefault="007B1BA4" w:rsidP="006F74C6">
            <w:pPr>
              <w:pStyle w:val="TabNumeri"/>
            </w:pPr>
            <w:r w:rsidRPr="00C66E81">
              <w:t>1,7</w:t>
            </w:r>
          </w:p>
        </w:tc>
        <w:tc>
          <w:tcPr>
            <w:tcW w:w="737" w:type="dxa"/>
            <w:shd w:val="clear" w:color="auto" w:fill="EAF1DD" w:themeFill="accent3" w:themeFillTint="33"/>
          </w:tcPr>
          <w:p w:rsidR="007B1BA4" w:rsidRPr="00C66E81" w:rsidRDefault="007B1BA4" w:rsidP="006F74C6">
            <w:pPr>
              <w:pStyle w:val="TabNumeri"/>
            </w:pPr>
            <w:r w:rsidRPr="00C66E81">
              <w:t>1,2</w:t>
            </w:r>
          </w:p>
        </w:tc>
        <w:tc>
          <w:tcPr>
            <w:tcW w:w="737" w:type="dxa"/>
            <w:shd w:val="clear" w:color="auto" w:fill="EAF1DD" w:themeFill="accent3" w:themeFillTint="33"/>
            <w:noWrap/>
          </w:tcPr>
          <w:p w:rsidR="007B1BA4" w:rsidRPr="00C66E81" w:rsidRDefault="007B1BA4" w:rsidP="006F74C6">
            <w:pPr>
              <w:pStyle w:val="TabNumeri"/>
            </w:pPr>
            <w:r w:rsidRPr="00C66E81">
              <w:t>1,5</w:t>
            </w:r>
          </w:p>
        </w:tc>
      </w:tr>
      <w:tr w:rsidR="007B1BA4" w:rsidTr="006F74C6">
        <w:trPr>
          <w:gridAfter w:val="1"/>
          <w:wAfter w:w="16" w:type="dxa"/>
          <w:cantSplit/>
          <w:trHeight w:val="255"/>
        </w:trPr>
        <w:tc>
          <w:tcPr>
            <w:tcW w:w="2211" w:type="dxa"/>
            <w:noWrap/>
          </w:tcPr>
          <w:p w:rsidR="007B1BA4" w:rsidRPr="00233F5C" w:rsidRDefault="007B1BA4" w:rsidP="006F74C6">
            <w:pPr>
              <w:pStyle w:val="TabEtichette"/>
            </w:pPr>
            <w:r w:rsidRPr="00233F5C">
              <w:t>Esportazioni</w:t>
            </w:r>
            <w:r>
              <w:t xml:space="preserve"> (1, 2, 3)</w:t>
            </w:r>
          </w:p>
        </w:tc>
        <w:tc>
          <w:tcPr>
            <w:tcW w:w="737" w:type="dxa"/>
            <w:noWrap/>
          </w:tcPr>
          <w:p w:rsidR="007B1BA4" w:rsidRPr="00F91714" w:rsidRDefault="007B1BA4" w:rsidP="006F74C6">
            <w:pPr>
              <w:pStyle w:val="TabNumeri"/>
            </w:pPr>
            <w:r w:rsidRPr="00F91714">
              <w:t>2,8</w:t>
            </w:r>
          </w:p>
        </w:tc>
        <w:tc>
          <w:tcPr>
            <w:tcW w:w="737" w:type="dxa"/>
            <w:noWrap/>
          </w:tcPr>
          <w:p w:rsidR="007B1BA4" w:rsidRPr="00F91714" w:rsidRDefault="007B1BA4" w:rsidP="006F74C6">
            <w:pPr>
              <w:pStyle w:val="TabNumeri"/>
            </w:pPr>
            <w:r w:rsidRPr="00F91714">
              <w:t>2,8</w:t>
            </w:r>
          </w:p>
        </w:tc>
        <w:tc>
          <w:tcPr>
            <w:tcW w:w="737" w:type="dxa"/>
            <w:noWrap/>
          </w:tcPr>
          <w:p w:rsidR="007B1BA4" w:rsidRPr="00F91714" w:rsidRDefault="007B1BA4" w:rsidP="006F74C6">
            <w:pPr>
              <w:pStyle w:val="TabNumeri"/>
            </w:pPr>
            <w:r w:rsidRPr="00F91714">
              <w:t>3,6</w:t>
            </w:r>
          </w:p>
        </w:tc>
        <w:tc>
          <w:tcPr>
            <w:tcW w:w="510" w:type="dxa"/>
            <w:noWrap/>
          </w:tcPr>
          <w:p w:rsidR="007B1BA4" w:rsidRPr="000770A1" w:rsidRDefault="007B1BA4" w:rsidP="006F74C6">
            <w:pPr>
              <w:pStyle w:val="TabNumeri"/>
              <w:rPr>
                <w:sz w:val="14"/>
                <w:szCs w:val="14"/>
              </w:rPr>
            </w:pPr>
          </w:p>
        </w:tc>
        <w:tc>
          <w:tcPr>
            <w:tcW w:w="2211" w:type="dxa"/>
          </w:tcPr>
          <w:p w:rsidR="007B1BA4" w:rsidRPr="00233F5C" w:rsidRDefault="007B1BA4" w:rsidP="006F74C6">
            <w:pPr>
              <w:pStyle w:val="TabEtichette"/>
            </w:pPr>
            <w:r w:rsidRPr="00233F5C">
              <w:t>Ind</w:t>
            </w:r>
            <w:r>
              <w:t>ebitamento della P.A. [4]</w:t>
            </w:r>
          </w:p>
        </w:tc>
        <w:tc>
          <w:tcPr>
            <w:tcW w:w="737" w:type="dxa"/>
            <w:noWrap/>
          </w:tcPr>
          <w:p w:rsidR="007B1BA4" w:rsidRPr="00C66E81" w:rsidRDefault="007B1BA4" w:rsidP="006F74C6">
            <w:pPr>
              <w:pStyle w:val="TabNumeri"/>
            </w:pPr>
            <w:r w:rsidRPr="00C66E81">
              <w:t>0,5</w:t>
            </w:r>
          </w:p>
        </w:tc>
        <w:tc>
          <w:tcPr>
            <w:tcW w:w="737" w:type="dxa"/>
          </w:tcPr>
          <w:p w:rsidR="007B1BA4" w:rsidRPr="00C66E81" w:rsidRDefault="007B1BA4" w:rsidP="006F74C6">
            <w:pPr>
              <w:pStyle w:val="TabNumeri"/>
            </w:pPr>
            <w:r w:rsidRPr="00C66E81">
              <w:t>1,0</w:t>
            </w:r>
          </w:p>
        </w:tc>
        <w:tc>
          <w:tcPr>
            <w:tcW w:w="737" w:type="dxa"/>
            <w:noWrap/>
          </w:tcPr>
          <w:p w:rsidR="007B1BA4" w:rsidRPr="00C66E81" w:rsidRDefault="007B1BA4" w:rsidP="006F74C6">
            <w:pPr>
              <w:pStyle w:val="TabNumeri"/>
            </w:pPr>
            <w:r w:rsidRPr="00C66E81">
              <w:t>1,0</w:t>
            </w:r>
          </w:p>
        </w:tc>
      </w:tr>
      <w:tr w:rsidR="007B1BA4" w:rsidTr="006F74C6">
        <w:trPr>
          <w:gridAfter w:val="1"/>
          <w:wAfter w:w="16" w:type="dxa"/>
          <w:cantSplit/>
          <w:trHeight w:val="255"/>
        </w:trPr>
        <w:tc>
          <w:tcPr>
            <w:tcW w:w="2211" w:type="dxa"/>
            <w:tcBorders>
              <w:bottom w:val="single" w:sz="4" w:space="0" w:color="632423" w:themeColor="accent2" w:themeShade="80"/>
            </w:tcBorders>
            <w:shd w:val="clear" w:color="auto" w:fill="EAF1DD" w:themeFill="accent3" w:themeFillTint="33"/>
            <w:noWrap/>
          </w:tcPr>
          <w:p w:rsidR="007B1BA4" w:rsidRDefault="007B1BA4" w:rsidP="006F74C6">
            <w:pPr>
              <w:pStyle w:val="TabEtichette"/>
            </w:pPr>
            <w:r w:rsidRPr="00233F5C">
              <w:t>Importazioni</w:t>
            </w:r>
            <w:r>
              <w:t xml:space="preserve"> (1, 2, 3)</w:t>
            </w:r>
          </w:p>
        </w:tc>
        <w:tc>
          <w:tcPr>
            <w:tcW w:w="737" w:type="dxa"/>
            <w:tcBorders>
              <w:bottom w:val="single" w:sz="4" w:space="0" w:color="632423" w:themeColor="accent2" w:themeShade="80"/>
            </w:tcBorders>
            <w:shd w:val="clear" w:color="auto" w:fill="EAF1DD" w:themeFill="accent3" w:themeFillTint="33"/>
            <w:noWrap/>
          </w:tcPr>
          <w:p w:rsidR="007B1BA4" w:rsidRPr="00F91714" w:rsidRDefault="007B1BA4" w:rsidP="006F74C6">
            <w:pPr>
              <w:pStyle w:val="TabNumeri"/>
            </w:pPr>
            <w:r w:rsidRPr="00F91714">
              <w:t>2,7</w:t>
            </w:r>
          </w:p>
        </w:tc>
        <w:tc>
          <w:tcPr>
            <w:tcW w:w="737" w:type="dxa"/>
            <w:tcBorders>
              <w:bottom w:val="single" w:sz="4" w:space="0" w:color="632423" w:themeColor="accent2" w:themeShade="80"/>
            </w:tcBorders>
            <w:shd w:val="clear" w:color="auto" w:fill="EAF1DD" w:themeFill="accent3" w:themeFillTint="33"/>
            <w:noWrap/>
          </w:tcPr>
          <w:p w:rsidR="007B1BA4" w:rsidRPr="00F91714" w:rsidRDefault="007B1BA4" w:rsidP="006F74C6">
            <w:pPr>
              <w:pStyle w:val="TabNumeri"/>
            </w:pPr>
            <w:r w:rsidRPr="00F91714">
              <w:t>3,7</w:t>
            </w:r>
          </w:p>
        </w:tc>
        <w:tc>
          <w:tcPr>
            <w:tcW w:w="737" w:type="dxa"/>
            <w:tcBorders>
              <w:bottom w:val="single" w:sz="4" w:space="0" w:color="632423" w:themeColor="accent2" w:themeShade="80"/>
            </w:tcBorders>
            <w:shd w:val="clear" w:color="auto" w:fill="EAF1DD" w:themeFill="accent3" w:themeFillTint="33"/>
            <w:noWrap/>
          </w:tcPr>
          <w:p w:rsidR="007B1BA4" w:rsidRDefault="007B1BA4" w:rsidP="006F74C6">
            <w:pPr>
              <w:pStyle w:val="TabNumeri"/>
            </w:pPr>
            <w:r w:rsidRPr="00F91714">
              <w:t>4,1</w:t>
            </w:r>
          </w:p>
        </w:tc>
        <w:tc>
          <w:tcPr>
            <w:tcW w:w="510" w:type="dxa"/>
            <w:tcBorders>
              <w:bottom w:val="single" w:sz="4" w:space="0" w:color="632423" w:themeColor="accent2" w:themeShade="80"/>
            </w:tcBorders>
            <w:shd w:val="clear" w:color="auto" w:fill="EAF1DD" w:themeFill="accent3" w:themeFillTint="33"/>
            <w:noWrap/>
          </w:tcPr>
          <w:p w:rsidR="007B1BA4" w:rsidRPr="000770A1" w:rsidRDefault="007B1BA4" w:rsidP="006F74C6">
            <w:pPr>
              <w:pStyle w:val="TabNumeri"/>
              <w:rPr>
                <w:sz w:val="14"/>
                <w:szCs w:val="14"/>
              </w:rPr>
            </w:pPr>
          </w:p>
        </w:tc>
        <w:tc>
          <w:tcPr>
            <w:tcW w:w="2211" w:type="dxa"/>
            <w:tcBorders>
              <w:bottom w:val="single" w:sz="4" w:space="0" w:color="632423" w:themeColor="accent2" w:themeShade="80"/>
            </w:tcBorders>
            <w:shd w:val="clear" w:color="auto" w:fill="EAF1DD" w:themeFill="accent3" w:themeFillTint="33"/>
          </w:tcPr>
          <w:p w:rsidR="007B1BA4" w:rsidRDefault="007B1BA4" w:rsidP="006F74C6">
            <w:pPr>
              <w:pStyle w:val="TabEtichette"/>
            </w:pPr>
            <w:r>
              <w:t>Debito lordo della. P.A. [4</w:t>
            </w:r>
            <w:r w:rsidRPr="00233F5C">
              <w:t>]</w:t>
            </w:r>
          </w:p>
        </w:tc>
        <w:tc>
          <w:tcPr>
            <w:tcW w:w="737" w:type="dxa"/>
            <w:tcBorders>
              <w:bottom w:val="single" w:sz="4" w:space="0" w:color="632423" w:themeColor="accent2" w:themeShade="80"/>
            </w:tcBorders>
            <w:shd w:val="clear" w:color="auto" w:fill="EAF1DD" w:themeFill="accent3" w:themeFillTint="33"/>
            <w:noWrap/>
          </w:tcPr>
          <w:p w:rsidR="007B1BA4" w:rsidRPr="00C66E81" w:rsidRDefault="007B1BA4" w:rsidP="006F74C6">
            <w:pPr>
              <w:pStyle w:val="TabNumeri"/>
            </w:pPr>
            <w:r w:rsidRPr="00C66E81">
              <w:t>85,0</w:t>
            </w:r>
          </w:p>
        </w:tc>
        <w:tc>
          <w:tcPr>
            <w:tcW w:w="737" w:type="dxa"/>
            <w:tcBorders>
              <w:bottom w:val="single" w:sz="4" w:space="0" w:color="632423" w:themeColor="accent2" w:themeShade="80"/>
            </w:tcBorders>
            <w:shd w:val="clear" w:color="auto" w:fill="EAF1DD" w:themeFill="accent3" w:themeFillTint="33"/>
          </w:tcPr>
          <w:p w:rsidR="007B1BA4" w:rsidRPr="00C66E81" w:rsidRDefault="007B1BA4" w:rsidP="006F74C6">
            <w:pPr>
              <w:pStyle w:val="TabNumeri"/>
            </w:pPr>
            <w:r w:rsidRPr="00C66E81">
              <w:t>83,8</w:t>
            </w:r>
          </w:p>
        </w:tc>
        <w:tc>
          <w:tcPr>
            <w:tcW w:w="737" w:type="dxa"/>
            <w:tcBorders>
              <w:bottom w:val="single" w:sz="4" w:space="0" w:color="632423" w:themeColor="accent2" w:themeShade="80"/>
            </w:tcBorders>
            <w:shd w:val="clear" w:color="auto" w:fill="EAF1DD" w:themeFill="accent3" w:themeFillTint="33"/>
            <w:noWrap/>
          </w:tcPr>
          <w:p w:rsidR="007B1BA4" w:rsidRDefault="007B1BA4" w:rsidP="006F74C6">
            <w:pPr>
              <w:pStyle w:val="TabNumeri"/>
            </w:pPr>
            <w:r w:rsidRPr="00C66E81">
              <w:t>82,3</w:t>
            </w:r>
          </w:p>
        </w:tc>
      </w:tr>
      <w:tr w:rsidR="007B1BA4" w:rsidRPr="007B1BA4" w:rsidTr="006F74C6">
        <w:trPr>
          <w:cantSplit/>
          <w:trHeight w:val="255"/>
        </w:trPr>
        <w:tc>
          <w:tcPr>
            <w:tcW w:w="9370" w:type="dxa"/>
            <w:gridSpan w:val="10"/>
            <w:tcBorders>
              <w:top w:val="single" w:sz="4" w:space="0" w:color="632423" w:themeColor="accent2" w:themeShade="80"/>
            </w:tcBorders>
            <w:noWrap/>
          </w:tcPr>
          <w:p w:rsidR="007B1BA4" w:rsidRPr="00D76DB6" w:rsidRDefault="007B1BA4" w:rsidP="006F74C6">
            <w:pPr>
              <w:pStyle w:val="TabNoteSuperiori"/>
            </w:pPr>
            <w:r>
              <w:t>[1] T</w:t>
            </w:r>
            <w:r w:rsidRPr="000465E3">
              <w:t>assi di variazione tendenziale</w:t>
            </w:r>
            <w:r>
              <w:t xml:space="preserve"> percentuale- [2] Dati </w:t>
            </w:r>
            <w:r w:rsidRPr="000125CF">
              <w:t>corretti per il numero di giornate</w:t>
            </w:r>
            <w:r>
              <w:t xml:space="preserve"> lavorative. [3] Compreso il commercio all’interno dell’area dell’euro. </w:t>
            </w:r>
            <w:r w:rsidRPr="00D76DB6">
              <w:t>[</w:t>
            </w:r>
            <w:r>
              <w:t>4</w:t>
            </w:r>
            <w:r w:rsidRPr="00D76DB6">
              <w:t xml:space="preserve">] </w:t>
            </w:r>
            <w:r>
              <w:t>In p</w:t>
            </w:r>
            <w:r w:rsidRPr="00D76DB6">
              <w:t xml:space="preserve">ercentuale </w:t>
            </w:r>
            <w:r>
              <w:t>de</w:t>
            </w:r>
            <w:r w:rsidRPr="00D76DB6">
              <w:t xml:space="preserve">l Pil. </w:t>
            </w:r>
            <w:r>
              <w:t xml:space="preserve">[5] Percentuale della forza lavoro. [6] </w:t>
            </w:r>
            <w:r w:rsidRPr="00D76DB6">
              <w:t xml:space="preserve">Tasso di inflazione </w:t>
            </w:r>
            <w:r w:rsidRPr="0073321F">
              <w:t>armonizzato</w:t>
            </w:r>
            <w:r w:rsidRPr="00D76DB6">
              <w:t xml:space="preserve"> Ue. </w:t>
            </w:r>
          </w:p>
          <w:p w:rsidR="007B1BA4" w:rsidRPr="007B1BA4" w:rsidRDefault="007B1BA4" w:rsidP="006F74C6">
            <w:pPr>
              <w:pStyle w:val="TabNoteInferiori"/>
            </w:pPr>
            <w:r w:rsidRPr="007B1BA4">
              <w:t xml:space="preserve">Fonte: </w:t>
            </w:r>
            <w:proofErr w:type="spellStart"/>
            <w:r w:rsidRPr="007B1BA4">
              <w:t>European</w:t>
            </w:r>
            <w:proofErr w:type="spellEnd"/>
            <w:r w:rsidRPr="007B1BA4">
              <w:t xml:space="preserve"> Central Bank, ECB </w:t>
            </w:r>
            <w:proofErr w:type="spellStart"/>
            <w:r w:rsidRPr="007B1BA4">
              <w:t>macroeconomic</w:t>
            </w:r>
            <w:proofErr w:type="spellEnd"/>
            <w:r w:rsidRPr="007B1BA4">
              <w:t xml:space="preserve"> </w:t>
            </w:r>
            <w:proofErr w:type="spellStart"/>
            <w:r w:rsidRPr="007B1BA4">
              <w:t>projections</w:t>
            </w:r>
            <w:proofErr w:type="spellEnd"/>
            <w:r w:rsidRPr="007B1BA4">
              <w:t xml:space="preserve"> for the euro area, 7 marzo </w:t>
            </w:r>
            <w:r>
              <w:rPr>
                <w:lang w:val="en-US"/>
              </w:rPr>
              <w:fldChar w:fldCharType="begin"/>
            </w:r>
            <w:r>
              <w:rPr>
                <w:lang w:val="en-US"/>
              </w:rPr>
              <w:instrText xml:space="preserve"> DATE  \@ "yyyy"  \* MERGEFORMAT </w:instrText>
            </w:r>
            <w:r>
              <w:rPr>
                <w:lang w:val="en-US"/>
              </w:rPr>
              <w:fldChar w:fldCharType="separate"/>
            </w:r>
            <w:r w:rsidR="00191A72">
              <w:rPr>
                <w:noProof/>
                <w:lang w:val="en-US"/>
              </w:rPr>
              <w:t>2019</w:t>
            </w:r>
            <w:r>
              <w:rPr>
                <w:lang w:val="en-US"/>
              </w:rPr>
              <w:fldChar w:fldCharType="end"/>
            </w:r>
          </w:p>
        </w:tc>
      </w:tr>
    </w:tbl>
    <w:p w:rsidR="00EA73A9" w:rsidRPr="003E3B61" w:rsidRDefault="00EA73A9" w:rsidP="00EA73A9">
      <w:r w:rsidRPr="003E3B61">
        <w:t xml:space="preserve">Nel 2018 per l’area dell’euro si è ridotta la dinamica della crescita che ha superato la fase di picco del 2017. Per la Banca centrale europea la crescita del prodotto interno lordo dell’area dell’euro ha rallentato nel 2018 (+1,9 per cento) e dovrebbe frenare ancora nel 2019 (+1,1 per cento), più decisamente (+1,0 per cento) secondo l’Ocse, che esclude una sostanziale ripresa nel 2020 (+1,2 per cento), prospettata dalla Bce (+1,6 per cento). La tendenza diverge anche tra i maggiori paesi dell’area. Nel 2018 si sono sentiti gli effetti del rallentamento del commercio estero, dell’aumento dell’incertezza relativa alle relazioni commerciali e all’interno quelli derivanti da problemi alla filiera automobilistica, da un rallentamento della domanda interna, da tensioni sociali e dalle incertezze di politica fiscale e relative alla </w:t>
      </w:r>
      <w:proofErr w:type="spellStart"/>
      <w:r w:rsidRPr="003E3B61">
        <w:t>Brexit</w:t>
      </w:r>
      <w:proofErr w:type="spellEnd"/>
      <w:r w:rsidRPr="003E3B61">
        <w:t xml:space="preserve">. Germania e Italia risentiranno </w:t>
      </w:r>
      <w:proofErr w:type="spellStart"/>
      <w:r w:rsidRPr="003E3B61">
        <w:t>particolarmene</w:t>
      </w:r>
      <w:proofErr w:type="spellEnd"/>
      <w:r w:rsidRPr="003E3B61">
        <w:t xml:space="preserve"> dell’elevata quota delle esportazioni rispetto al Pil. Nel medio termine persistono i fondamenti per il proseguimento della crescita, che nel 2019 dovrebbe contare sul miglioramento del mercato del lavoro, i bassi costi di finanziamento, una politica fiscale lievemente </w:t>
      </w:r>
      <w:r w:rsidRPr="003E3B61">
        <w:lastRenderedPageBreak/>
        <w:t xml:space="preserve">espansiva e un miglioramento della domanda estera. </w:t>
      </w:r>
    </w:p>
    <w:p w:rsidR="00EA73A9" w:rsidRPr="003E3B61" w:rsidRDefault="00EA73A9" w:rsidP="00EA73A9">
      <w:r w:rsidRPr="003E3B61">
        <w:t>Secondo le proiezioni della Banca centrale europea, la crescita dei consumi privati si è ridotta ulteriormente nel 2018 (+1,3 per cento) e resterà stabile nel 2019 (+1,3 per cento), sostenuta dal mercato del lavoro e dalla politica fiscale, ma frenata dall’incertezza. L’espansione dei consumi pubblici si è lievemente contenuta nel 2018 (+1,1 per cento ), ma dovrebbe riprendere forza nel 2019 (+1,7 per cento).</w:t>
      </w:r>
    </w:p>
    <w:tbl>
      <w:tblPr>
        <w:tblStyle w:val="Grigliatabella"/>
        <w:tblpPr w:topFromText="425" w:bottomFromText="425"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7B1BA4" w:rsidRPr="002B550F" w:rsidTr="006F74C6">
        <w:tc>
          <w:tcPr>
            <w:tcW w:w="9356" w:type="dxa"/>
          </w:tcPr>
          <w:p w:rsidR="007B1BA4" w:rsidRPr="002B550F" w:rsidRDefault="007B1BA4" w:rsidP="006F74C6">
            <w:pPr>
              <w:pStyle w:val="FigTitolo"/>
            </w:pPr>
            <w:r w:rsidRPr="002B550F">
              <w:t xml:space="preserve">Tasso di variazione del </w:t>
            </w:r>
            <w:r>
              <w:t>p</w:t>
            </w:r>
            <w:r w:rsidRPr="002B550F">
              <w:t>rodotto interno lordo</w:t>
            </w:r>
            <w:r>
              <w:t xml:space="preserve"> per l’area dell’euro, l’Unione europea e alcuni paesi</w:t>
            </w:r>
          </w:p>
        </w:tc>
      </w:tr>
      <w:tr w:rsidR="007B1BA4" w:rsidRPr="002B550F" w:rsidTr="006F74C6">
        <w:tc>
          <w:tcPr>
            <w:tcW w:w="9356" w:type="dxa"/>
          </w:tcPr>
          <w:p w:rsidR="007B1BA4" w:rsidRPr="00674C12" w:rsidRDefault="007B1BA4" w:rsidP="006F74C6">
            <w:pPr>
              <w:pStyle w:val="Figure"/>
            </w:pPr>
            <w:r>
              <w:rPr>
                <w:noProof/>
              </w:rPr>
              <w:drawing>
                <wp:inline distT="0" distB="0" distL="0" distR="0" wp14:anchorId="339A0B46" wp14:editId="37AF4749">
                  <wp:extent cx="5906135" cy="1795145"/>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6135" cy="1795145"/>
                          </a:xfrm>
                          <a:prstGeom prst="rect">
                            <a:avLst/>
                          </a:prstGeom>
                          <a:noFill/>
                          <a:ln>
                            <a:noFill/>
                          </a:ln>
                        </pic:spPr>
                      </pic:pic>
                    </a:graphicData>
                  </a:graphic>
                </wp:inline>
              </w:drawing>
            </w:r>
          </w:p>
        </w:tc>
      </w:tr>
      <w:tr w:rsidR="007B1BA4" w:rsidRPr="007862B1" w:rsidTr="006F74C6">
        <w:tc>
          <w:tcPr>
            <w:tcW w:w="9356" w:type="dxa"/>
          </w:tcPr>
          <w:p w:rsidR="007B1BA4" w:rsidRPr="00860890" w:rsidRDefault="007B1BA4" w:rsidP="006F74C6">
            <w:pPr>
              <w:pStyle w:val="TabNoteSuperiori"/>
            </w:pPr>
            <w:r w:rsidRPr="00860890">
              <w:t xml:space="preserve">Commissione europea, </w:t>
            </w:r>
            <w:proofErr w:type="spellStart"/>
            <w:r w:rsidRPr="00DE03EB">
              <w:t>E</w:t>
            </w:r>
            <w:r>
              <w:t>uropean</w:t>
            </w:r>
            <w:proofErr w:type="spellEnd"/>
            <w:r>
              <w:t xml:space="preserve"> </w:t>
            </w:r>
            <w:proofErr w:type="spellStart"/>
            <w:r>
              <w:t>economic</w:t>
            </w:r>
            <w:proofErr w:type="spellEnd"/>
            <w:r>
              <w:t xml:space="preserve"> </w:t>
            </w:r>
            <w:proofErr w:type="spellStart"/>
            <w:r>
              <w:t>forecasts</w:t>
            </w:r>
            <w:proofErr w:type="spellEnd"/>
            <w:r>
              <w:t>,</w:t>
            </w:r>
            <w:r w:rsidRPr="00860890">
              <w:t xml:space="preserve"> </w:t>
            </w:r>
            <w:r>
              <w:t xml:space="preserve">7 febbraio </w:t>
            </w:r>
            <w:r w:rsidRPr="00A34906">
              <w:rPr>
                <w:lang w:val="en-US"/>
              </w:rPr>
              <w:fldChar w:fldCharType="begin"/>
            </w:r>
            <w:r w:rsidRPr="00A34906">
              <w:rPr>
                <w:lang w:val="en-US"/>
              </w:rPr>
              <w:instrText xml:space="preserve"> DATE  \@ "yyyy"  \* MERGEFORMAT </w:instrText>
            </w:r>
            <w:r w:rsidRPr="00A34906">
              <w:rPr>
                <w:lang w:val="en-US"/>
              </w:rPr>
              <w:fldChar w:fldCharType="separate"/>
            </w:r>
            <w:r w:rsidR="00191A72">
              <w:rPr>
                <w:noProof/>
                <w:lang w:val="en-US"/>
              </w:rPr>
              <w:t>2019</w:t>
            </w:r>
            <w:r w:rsidRPr="00A34906">
              <w:rPr>
                <w:lang w:val="en-US"/>
              </w:rPr>
              <w:fldChar w:fldCharType="end"/>
            </w:r>
          </w:p>
        </w:tc>
      </w:tr>
    </w:tbl>
    <w:p w:rsidR="00EA73A9" w:rsidRPr="003E3B61" w:rsidRDefault="00EA73A9" w:rsidP="00EA73A9">
      <w:r w:rsidRPr="003E3B61">
        <w:t>La dinamica degli investimenti ha accelerato nel 2018 (+3,3 per cento), ma appare moderata per una componente altamente ciclica e rallenterà nuovamente nel 2019 (2,1 per cento), gravata dal basso livello di fiducia, nonostante l’elevato livello dei profitti.</w:t>
      </w:r>
    </w:p>
    <w:p w:rsidR="00EA73A9" w:rsidRPr="003E3B61" w:rsidRDefault="00EA73A9" w:rsidP="00EA73A9">
      <w:r w:rsidRPr="003E3B61">
        <w:t>Nel 2018 la frenata delle esportazioni (+2,8 per cento) ha pesato sull’espansione, le indicazioni per il 2019 non ne prospettano una accelerazione, che verrà solo nel 2020. Il surplus dei conti correnti in rapporto al Pil è salito stabilmente dal 2008, ha toccato un picco nel 2017, si è ridotto lievemente nel 2018 (+3,0 per cento) e lo farà più decisamente nel 2019 (+2,4 per cento).</w:t>
      </w:r>
    </w:p>
    <w:p w:rsidR="00EA73A9" w:rsidRPr="003E3B61" w:rsidRDefault="00EA73A9" w:rsidP="00EA73A9">
      <w:r w:rsidRPr="003E3B61">
        <w:t>L’aumento dell’occupazione è risultato più contenuto e proseguirà più lentamente, passando dal +1,4 per cento del 2018 al +0,7 per cento nel 2019, per i limiti all’offerta e il rallentamento dell’attività. Dopo la rapida discesa all’8,2 per cento nel 2018, il tasso di disoccupazione si ridurrà più gradualmente al 7,9 per cento nel 2019, con marcate differenze trai paesi membri.</w:t>
      </w:r>
    </w:p>
    <w:p w:rsidR="00EA73A9" w:rsidRPr="003E3B61" w:rsidRDefault="00EA73A9" w:rsidP="00EA73A9">
      <w:r w:rsidRPr="003E3B61">
        <w:t xml:space="preserve">La dinamica dei prezzi ha accelerato </w:t>
      </w:r>
      <w:proofErr w:type="spellStart"/>
      <w:r w:rsidRPr="003E3B61">
        <w:t>ulteriomente</w:t>
      </w:r>
      <w:proofErr w:type="spellEnd"/>
      <w:r w:rsidRPr="003E3B61">
        <w:t xml:space="preserve"> nel 2018 (+1,7 per cento), ma dovrebbe ridursi sensibilmente nel 2019 (+1,2 per cento), </w:t>
      </w:r>
      <w:r w:rsidR="003E3B61" w:rsidRPr="003E3B61">
        <w:t>frenata d</w:t>
      </w:r>
      <w:r w:rsidRPr="003E3B61">
        <w:t>alla componente energetica, per riprendersi parzialmente nel 2020. La crescita salariale accelererà gradualmente con il miglioramento del mercato del lavoro e della produttività.</w:t>
      </w:r>
    </w:p>
    <w:p w:rsidR="00EA73A9" w:rsidRPr="003E3B61" w:rsidRDefault="00EA73A9" w:rsidP="00EA73A9">
      <w:r w:rsidRPr="003E3B61">
        <w:t>La politica fiscale è rimasta neutrale nel 2018, ma si prospetta espansiva nel 2019 e più ancora nel 2020. Il rapporto tra deficit pubblico e prodotto interno lordo</w:t>
      </w:r>
      <w:r w:rsidR="003E3B61" w:rsidRPr="003E3B61">
        <w:t xml:space="preserve"> </w:t>
      </w:r>
      <w:r w:rsidRPr="003E3B61">
        <w:t>ha continuato a ridursi anche nel 2018 (0,5 per cento), grazie alla crescita e ai bassi tassi di interesse, ma nel 2019 dovrebbe deteriorarsi (1,0 per cento) per effetto di politiche moderatamente espansive, per restare poi a questo livello.</w:t>
      </w:r>
      <w:r w:rsidR="003E3B61" w:rsidRPr="003E3B61">
        <w:t xml:space="preserve"> </w:t>
      </w:r>
      <w:r w:rsidRPr="003E3B61">
        <w:t xml:space="preserve">Il rapporto tra debito pubblico e Pil è sceso nel 2018 (84,9 per cento) e continuerà a ridursi </w:t>
      </w:r>
      <w:r w:rsidR="003E3B61" w:rsidRPr="003E3B61">
        <w:t xml:space="preserve">nel 2019 </w:t>
      </w:r>
      <w:r w:rsidRPr="003E3B61">
        <w:t>(83,0 per cento), grazie a un saldo primario positivo e al differenziale tra tassi di interesse e tasso di crescita.</w:t>
      </w:r>
    </w:p>
    <w:p w:rsidR="00EA73A9" w:rsidRPr="003E3B61" w:rsidRDefault="00EA73A9" w:rsidP="00EA73A9">
      <w:r w:rsidRPr="003E3B61">
        <w:t>La politica monetaria della Banca centrale europea resta molto espansiva per sostenere la dinamica dei prezzi nel medio termine e interve</w:t>
      </w:r>
      <w:r w:rsidR="003E3B61" w:rsidRPr="003E3B61">
        <w:t xml:space="preserve">rrà </w:t>
      </w:r>
      <w:r w:rsidRPr="003E3B61">
        <w:t xml:space="preserve">ulteriormente. Terminati gli acquisti sul mercato di titoli a dicembre 2018, il reinvestimento </w:t>
      </w:r>
      <w:r w:rsidR="003E3B61" w:rsidRPr="003E3B61">
        <w:t>dei titoli giunti a maturazione.</w:t>
      </w:r>
      <w:r w:rsidRPr="003E3B61">
        <w:t xml:space="preserve"> la politica di annunci </w:t>
      </w:r>
      <w:r w:rsidR="003E3B61" w:rsidRPr="003E3B61">
        <w:t>e un nuovo programma di finanziamenti (T-</w:t>
      </w:r>
      <w:proofErr w:type="spellStart"/>
      <w:r w:rsidR="003E3B61" w:rsidRPr="003E3B61">
        <w:t>Ltro</w:t>
      </w:r>
      <w:proofErr w:type="spellEnd"/>
      <w:r w:rsidR="003E3B61" w:rsidRPr="003E3B61">
        <w:t xml:space="preserve">) a favore delle banche </w:t>
      </w:r>
      <w:r w:rsidRPr="003E3B61">
        <w:t>dovrebbero mantenere a lungo i tassi di interesse nominali di lungo termine molto bassi e quelli reali negativi.</w:t>
      </w:r>
    </w:p>
    <w:p w:rsidR="00F81CE8" w:rsidRDefault="00CF2079" w:rsidP="00F81CE8">
      <w:pPr>
        <w:pStyle w:val="Titolo2"/>
      </w:pPr>
      <w:r>
        <w:t>X</w:t>
      </w:r>
      <w:r w:rsidR="00F81CE8">
        <w:t>.</w:t>
      </w:r>
      <w:r w:rsidR="00C43F0D">
        <w:t>3</w:t>
      </w:r>
      <w:r w:rsidR="00F81CE8">
        <w:t>.</w:t>
      </w:r>
      <w:r w:rsidR="00F81CE8">
        <w:tab/>
      </w:r>
      <w:r w:rsidR="00F81CE8" w:rsidRPr="00F81CE8">
        <w:t xml:space="preserve">Il quadro </w:t>
      </w:r>
      <w:r w:rsidR="00CE68C2">
        <w:t>nazionale</w:t>
      </w:r>
    </w:p>
    <w:p w:rsidR="00A75C22" w:rsidRDefault="00A75C22" w:rsidP="00A75C22">
      <w:r>
        <w:t>La crescita del prodotto interno lordo, pari a +1,6 per cento nel 2017, ha perso s</w:t>
      </w:r>
      <w:r w:rsidR="00A708DA">
        <w:t>lancio nel 2018 (+0,9 per cento</w:t>
      </w:r>
      <w:r>
        <w:t>), per il rallentamento della produzione industriale e dell’export, e dovrebbe risultare ulteriormente contenuta nel 2019 (+0,1 per cento ), nonostante una lieve ripresa dell’export e un aumento della spesa pubblica.</w:t>
      </w:r>
      <w:r w:rsidR="008933E6">
        <w:t xml:space="preserve"> </w:t>
      </w:r>
      <w:r w:rsidR="008933E6" w:rsidRPr="008933E6">
        <w:t>La più recente stima dell’Ocse prospetta per il 2019 una lieve recessione (-0,2 per cento).</w:t>
      </w:r>
      <w:r>
        <w:t xml:space="preserve"> I consumi delle famiglie sono cresciuti ancora più moderatamente nel 2018 (+0,6 per cento), con il reddito disponibile reale, e ugualmente faranno nel 2019 (+0,4 per cento), data la debolezza attesa per il mercato del lavoro. L’incertezza interna e internazionale ha rallentato il ciclo degli investimenti nel 2018, nonostante positive prospettive di domanda, condizioni finanziarie favorevoli, incentivi fiscali e necessità di rinnovare la capacità produttiva. L’incertezza, l’affievolirsi dei fattori favorevoli e un prospettico </w:t>
      </w:r>
      <w:proofErr w:type="spellStart"/>
      <w:r>
        <w:t>aumeno</w:t>
      </w:r>
      <w:proofErr w:type="spellEnd"/>
      <w:r>
        <w:t xml:space="preserve"> </w:t>
      </w:r>
      <w:r>
        <w:lastRenderedPageBreak/>
        <w:t>del costo del finanziamento potrebbero invertire la tendenza degli investimenti nel 2019. La crescita delle esportazioni è rallentata nel 2018 per effetto anche delle tensioni commerciali, ma dovrebbe leggermente rafforzarsi la crescita nel 2019. Le importazioni hanno mantenuto una dinamica superiore, trainate anche dalla ripresa degli investimenti, e sono cresciute più dell’export nel 2018, ma rallenteranno sensibilmente nel 2019, a causa dell’indebolimento della domanda interna. Ne risulterà un rafforzamento dell’avanzo di conto corrente della bilancia dei pagamenti.</w:t>
      </w:r>
    </w:p>
    <w:tbl>
      <w:tblPr>
        <w:tblpPr w:topFromText="284" w:bottomFromText="284"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7B1BA4" w:rsidTr="006F74C6">
        <w:tc>
          <w:tcPr>
            <w:tcW w:w="9356" w:type="dxa"/>
          </w:tcPr>
          <w:p w:rsidR="007B1BA4" w:rsidRDefault="007B1BA4" w:rsidP="006F74C6">
            <w:pPr>
              <w:pStyle w:val="FigTitolo"/>
            </w:pPr>
            <w:r>
              <w:t>Prodotto interno lordo, valori concatenati in milioni di euro, anno di riferimento 2010  e variazioni percentuali annuali.</w:t>
            </w:r>
          </w:p>
        </w:tc>
      </w:tr>
      <w:tr w:rsidR="007B1BA4" w:rsidTr="006F74C6">
        <w:tc>
          <w:tcPr>
            <w:tcW w:w="9356" w:type="dxa"/>
          </w:tcPr>
          <w:p w:rsidR="007B1BA4" w:rsidRPr="002A23F1" w:rsidRDefault="007B1BA4" w:rsidP="006F74C6">
            <w:pPr>
              <w:pStyle w:val="Figure"/>
            </w:pPr>
            <w:r>
              <w:rPr>
                <w:noProof/>
              </w:rPr>
              <w:drawing>
                <wp:inline distT="0" distB="0" distL="0" distR="0" wp14:anchorId="7107647E" wp14:editId="43A73B25">
                  <wp:extent cx="5904000" cy="2960280"/>
                  <wp:effectExtent l="0" t="0" r="0" b="0"/>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04000" cy="2960280"/>
                          </a:xfrm>
                          <a:prstGeom prst="rect">
                            <a:avLst/>
                          </a:prstGeom>
                        </pic:spPr>
                      </pic:pic>
                    </a:graphicData>
                  </a:graphic>
                </wp:inline>
              </w:drawing>
            </w:r>
          </w:p>
        </w:tc>
      </w:tr>
      <w:tr w:rsidR="007B1BA4" w:rsidTr="006F74C6">
        <w:tc>
          <w:tcPr>
            <w:tcW w:w="9356" w:type="dxa"/>
          </w:tcPr>
          <w:p w:rsidR="007B1BA4" w:rsidRDefault="007B1BA4" w:rsidP="006F74C6">
            <w:pPr>
              <w:pStyle w:val="TabNoteSuperiori"/>
            </w:pPr>
            <w:r>
              <w:t>Fonte: Istat, Pil e indebitamento AP.</w:t>
            </w:r>
          </w:p>
        </w:tc>
      </w:tr>
    </w:tbl>
    <w:tbl>
      <w:tblPr>
        <w:tblpPr w:topFromText="284" w:bottomFromText="284" w:tblpXSpec="center" w:tblpYSpec="bottom"/>
        <w:tblOverlap w:val="never"/>
        <w:tblW w:w="9359" w:type="dxa"/>
        <w:tblBorders>
          <w:bottom w:val="single" w:sz="4" w:space="0" w:color="auto"/>
        </w:tblBorders>
        <w:tblLayout w:type="fixed"/>
        <w:tblCellMar>
          <w:left w:w="0" w:type="dxa"/>
          <w:right w:w="0" w:type="dxa"/>
        </w:tblCellMar>
        <w:tblLook w:val="0000" w:firstRow="0" w:lastRow="0" w:firstColumn="0" w:lastColumn="0" w:noHBand="0" w:noVBand="0"/>
      </w:tblPr>
      <w:tblGrid>
        <w:gridCol w:w="2552"/>
        <w:gridCol w:w="1021"/>
        <w:gridCol w:w="340"/>
        <w:gridCol w:w="1021"/>
        <w:gridCol w:w="340"/>
        <w:gridCol w:w="1021"/>
        <w:gridCol w:w="340"/>
        <w:gridCol w:w="1021"/>
        <w:gridCol w:w="340"/>
        <w:gridCol w:w="1021"/>
        <w:gridCol w:w="342"/>
      </w:tblGrid>
      <w:tr w:rsidR="007B1BA4" w:rsidTr="006F74C6">
        <w:trPr>
          <w:cantSplit/>
        </w:trPr>
        <w:tc>
          <w:tcPr>
            <w:tcW w:w="9359" w:type="dxa"/>
            <w:gridSpan w:val="11"/>
            <w:tcBorders>
              <w:bottom w:val="single" w:sz="6" w:space="0" w:color="800000"/>
            </w:tcBorders>
          </w:tcPr>
          <w:p w:rsidR="007B1BA4" w:rsidRPr="00EA6B59" w:rsidRDefault="007B1BA4" w:rsidP="006F74C6">
            <w:pPr>
              <w:pStyle w:val="TabTitolo"/>
            </w:pPr>
            <w:r>
              <w:t>L'economia italiana. Consuntivo e previsioni effettuate negli ultimi mesi, variazioni percentuali annue a prezzi costanti salvo diversa indicazione.</w:t>
            </w:r>
          </w:p>
        </w:tc>
      </w:tr>
      <w:tr w:rsidR="007B1BA4" w:rsidTr="006F74C6">
        <w:tblPrEx>
          <w:tblBorders>
            <w:bottom w:val="none" w:sz="0" w:space="0" w:color="auto"/>
          </w:tblBorders>
        </w:tblPrEx>
        <w:trPr>
          <w:cantSplit/>
        </w:trPr>
        <w:tc>
          <w:tcPr>
            <w:tcW w:w="2552" w:type="dxa"/>
            <w:tcBorders>
              <w:top w:val="single" w:sz="6" w:space="0" w:color="800000"/>
            </w:tcBorders>
          </w:tcPr>
          <w:p w:rsidR="007B1BA4" w:rsidRPr="00EA6B59" w:rsidRDefault="007B1BA4" w:rsidP="006F74C6">
            <w:pPr>
              <w:pStyle w:val="TabIntestaSup"/>
            </w:pPr>
          </w:p>
        </w:tc>
        <w:tc>
          <w:tcPr>
            <w:tcW w:w="1361" w:type="dxa"/>
            <w:gridSpan w:val="2"/>
            <w:tcBorders>
              <w:top w:val="single" w:sz="6" w:space="0" w:color="800000"/>
            </w:tcBorders>
            <w:vAlign w:val="bottom"/>
          </w:tcPr>
          <w:p w:rsidR="007B1BA4" w:rsidRPr="00D76DB6" w:rsidRDefault="007B1BA4" w:rsidP="006F74C6">
            <w:pPr>
              <w:pStyle w:val="TabIntestaSup"/>
            </w:pPr>
            <w:r w:rsidRPr="00D76DB6">
              <w:t>Consuntivo</w:t>
            </w:r>
          </w:p>
        </w:tc>
        <w:tc>
          <w:tcPr>
            <w:tcW w:w="5446" w:type="dxa"/>
            <w:gridSpan w:val="8"/>
            <w:tcBorders>
              <w:top w:val="single" w:sz="6" w:space="0" w:color="800000"/>
            </w:tcBorders>
            <w:vAlign w:val="bottom"/>
          </w:tcPr>
          <w:p w:rsidR="007B1BA4" w:rsidRPr="00D76DB6" w:rsidRDefault="007B1BA4" w:rsidP="006F74C6">
            <w:pPr>
              <w:pStyle w:val="TabIntestaSupBordo"/>
            </w:pPr>
            <w:r w:rsidRPr="00D76DB6">
              <w:t xml:space="preserve">Previsioni </w:t>
            </w:r>
            <w:r w:rsidRPr="00D76DB6">
              <w:fldChar w:fldCharType="begin"/>
            </w:r>
            <w:r w:rsidRPr="00D76DB6">
              <w:instrText xml:space="preserve"> DATE  \@ "yyyy"  \* MERGEFORMAT </w:instrText>
            </w:r>
            <w:r w:rsidRPr="00D76DB6">
              <w:fldChar w:fldCharType="separate"/>
            </w:r>
            <w:r w:rsidR="00191A72">
              <w:rPr>
                <w:noProof/>
              </w:rPr>
              <w:t>2019</w:t>
            </w:r>
            <w:r w:rsidRPr="00D76DB6">
              <w:fldChar w:fldCharType="end"/>
            </w:r>
          </w:p>
        </w:tc>
      </w:tr>
      <w:tr w:rsidR="007B1BA4" w:rsidTr="006F74C6">
        <w:tblPrEx>
          <w:tblBorders>
            <w:bottom w:val="none" w:sz="0" w:space="0" w:color="auto"/>
          </w:tblBorders>
        </w:tblPrEx>
        <w:trPr>
          <w:cantSplit/>
        </w:trPr>
        <w:tc>
          <w:tcPr>
            <w:tcW w:w="2552" w:type="dxa"/>
          </w:tcPr>
          <w:p w:rsidR="007B1BA4" w:rsidRPr="00EA6B59" w:rsidRDefault="007B1BA4" w:rsidP="006F74C6">
            <w:pPr>
              <w:pStyle w:val="TabIntestaSup"/>
            </w:pPr>
          </w:p>
        </w:tc>
        <w:tc>
          <w:tcPr>
            <w:tcW w:w="1361" w:type="dxa"/>
            <w:gridSpan w:val="2"/>
            <w:vAlign w:val="bottom"/>
          </w:tcPr>
          <w:p w:rsidR="007B1BA4" w:rsidRPr="00D76DB6" w:rsidRDefault="007B1BA4" w:rsidP="006F74C6">
            <w:pPr>
              <w:pStyle w:val="TabIntestaSup"/>
            </w:pPr>
            <w:r>
              <w:t>2018</w:t>
            </w:r>
          </w:p>
        </w:tc>
        <w:tc>
          <w:tcPr>
            <w:tcW w:w="1361" w:type="dxa"/>
            <w:gridSpan w:val="2"/>
            <w:vAlign w:val="bottom"/>
          </w:tcPr>
          <w:p w:rsidR="007B1BA4" w:rsidRPr="00D76DB6" w:rsidRDefault="007B1BA4" w:rsidP="006F74C6">
            <w:pPr>
              <w:pStyle w:val="TabIntestaSup"/>
            </w:pPr>
            <w:r w:rsidRPr="00D76DB6">
              <w:t>Fmi</w:t>
            </w:r>
          </w:p>
        </w:tc>
        <w:tc>
          <w:tcPr>
            <w:tcW w:w="1361" w:type="dxa"/>
            <w:gridSpan w:val="2"/>
            <w:vAlign w:val="bottom"/>
          </w:tcPr>
          <w:p w:rsidR="007B1BA4" w:rsidRPr="008914D7" w:rsidRDefault="007B1BA4" w:rsidP="006F74C6">
            <w:pPr>
              <w:pStyle w:val="TabIntestaSup"/>
            </w:pPr>
            <w:r w:rsidRPr="008914D7">
              <w:t>Ocse</w:t>
            </w:r>
          </w:p>
        </w:tc>
        <w:tc>
          <w:tcPr>
            <w:tcW w:w="1361" w:type="dxa"/>
            <w:gridSpan w:val="2"/>
            <w:vAlign w:val="bottom"/>
          </w:tcPr>
          <w:p w:rsidR="007B1BA4" w:rsidRPr="008914D7" w:rsidRDefault="007B1BA4" w:rsidP="006F74C6">
            <w:pPr>
              <w:pStyle w:val="TabIntestaSup"/>
            </w:pPr>
            <w:r>
              <w:t>Banca d’Italia</w:t>
            </w:r>
          </w:p>
        </w:tc>
        <w:tc>
          <w:tcPr>
            <w:tcW w:w="1363" w:type="dxa"/>
            <w:gridSpan w:val="2"/>
            <w:vAlign w:val="bottom"/>
          </w:tcPr>
          <w:p w:rsidR="007B1BA4" w:rsidRPr="008914D7" w:rsidRDefault="007B1BA4" w:rsidP="006F74C6">
            <w:pPr>
              <w:pStyle w:val="TabIntestaSup"/>
            </w:pPr>
            <w:r w:rsidRPr="008914D7">
              <w:t>Prometeia</w:t>
            </w:r>
          </w:p>
        </w:tc>
      </w:tr>
      <w:tr w:rsidR="007B1BA4" w:rsidTr="006F74C6">
        <w:tblPrEx>
          <w:tblBorders>
            <w:bottom w:val="none" w:sz="0" w:space="0" w:color="auto"/>
          </w:tblBorders>
        </w:tblPrEx>
        <w:trPr>
          <w:cantSplit/>
        </w:trPr>
        <w:tc>
          <w:tcPr>
            <w:tcW w:w="2552" w:type="dxa"/>
            <w:tcBorders>
              <w:bottom w:val="single" w:sz="6" w:space="0" w:color="800000"/>
            </w:tcBorders>
          </w:tcPr>
          <w:p w:rsidR="007B1BA4" w:rsidRDefault="007B1BA4" w:rsidP="006F74C6">
            <w:pPr>
              <w:pStyle w:val="TabIntestaInf"/>
            </w:pPr>
          </w:p>
        </w:tc>
        <w:tc>
          <w:tcPr>
            <w:tcW w:w="1361" w:type="dxa"/>
            <w:gridSpan w:val="2"/>
            <w:tcBorders>
              <w:bottom w:val="single" w:sz="6" w:space="0" w:color="800000"/>
            </w:tcBorders>
            <w:vAlign w:val="bottom"/>
          </w:tcPr>
          <w:p w:rsidR="007B1BA4" w:rsidRPr="00D76DB6" w:rsidRDefault="007B1BA4" w:rsidP="006F74C6">
            <w:pPr>
              <w:pStyle w:val="TabIntestaInf"/>
            </w:pPr>
            <w:r w:rsidRPr="00D76DB6">
              <w:t>Istat</w:t>
            </w:r>
          </w:p>
        </w:tc>
        <w:tc>
          <w:tcPr>
            <w:tcW w:w="1361" w:type="dxa"/>
            <w:gridSpan w:val="2"/>
            <w:tcBorders>
              <w:bottom w:val="single" w:sz="6" w:space="0" w:color="800000"/>
            </w:tcBorders>
            <w:vAlign w:val="bottom"/>
          </w:tcPr>
          <w:p w:rsidR="007B1BA4" w:rsidRPr="00D76DB6" w:rsidRDefault="007B1BA4" w:rsidP="006F74C6">
            <w:pPr>
              <w:pStyle w:val="TabIntestaInf"/>
            </w:pPr>
            <w:r>
              <w:t>ott-18</w:t>
            </w:r>
          </w:p>
        </w:tc>
        <w:tc>
          <w:tcPr>
            <w:tcW w:w="1361" w:type="dxa"/>
            <w:gridSpan w:val="2"/>
            <w:tcBorders>
              <w:bottom w:val="single" w:sz="6" w:space="0" w:color="800000"/>
            </w:tcBorders>
            <w:vAlign w:val="bottom"/>
          </w:tcPr>
          <w:p w:rsidR="007B1BA4" w:rsidRPr="008914D7" w:rsidRDefault="007B1BA4" w:rsidP="006F74C6">
            <w:pPr>
              <w:pStyle w:val="TabIntestaInf"/>
            </w:pPr>
            <w:r w:rsidRPr="008914D7">
              <w:t>nov-1</w:t>
            </w:r>
            <w:r>
              <w:t>8 [1]</w:t>
            </w:r>
          </w:p>
        </w:tc>
        <w:tc>
          <w:tcPr>
            <w:tcW w:w="1361" w:type="dxa"/>
            <w:gridSpan w:val="2"/>
            <w:tcBorders>
              <w:bottom w:val="single" w:sz="6" w:space="0" w:color="800000"/>
            </w:tcBorders>
            <w:vAlign w:val="bottom"/>
          </w:tcPr>
          <w:p w:rsidR="007B1BA4" w:rsidRPr="008914D7" w:rsidRDefault="007B1BA4" w:rsidP="006F74C6">
            <w:pPr>
              <w:pStyle w:val="TabIntestaInf"/>
            </w:pPr>
            <w:r>
              <w:t>gen</w:t>
            </w:r>
            <w:r w:rsidRPr="008914D7">
              <w:t>-1</w:t>
            </w:r>
            <w:r>
              <w:t>9 (1)</w:t>
            </w:r>
          </w:p>
        </w:tc>
        <w:tc>
          <w:tcPr>
            <w:tcW w:w="1363" w:type="dxa"/>
            <w:gridSpan w:val="2"/>
            <w:tcBorders>
              <w:bottom w:val="single" w:sz="6" w:space="0" w:color="800000"/>
            </w:tcBorders>
            <w:vAlign w:val="bottom"/>
          </w:tcPr>
          <w:p w:rsidR="007B1BA4" w:rsidRPr="008914D7" w:rsidRDefault="007B1BA4" w:rsidP="00191A72">
            <w:pPr>
              <w:pStyle w:val="TabIntestaInf"/>
            </w:pPr>
            <w:r>
              <w:t>feb</w:t>
            </w:r>
            <w:r w:rsidRPr="008914D7">
              <w:t>-1</w:t>
            </w:r>
            <w:r w:rsidR="00191A72">
              <w:t>9</w:t>
            </w:r>
            <w:bookmarkStart w:id="0" w:name="_GoBack"/>
            <w:bookmarkEnd w:id="0"/>
            <w:r>
              <w:t xml:space="preserve"> [1]</w:t>
            </w:r>
          </w:p>
        </w:tc>
      </w:tr>
      <w:tr w:rsidR="007B1BA4" w:rsidTr="006F74C6">
        <w:tblPrEx>
          <w:tblBorders>
            <w:bottom w:val="none" w:sz="0" w:space="0" w:color="auto"/>
          </w:tblBorders>
        </w:tblPrEx>
        <w:trPr>
          <w:cantSplit/>
          <w:trHeight w:hRule="exact" w:val="113"/>
        </w:trPr>
        <w:tc>
          <w:tcPr>
            <w:tcW w:w="2552" w:type="dxa"/>
            <w:tcBorders>
              <w:top w:val="single" w:sz="6" w:space="0" w:color="800000"/>
            </w:tcBorders>
          </w:tcPr>
          <w:p w:rsidR="007B1BA4" w:rsidRDefault="007B1BA4" w:rsidP="006F74C6">
            <w:pPr>
              <w:pStyle w:val="TabEtichette"/>
              <w:rPr>
                <w:rFonts w:eastAsia="Arial Unicode MS"/>
              </w:rPr>
            </w:pPr>
          </w:p>
        </w:tc>
        <w:tc>
          <w:tcPr>
            <w:tcW w:w="1021" w:type="dxa"/>
            <w:tcBorders>
              <w:top w:val="single" w:sz="6" w:space="0" w:color="800000"/>
            </w:tcBorders>
          </w:tcPr>
          <w:p w:rsidR="007B1BA4" w:rsidRPr="00602F8E" w:rsidRDefault="007B1BA4" w:rsidP="006F74C6">
            <w:pPr>
              <w:pStyle w:val="TabNumeri"/>
            </w:pPr>
          </w:p>
        </w:tc>
        <w:tc>
          <w:tcPr>
            <w:tcW w:w="340" w:type="dxa"/>
            <w:tcBorders>
              <w:top w:val="single" w:sz="6" w:space="0" w:color="800000"/>
            </w:tcBorders>
          </w:tcPr>
          <w:p w:rsidR="007B1BA4" w:rsidRPr="00602F8E" w:rsidRDefault="007B1BA4" w:rsidP="006F74C6">
            <w:pPr>
              <w:pStyle w:val="TabNumeri"/>
            </w:pPr>
          </w:p>
        </w:tc>
        <w:tc>
          <w:tcPr>
            <w:tcW w:w="1021" w:type="dxa"/>
            <w:tcBorders>
              <w:top w:val="single" w:sz="6" w:space="0" w:color="800000"/>
            </w:tcBorders>
          </w:tcPr>
          <w:p w:rsidR="007B1BA4" w:rsidRPr="00602F8E" w:rsidRDefault="007B1BA4" w:rsidP="006F74C6">
            <w:pPr>
              <w:pStyle w:val="TabNumeri"/>
            </w:pPr>
          </w:p>
        </w:tc>
        <w:tc>
          <w:tcPr>
            <w:tcW w:w="340" w:type="dxa"/>
            <w:tcBorders>
              <w:top w:val="single" w:sz="6" w:space="0" w:color="800000"/>
            </w:tcBorders>
          </w:tcPr>
          <w:p w:rsidR="007B1BA4" w:rsidRPr="00602F8E" w:rsidRDefault="007B1BA4" w:rsidP="006F74C6">
            <w:pPr>
              <w:pStyle w:val="TabNumeri"/>
            </w:pPr>
          </w:p>
        </w:tc>
        <w:tc>
          <w:tcPr>
            <w:tcW w:w="1021" w:type="dxa"/>
            <w:tcBorders>
              <w:top w:val="single" w:sz="6" w:space="0" w:color="800000"/>
            </w:tcBorders>
          </w:tcPr>
          <w:p w:rsidR="007B1BA4" w:rsidRPr="00602F8E" w:rsidRDefault="007B1BA4" w:rsidP="006F74C6">
            <w:pPr>
              <w:pStyle w:val="TabNumeri"/>
            </w:pPr>
          </w:p>
        </w:tc>
        <w:tc>
          <w:tcPr>
            <w:tcW w:w="340" w:type="dxa"/>
            <w:tcBorders>
              <w:top w:val="single" w:sz="6" w:space="0" w:color="800000"/>
            </w:tcBorders>
          </w:tcPr>
          <w:p w:rsidR="007B1BA4" w:rsidRPr="00602F8E" w:rsidRDefault="007B1BA4" w:rsidP="006F74C6">
            <w:pPr>
              <w:pStyle w:val="TabNumeri"/>
            </w:pPr>
          </w:p>
        </w:tc>
        <w:tc>
          <w:tcPr>
            <w:tcW w:w="1021" w:type="dxa"/>
            <w:tcBorders>
              <w:top w:val="single" w:sz="6" w:space="0" w:color="800000"/>
            </w:tcBorders>
          </w:tcPr>
          <w:p w:rsidR="007B1BA4" w:rsidRPr="00602F8E" w:rsidRDefault="007B1BA4" w:rsidP="006F74C6">
            <w:pPr>
              <w:pStyle w:val="TabNumeri"/>
            </w:pPr>
          </w:p>
        </w:tc>
        <w:tc>
          <w:tcPr>
            <w:tcW w:w="340" w:type="dxa"/>
            <w:tcBorders>
              <w:top w:val="single" w:sz="6" w:space="0" w:color="800000"/>
            </w:tcBorders>
          </w:tcPr>
          <w:p w:rsidR="007B1BA4" w:rsidRPr="00602F8E" w:rsidRDefault="007B1BA4" w:rsidP="006F74C6">
            <w:pPr>
              <w:pStyle w:val="TabNumeri"/>
            </w:pPr>
          </w:p>
        </w:tc>
        <w:tc>
          <w:tcPr>
            <w:tcW w:w="1021" w:type="dxa"/>
            <w:tcBorders>
              <w:top w:val="single" w:sz="6" w:space="0" w:color="800000"/>
            </w:tcBorders>
          </w:tcPr>
          <w:p w:rsidR="007B1BA4" w:rsidRPr="00602F8E" w:rsidRDefault="007B1BA4" w:rsidP="006F74C6">
            <w:pPr>
              <w:pStyle w:val="TabNumeri"/>
            </w:pPr>
          </w:p>
        </w:tc>
        <w:tc>
          <w:tcPr>
            <w:tcW w:w="342" w:type="dxa"/>
            <w:tcBorders>
              <w:top w:val="single" w:sz="6" w:space="0" w:color="800000"/>
            </w:tcBorders>
          </w:tcPr>
          <w:p w:rsidR="007B1BA4" w:rsidRPr="00602F8E" w:rsidRDefault="007B1BA4" w:rsidP="006F74C6">
            <w:pPr>
              <w:pStyle w:val="TabNumeri"/>
            </w:pPr>
          </w:p>
        </w:tc>
      </w:tr>
      <w:tr w:rsidR="007B1BA4" w:rsidTr="006F74C6">
        <w:tblPrEx>
          <w:tblBorders>
            <w:bottom w:val="none" w:sz="0" w:space="0" w:color="auto"/>
          </w:tblBorders>
        </w:tblPrEx>
        <w:trPr>
          <w:cantSplit/>
          <w:trHeight w:val="255"/>
        </w:trPr>
        <w:tc>
          <w:tcPr>
            <w:tcW w:w="2552" w:type="dxa"/>
          </w:tcPr>
          <w:p w:rsidR="007B1BA4" w:rsidRPr="00233F5C" w:rsidRDefault="007B1BA4" w:rsidP="006F74C6">
            <w:pPr>
              <w:pStyle w:val="TabEtichette"/>
            </w:pPr>
            <w:r w:rsidRPr="00233F5C">
              <w:t>Prodotto interno lordo</w:t>
            </w:r>
          </w:p>
        </w:tc>
        <w:tc>
          <w:tcPr>
            <w:tcW w:w="1021" w:type="dxa"/>
          </w:tcPr>
          <w:p w:rsidR="007B1BA4" w:rsidRPr="007373C3" w:rsidRDefault="007B1BA4" w:rsidP="006F74C6">
            <w:pPr>
              <w:pStyle w:val="TabNumeri"/>
            </w:pPr>
            <w:r>
              <w:t>0,9</w:t>
            </w:r>
          </w:p>
        </w:tc>
        <w:tc>
          <w:tcPr>
            <w:tcW w:w="340" w:type="dxa"/>
          </w:tcPr>
          <w:p w:rsidR="007B1BA4" w:rsidRPr="008A2BE0" w:rsidRDefault="007B1BA4" w:rsidP="006F74C6">
            <w:pPr>
              <w:pStyle w:val="TabNumeri"/>
            </w:pPr>
          </w:p>
        </w:tc>
        <w:tc>
          <w:tcPr>
            <w:tcW w:w="1021" w:type="dxa"/>
          </w:tcPr>
          <w:p w:rsidR="007B1BA4" w:rsidRPr="00811B57" w:rsidRDefault="007B1BA4" w:rsidP="006F74C6">
            <w:pPr>
              <w:pStyle w:val="TabNumeri"/>
            </w:pPr>
            <w:r w:rsidRPr="00811B57">
              <w:t>1,0</w:t>
            </w:r>
          </w:p>
        </w:tc>
        <w:tc>
          <w:tcPr>
            <w:tcW w:w="340" w:type="dxa"/>
          </w:tcPr>
          <w:p w:rsidR="007B1BA4" w:rsidRPr="00811B57" w:rsidRDefault="007B1BA4" w:rsidP="006F74C6">
            <w:pPr>
              <w:pStyle w:val="TabNumeri"/>
            </w:pPr>
          </w:p>
        </w:tc>
        <w:tc>
          <w:tcPr>
            <w:tcW w:w="1021" w:type="dxa"/>
          </w:tcPr>
          <w:p w:rsidR="007B1BA4" w:rsidRPr="00A319C0" w:rsidRDefault="007B1BA4" w:rsidP="006F74C6">
            <w:pPr>
              <w:pStyle w:val="TabNumeri"/>
            </w:pPr>
            <w:r w:rsidRPr="00A319C0">
              <w:t>0,9</w:t>
            </w:r>
          </w:p>
        </w:tc>
        <w:tc>
          <w:tcPr>
            <w:tcW w:w="340" w:type="dxa"/>
          </w:tcPr>
          <w:p w:rsidR="007B1BA4" w:rsidRPr="00A319C0" w:rsidRDefault="007B1BA4" w:rsidP="006F74C6">
            <w:pPr>
              <w:pStyle w:val="TabNumeri"/>
            </w:pPr>
          </w:p>
        </w:tc>
        <w:tc>
          <w:tcPr>
            <w:tcW w:w="1021" w:type="dxa"/>
          </w:tcPr>
          <w:p w:rsidR="007B1BA4" w:rsidRPr="00D32E0A" w:rsidRDefault="007B1BA4" w:rsidP="006F74C6">
            <w:pPr>
              <w:pStyle w:val="TabNumeri"/>
            </w:pPr>
            <w:r>
              <w:t>0,6</w:t>
            </w:r>
          </w:p>
        </w:tc>
        <w:tc>
          <w:tcPr>
            <w:tcW w:w="340" w:type="dxa"/>
          </w:tcPr>
          <w:p w:rsidR="007B1BA4" w:rsidRPr="00D32E0A" w:rsidRDefault="007B1BA4" w:rsidP="006F74C6">
            <w:pPr>
              <w:pStyle w:val="TabNumeri"/>
            </w:pPr>
          </w:p>
        </w:tc>
        <w:tc>
          <w:tcPr>
            <w:tcW w:w="1021" w:type="dxa"/>
          </w:tcPr>
          <w:p w:rsidR="007B1BA4" w:rsidRPr="00EE2A60" w:rsidRDefault="007B1BA4" w:rsidP="006F74C6">
            <w:pPr>
              <w:pStyle w:val="TabNumeri"/>
            </w:pPr>
            <w:r w:rsidRPr="00EE2A60">
              <w:t>0,1</w:t>
            </w:r>
          </w:p>
        </w:tc>
        <w:tc>
          <w:tcPr>
            <w:tcW w:w="342" w:type="dxa"/>
          </w:tcPr>
          <w:p w:rsidR="007B1BA4" w:rsidRPr="00EE2A60" w:rsidRDefault="007B1BA4" w:rsidP="006F74C6">
            <w:pPr>
              <w:pStyle w:val="TabNumeri"/>
            </w:pPr>
            <w:r w:rsidRPr="00EE2A60">
              <w:t>[7]</w:t>
            </w:r>
          </w:p>
        </w:tc>
      </w:tr>
      <w:tr w:rsidR="007B1BA4" w:rsidTr="006F74C6">
        <w:tblPrEx>
          <w:tblBorders>
            <w:bottom w:val="none" w:sz="0" w:space="0" w:color="auto"/>
          </w:tblBorders>
        </w:tblPrEx>
        <w:trPr>
          <w:cantSplit/>
          <w:trHeight w:val="255"/>
        </w:trPr>
        <w:tc>
          <w:tcPr>
            <w:tcW w:w="2552" w:type="dxa"/>
            <w:shd w:val="clear" w:color="auto" w:fill="EAF1DD" w:themeFill="accent3" w:themeFillTint="33"/>
          </w:tcPr>
          <w:p w:rsidR="007B1BA4" w:rsidRPr="00233F5C" w:rsidRDefault="007B1BA4" w:rsidP="006F74C6">
            <w:pPr>
              <w:pStyle w:val="TabEtichette"/>
            </w:pPr>
            <w:r w:rsidRPr="00233F5C">
              <w:t>Importazioni</w:t>
            </w:r>
          </w:p>
        </w:tc>
        <w:tc>
          <w:tcPr>
            <w:tcW w:w="1021" w:type="dxa"/>
            <w:shd w:val="clear" w:color="auto" w:fill="EAF1DD" w:themeFill="accent3" w:themeFillTint="33"/>
          </w:tcPr>
          <w:p w:rsidR="007B1BA4" w:rsidRPr="00083085" w:rsidRDefault="007B1BA4" w:rsidP="006F74C6">
            <w:pPr>
              <w:pStyle w:val="TabNumeri"/>
            </w:pPr>
            <w:r>
              <w:t>2,3</w:t>
            </w:r>
          </w:p>
        </w:tc>
        <w:tc>
          <w:tcPr>
            <w:tcW w:w="340" w:type="dxa"/>
            <w:shd w:val="clear" w:color="auto" w:fill="EAF1DD" w:themeFill="accent3" w:themeFillTint="33"/>
          </w:tcPr>
          <w:p w:rsidR="007B1BA4" w:rsidRPr="008A2BE0" w:rsidRDefault="007B1BA4" w:rsidP="006F74C6">
            <w:pPr>
              <w:pStyle w:val="TabNumeri"/>
            </w:pPr>
          </w:p>
        </w:tc>
        <w:tc>
          <w:tcPr>
            <w:tcW w:w="1021" w:type="dxa"/>
            <w:shd w:val="clear" w:color="auto" w:fill="EAF1DD" w:themeFill="accent3" w:themeFillTint="33"/>
          </w:tcPr>
          <w:p w:rsidR="007B1BA4" w:rsidRPr="00811B57" w:rsidRDefault="007B1BA4" w:rsidP="006F74C6">
            <w:pPr>
              <w:pStyle w:val="TabNumeri"/>
            </w:pPr>
            <w:r w:rsidRPr="00811B57">
              <w:t>3,0</w:t>
            </w:r>
          </w:p>
        </w:tc>
        <w:tc>
          <w:tcPr>
            <w:tcW w:w="340" w:type="dxa"/>
            <w:shd w:val="clear" w:color="auto" w:fill="EAF1DD" w:themeFill="accent3" w:themeFillTint="33"/>
          </w:tcPr>
          <w:p w:rsidR="007B1BA4" w:rsidRPr="00811B57" w:rsidRDefault="007B1BA4" w:rsidP="006F74C6">
            <w:pPr>
              <w:pStyle w:val="TabNumeri"/>
            </w:pPr>
          </w:p>
        </w:tc>
        <w:tc>
          <w:tcPr>
            <w:tcW w:w="1021" w:type="dxa"/>
            <w:shd w:val="clear" w:color="auto" w:fill="EAF1DD" w:themeFill="accent3" w:themeFillTint="33"/>
          </w:tcPr>
          <w:p w:rsidR="007B1BA4" w:rsidRPr="00A319C0" w:rsidRDefault="007B1BA4" w:rsidP="006F74C6">
            <w:pPr>
              <w:pStyle w:val="TabNumeri"/>
            </w:pPr>
            <w:r w:rsidRPr="00A319C0">
              <w:t>3,5</w:t>
            </w:r>
          </w:p>
        </w:tc>
        <w:tc>
          <w:tcPr>
            <w:tcW w:w="340" w:type="dxa"/>
            <w:shd w:val="clear" w:color="auto" w:fill="EAF1DD" w:themeFill="accent3" w:themeFillTint="33"/>
          </w:tcPr>
          <w:p w:rsidR="007B1BA4" w:rsidRPr="00A319C0" w:rsidRDefault="007B1BA4" w:rsidP="006F74C6">
            <w:pPr>
              <w:pStyle w:val="TabNumeri"/>
            </w:pPr>
          </w:p>
        </w:tc>
        <w:tc>
          <w:tcPr>
            <w:tcW w:w="1021" w:type="dxa"/>
            <w:shd w:val="clear" w:color="auto" w:fill="EAF1DD" w:themeFill="accent3" w:themeFillTint="33"/>
          </w:tcPr>
          <w:p w:rsidR="007B1BA4" w:rsidRPr="00D32E0A" w:rsidRDefault="007B1BA4" w:rsidP="006F74C6">
            <w:pPr>
              <w:pStyle w:val="TabNumeri"/>
            </w:pPr>
            <w:r>
              <w:t>2,8</w:t>
            </w:r>
          </w:p>
        </w:tc>
        <w:tc>
          <w:tcPr>
            <w:tcW w:w="340" w:type="dxa"/>
            <w:shd w:val="clear" w:color="auto" w:fill="EAF1DD" w:themeFill="accent3" w:themeFillTint="33"/>
          </w:tcPr>
          <w:p w:rsidR="007B1BA4" w:rsidRPr="00D32E0A" w:rsidRDefault="007B1BA4" w:rsidP="006F74C6">
            <w:pPr>
              <w:pStyle w:val="TabNumeri"/>
            </w:pPr>
          </w:p>
        </w:tc>
        <w:tc>
          <w:tcPr>
            <w:tcW w:w="1021" w:type="dxa"/>
            <w:shd w:val="clear" w:color="auto" w:fill="EAF1DD" w:themeFill="accent3" w:themeFillTint="33"/>
          </w:tcPr>
          <w:p w:rsidR="007B1BA4" w:rsidRPr="00EE2A60" w:rsidRDefault="007B1BA4" w:rsidP="006F74C6">
            <w:pPr>
              <w:pStyle w:val="TabNumeri"/>
            </w:pPr>
            <w:r w:rsidRPr="00EE2A60">
              <w:t>1,3</w:t>
            </w:r>
          </w:p>
        </w:tc>
        <w:tc>
          <w:tcPr>
            <w:tcW w:w="342" w:type="dxa"/>
            <w:shd w:val="clear" w:color="auto" w:fill="EAF1DD" w:themeFill="accent3" w:themeFillTint="33"/>
          </w:tcPr>
          <w:p w:rsidR="007B1BA4" w:rsidRPr="00EE2A60" w:rsidRDefault="007B1BA4" w:rsidP="006F74C6">
            <w:pPr>
              <w:pStyle w:val="TabNumeri"/>
            </w:pPr>
            <w:r w:rsidRPr="00EE2A60">
              <w:t>[7]</w:t>
            </w:r>
          </w:p>
        </w:tc>
      </w:tr>
      <w:tr w:rsidR="007B1BA4" w:rsidTr="006F74C6">
        <w:tblPrEx>
          <w:tblBorders>
            <w:bottom w:val="none" w:sz="0" w:space="0" w:color="auto"/>
          </w:tblBorders>
        </w:tblPrEx>
        <w:trPr>
          <w:cantSplit/>
          <w:trHeight w:val="255"/>
        </w:trPr>
        <w:tc>
          <w:tcPr>
            <w:tcW w:w="2552" w:type="dxa"/>
          </w:tcPr>
          <w:p w:rsidR="007B1BA4" w:rsidRPr="00233F5C" w:rsidRDefault="007B1BA4" w:rsidP="006F74C6">
            <w:pPr>
              <w:pStyle w:val="TabEtichette"/>
            </w:pPr>
            <w:r w:rsidRPr="00233F5C">
              <w:t>Esportazioni</w:t>
            </w:r>
          </w:p>
        </w:tc>
        <w:tc>
          <w:tcPr>
            <w:tcW w:w="1021" w:type="dxa"/>
          </w:tcPr>
          <w:p w:rsidR="007B1BA4" w:rsidRPr="00083085" w:rsidRDefault="007B1BA4" w:rsidP="006F74C6">
            <w:pPr>
              <w:pStyle w:val="TabNumeri"/>
            </w:pPr>
            <w:r>
              <w:t>1,9</w:t>
            </w:r>
          </w:p>
        </w:tc>
        <w:tc>
          <w:tcPr>
            <w:tcW w:w="340" w:type="dxa"/>
          </w:tcPr>
          <w:p w:rsidR="007B1BA4" w:rsidRPr="008A2BE0" w:rsidRDefault="007B1BA4" w:rsidP="006F74C6">
            <w:pPr>
              <w:pStyle w:val="TabNumeri"/>
            </w:pPr>
          </w:p>
        </w:tc>
        <w:tc>
          <w:tcPr>
            <w:tcW w:w="1021" w:type="dxa"/>
          </w:tcPr>
          <w:p w:rsidR="007B1BA4" w:rsidRPr="00811B57" w:rsidRDefault="007B1BA4" w:rsidP="006F74C6">
            <w:pPr>
              <w:pStyle w:val="TabNumeri"/>
            </w:pPr>
            <w:r w:rsidRPr="00811B57">
              <w:t>2,4</w:t>
            </w:r>
          </w:p>
        </w:tc>
        <w:tc>
          <w:tcPr>
            <w:tcW w:w="340" w:type="dxa"/>
          </w:tcPr>
          <w:p w:rsidR="007B1BA4" w:rsidRPr="00811B57" w:rsidRDefault="007B1BA4" w:rsidP="006F74C6">
            <w:pPr>
              <w:pStyle w:val="TabNumeri"/>
            </w:pPr>
          </w:p>
        </w:tc>
        <w:tc>
          <w:tcPr>
            <w:tcW w:w="1021" w:type="dxa"/>
          </w:tcPr>
          <w:p w:rsidR="007B1BA4" w:rsidRPr="00A319C0" w:rsidRDefault="007B1BA4" w:rsidP="006F74C6">
            <w:pPr>
              <w:pStyle w:val="TabNumeri"/>
            </w:pPr>
            <w:r w:rsidRPr="00A319C0">
              <w:t>2,7</w:t>
            </w:r>
          </w:p>
        </w:tc>
        <w:tc>
          <w:tcPr>
            <w:tcW w:w="340" w:type="dxa"/>
          </w:tcPr>
          <w:p w:rsidR="007B1BA4" w:rsidRPr="00A319C0" w:rsidRDefault="007B1BA4" w:rsidP="006F74C6">
            <w:pPr>
              <w:pStyle w:val="TabNumeri"/>
            </w:pPr>
          </w:p>
        </w:tc>
        <w:tc>
          <w:tcPr>
            <w:tcW w:w="1021" w:type="dxa"/>
          </w:tcPr>
          <w:p w:rsidR="007B1BA4" w:rsidRPr="00D32E0A" w:rsidRDefault="007B1BA4" w:rsidP="006F74C6">
            <w:pPr>
              <w:pStyle w:val="TabNumeri"/>
            </w:pPr>
            <w:r>
              <w:t>3,0</w:t>
            </w:r>
          </w:p>
        </w:tc>
        <w:tc>
          <w:tcPr>
            <w:tcW w:w="340" w:type="dxa"/>
          </w:tcPr>
          <w:p w:rsidR="007B1BA4" w:rsidRPr="00D32E0A" w:rsidRDefault="007B1BA4" w:rsidP="006F74C6">
            <w:pPr>
              <w:pStyle w:val="TabNumeri"/>
            </w:pPr>
          </w:p>
        </w:tc>
        <w:tc>
          <w:tcPr>
            <w:tcW w:w="1021" w:type="dxa"/>
          </w:tcPr>
          <w:p w:rsidR="007B1BA4" w:rsidRPr="00EE2A60" w:rsidRDefault="007B1BA4" w:rsidP="006F74C6">
            <w:pPr>
              <w:pStyle w:val="TabNumeri"/>
            </w:pPr>
            <w:r w:rsidRPr="00EE2A60">
              <w:t>2,2</w:t>
            </w:r>
          </w:p>
        </w:tc>
        <w:tc>
          <w:tcPr>
            <w:tcW w:w="342" w:type="dxa"/>
          </w:tcPr>
          <w:p w:rsidR="007B1BA4" w:rsidRPr="00EE2A60" w:rsidRDefault="007B1BA4" w:rsidP="006F74C6">
            <w:pPr>
              <w:pStyle w:val="TabNumeri"/>
            </w:pPr>
            <w:r w:rsidRPr="00EE2A60">
              <w:t>[7]</w:t>
            </w:r>
          </w:p>
        </w:tc>
      </w:tr>
      <w:tr w:rsidR="007B1BA4" w:rsidTr="006F74C6">
        <w:tblPrEx>
          <w:tblBorders>
            <w:bottom w:val="none" w:sz="0" w:space="0" w:color="auto"/>
          </w:tblBorders>
        </w:tblPrEx>
        <w:trPr>
          <w:cantSplit/>
          <w:trHeight w:val="255"/>
        </w:trPr>
        <w:tc>
          <w:tcPr>
            <w:tcW w:w="2552" w:type="dxa"/>
            <w:shd w:val="clear" w:color="auto" w:fill="EAF1DD" w:themeFill="accent3" w:themeFillTint="33"/>
          </w:tcPr>
          <w:p w:rsidR="007B1BA4" w:rsidRPr="00233F5C" w:rsidRDefault="007B1BA4" w:rsidP="006F74C6">
            <w:pPr>
              <w:pStyle w:val="TabEtichette"/>
            </w:pPr>
            <w:r w:rsidRPr="00233F5C">
              <w:t>Domanda interna</w:t>
            </w:r>
          </w:p>
        </w:tc>
        <w:tc>
          <w:tcPr>
            <w:tcW w:w="1021" w:type="dxa"/>
            <w:shd w:val="clear" w:color="auto" w:fill="EAF1DD" w:themeFill="accent3" w:themeFillTint="33"/>
          </w:tcPr>
          <w:p w:rsidR="007B1BA4" w:rsidRPr="00083085" w:rsidRDefault="007B1BA4" w:rsidP="006F74C6">
            <w:pPr>
              <w:pStyle w:val="TabNumeri"/>
            </w:pPr>
            <w:proofErr w:type="spellStart"/>
            <w:r>
              <w:t>n.d.</w:t>
            </w:r>
            <w:proofErr w:type="spellEnd"/>
          </w:p>
        </w:tc>
        <w:tc>
          <w:tcPr>
            <w:tcW w:w="340" w:type="dxa"/>
            <w:shd w:val="clear" w:color="auto" w:fill="EAF1DD" w:themeFill="accent3" w:themeFillTint="33"/>
          </w:tcPr>
          <w:p w:rsidR="007B1BA4" w:rsidRPr="008A2BE0" w:rsidRDefault="007B1BA4" w:rsidP="006F74C6">
            <w:pPr>
              <w:pStyle w:val="TabNumeri"/>
            </w:pPr>
          </w:p>
        </w:tc>
        <w:tc>
          <w:tcPr>
            <w:tcW w:w="1021" w:type="dxa"/>
            <w:shd w:val="clear" w:color="auto" w:fill="EAF1DD" w:themeFill="accent3" w:themeFillTint="33"/>
          </w:tcPr>
          <w:p w:rsidR="007B1BA4" w:rsidRPr="00811B57" w:rsidRDefault="007B1BA4" w:rsidP="006F74C6">
            <w:pPr>
              <w:pStyle w:val="TabNumeri"/>
            </w:pPr>
            <w:r w:rsidRPr="00811B57">
              <w:t>1,2</w:t>
            </w:r>
          </w:p>
        </w:tc>
        <w:tc>
          <w:tcPr>
            <w:tcW w:w="340" w:type="dxa"/>
            <w:shd w:val="clear" w:color="auto" w:fill="EAF1DD" w:themeFill="accent3" w:themeFillTint="33"/>
          </w:tcPr>
          <w:p w:rsidR="007B1BA4" w:rsidRPr="00811B57" w:rsidRDefault="007B1BA4" w:rsidP="006F74C6">
            <w:pPr>
              <w:pStyle w:val="TabNumeri"/>
            </w:pPr>
          </w:p>
        </w:tc>
        <w:tc>
          <w:tcPr>
            <w:tcW w:w="1021" w:type="dxa"/>
            <w:shd w:val="clear" w:color="auto" w:fill="EAF1DD" w:themeFill="accent3" w:themeFillTint="33"/>
          </w:tcPr>
          <w:p w:rsidR="007B1BA4" w:rsidRPr="00A319C0" w:rsidRDefault="007B1BA4" w:rsidP="006F74C6">
            <w:pPr>
              <w:pStyle w:val="TabNumeri"/>
            </w:pPr>
            <w:r w:rsidRPr="00A319C0">
              <w:t>1,1</w:t>
            </w:r>
          </w:p>
        </w:tc>
        <w:tc>
          <w:tcPr>
            <w:tcW w:w="340" w:type="dxa"/>
            <w:shd w:val="clear" w:color="auto" w:fill="EAF1DD" w:themeFill="accent3" w:themeFillTint="33"/>
          </w:tcPr>
          <w:p w:rsidR="007B1BA4" w:rsidRPr="00A319C0" w:rsidRDefault="007B1BA4" w:rsidP="006F74C6">
            <w:pPr>
              <w:pStyle w:val="TabNumeri"/>
            </w:pPr>
          </w:p>
        </w:tc>
        <w:tc>
          <w:tcPr>
            <w:tcW w:w="1021" w:type="dxa"/>
            <w:shd w:val="clear" w:color="auto" w:fill="EAF1DD" w:themeFill="accent3" w:themeFillTint="33"/>
          </w:tcPr>
          <w:p w:rsidR="007B1BA4" w:rsidRPr="00D32E0A" w:rsidRDefault="007B1BA4" w:rsidP="006F74C6">
            <w:pPr>
              <w:pStyle w:val="TabNumeri"/>
            </w:pPr>
            <w:proofErr w:type="spellStart"/>
            <w:r>
              <w:t>n.d.</w:t>
            </w:r>
            <w:proofErr w:type="spellEnd"/>
          </w:p>
        </w:tc>
        <w:tc>
          <w:tcPr>
            <w:tcW w:w="340" w:type="dxa"/>
            <w:shd w:val="clear" w:color="auto" w:fill="EAF1DD" w:themeFill="accent3" w:themeFillTint="33"/>
          </w:tcPr>
          <w:p w:rsidR="007B1BA4" w:rsidRPr="00D32E0A" w:rsidRDefault="007B1BA4" w:rsidP="006F74C6">
            <w:pPr>
              <w:pStyle w:val="TabNumeri"/>
            </w:pPr>
          </w:p>
        </w:tc>
        <w:tc>
          <w:tcPr>
            <w:tcW w:w="1021" w:type="dxa"/>
            <w:shd w:val="clear" w:color="auto" w:fill="EAF1DD" w:themeFill="accent3" w:themeFillTint="33"/>
          </w:tcPr>
          <w:p w:rsidR="007B1BA4" w:rsidRPr="00EE2A60" w:rsidRDefault="007B1BA4" w:rsidP="006F74C6">
            <w:pPr>
              <w:pStyle w:val="TabNumeri"/>
            </w:pPr>
            <w:r w:rsidRPr="00EE2A60">
              <w:t>-0,3</w:t>
            </w:r>
          </w:p>
        </w:tc>
        <w:tc>
          <w:tcPr>
            <w:tcW w:w="342" w:type="dxa"/>
            <w:shd w:val="clear" w:color="auto" w:fill="EAF1DD" w:themeFill="accent3" w:themeFillTint="33"/>
          </w:tcPr>
          <w:p w:rsidR="007B1BA4" w:rsidRPr="00EE2A60" w:rsidRDefault="007B1BA4" w:rsidP="006F74C6">
            <w:pPr>
              <w:pStyle w:val="TabNumeri"/>
            </w:pPr>
            <w:r w:rsidRPr="00EE2A60">
              <w:t>[7]</w:t>
            </w:r>
          </w:p>
        </w:tc>
      </w:tr>
      <w:tr w:rsidR="007B1BA4" w:rsidTr="006F74C6">
        <w:tblPrEx>
          <w:tblBorders>
            <w:bottom w:val="none" w:sz="0" w:space="0" w:color="auto"/>
          </w:tblBorders>
        </w:tblPrEx>
        <w:trPr>
          <w:cantSplit/>
          <w:trHeight w:val="255"/>
        </w:trPr>
        <w:tc>
          <w:tcPr>
            <w:tcW w:w="2552" w:type="dxa"/>
          </w:tcPr>
          <w:p w:rsidR="007B1BA4" w:rsidRPr="00233F5C" w:rsidRDefault="007B1BA4" w:rsidP="006F74C6">
            <w:pPr>
              <w:pStyle w:val="TabEtichette"/>
            </w:pPr>
            <w:r w:rsidRPr="00233F5C">
              <w:t xml:space="preserve">Consumi </w:t>
            </w:r>
            <w:r>
              <w:t xml:space="preserve">delle </w:t>
            </w:r>
            <w:r w:rsidRPr="00233F5C">
              <w:t>famiglie</w:t>
            </w:r>
          </w:p>
        </w:tc>
        <w:tc>
          <w:tcPr>
            <w:tcW w:w="1021" w:type="dxa"/>
          </w:tcPr>
          <w:p w:rsidR="007B1BA4" w:rsidRPr="00083085" w:rsidRDefault="007B1BA4" w:rsidP="006F74C6">
            <w:pPr>
              <w:pStyle w:val="TabNumeri"/>
            </w:pPr>
            <w:r>
              <w:t>0,6</w:t>
            </w:r>
          </w:p>
        </w:tc>
        <w:tc>
          <w:tcPr>
            <w:tcW w:w="340" w:type="dxa"/>
          </w:tcPr>
          <w:p w:rsidR="007B1BA4" w:rsidRPr="008A2BE0" w:rsidRDefault="007B1BA4" w:rsidP="006F74C6">
            <w:pPr>
              <w:pStyle w:val="TabNumeri"/>
            </w:pPr>
          </w:p>
        </w:tc>
        <w:tc>
          <w:tcPr>
            <w:tcW w:w="1021" w:type="dxa"/>
          </w:tcPr>
          <w:p w:rsidR="007B1BA4" w:rsidRPr="00811B57" w:rsidRDefault="007B1BA4" w:rsidP="006F74C6">
            <w:pPr>
              <w:pStyle w:val="TabNumeri"/>
            </w:pPr>
            <w:r w:rsidRPr="00811B57">
              <w:t>1,2</w:t>
            </w:r>
          </w:p>
        </w:tc>
        <w:tc>
          <w:tcPr>
            <w:tcW w:w="340" w:type="dxa"/>
          </w:tcPr>
          <w:p w:rsidR="007B1BA4" w:rsidRPr="00811B57" w:rsidRDefault="007B1BA4" w:rsidP="006F74C6">
            <w:pPr>
              <w:pStyle w:val="TabNumeri"/>
            </w:pPr>
          </w:p>
        </w:tc>
        <w:tc>
          <w:tcPr>
            <w:tcW w:w="1021" w:type="dxa"/>
          </w:tcPr>
          <w:p w:rsidR="007B1BA4" w:rsidRPr="00A319C0" w:rsidRDefault="007B1BA4" w:rsidP="006F74C6">
            <w:pPr>
              <w:pStyle w:val="TabNumeri"/>
            </w:pPr>
            <w:r w:rsidRPr="00A319C0">
              <w:t>0,7</w:t>
            </w:r>
          </w:p>
        </w:tc>
        <w:tc>
          <w:tcPr>
            <w:tcW w:w="340" w:type="dxa"/>
          </w:tcPr>
          <w:p w:rsidR="007B1BA4" w:rsidRPr="00A319C0" w:rsidRDefault="007B1BA4" w:rsidP="006F74C6">
            <w:pPr>
              <w:pStyle w:val="TabNumeri"/>
            </w:pPr>
          </w:p>
        </w:tc>
        <w:tc>
          <w:tcPr>
            <w:tcW w:w="1021" w:type="dxa"/>
          </w:tcPr>
          <w:p w:rsidR="007B1BA4" w:rsidRPr="00D32E0A" w:rsidRDefault="007B1BA4" w:rsidP="006F74C6">
            <w:pPr>
              <w:pStyle w:val="TabNumeri"/>
            </w:pPr>
            <w:r>
              <w:t>0,6</w:t>
            </w:r>
          </w:p>
        </w:tc>
        <w:tc>
          <w:tcPr>
            <w:tcW w:w="340" w:type="dxa"/>
          </w:tcPr>
          <w:p w:rsidR="007B1BA4" w:rsidRPr="00D32E0A" w:rsidRDefault="007B1BA4" w:rsidP="006F74C6">
            <w:pPr>
              <w:pStyle w:val="TabNumeri"/>
            </w:pPr>
          </w:p>
        </w:tc>
        <w:tc>
          <w:tcPr>
            <w:tcW w:w="1021" w:type="dxa"/>
          </w:tcPr>
          <w:p w:rsidR="007B1BA4" w:rsidRPr="00EE2A60" w:rsidRDefault="007B1BA4" w:rsidP="006F74C6">
            <w:pPr>
              <w:pStyle w:val="TabNumeri"/>
            </w:pPr>
            <w:r w:rsidRPr="00EE2A60">
              <w:t>0,4</w:t>
            </w:r>
          </w:p>
        </w:tc>
        <w:tc>
          <w:tcPr>
            <w:tcW w:w="342" w:type="dxa"/>
          </w:tcPr>
          <w:p w:rsidR="007B1BA4" w:rsidRPr="00EE2A60" w:rsidRDefault="007B1BA4" w:rsidP="006F74C6">
            <w:pPr>
              <w:pStyle w:val="TabNumeri"/>
            </w:pPr>
            <w:r w:rsidRPr="00EE2A60">
              <w:t>[7]</w:t>
            </w:r>
          </w:p>
        </w:tc>
      </w:tr>
      <w:tr w:rsidR="007B1BA4" w:rsidTr="006F74C6">
        <w:tblPrEx>
          <w:tblBorders>
            <w:bottom w:val="none" w:sz="0" w:space="0" w:color="auto"/>
          </w:tblBorders>
        </w:tblPrEx>
        <w:trPr>
          <w:cantSplit/>
          <w:trHeight w:val="255"/>
        </w:trPr>
        <w:tc>
          <w:tcPr>
            <w:tcW w:w="2552" w:type="dxa"/>
            <w:shd w:val="clear" w:color="auto" w:fill="EAF1DD" w:themeFill="accent3" w:themeFillTint="33"/>
          </w:tcPr>
          <w:p w:rsidR="007B1BA4" w:rsidRPr="00233F5C" w:rsidRDefault="007B1BA4" w:rsidP="006F74C6">
            <w:pPr>
              <w:pStyle w:val="TabEtichette"/>
            </w:pPr>
            <w:r w:rsidRPr="00233F5C">
              <w:t>Consumi collettivi</w:t>
            </w:r>
          </w:p>
        </w:tc>
        <w:tc>
          <w:tcPr>
            <w:tcW w:w="1021" w:type="dxa"/>
            <w:shd w:val="clear" w:color="auto" w:fill="EAF1DD" w:themeFill="accent3" w:themeFillTint="33"/>
          </w:tcPr>
          <w:p w:rsidR="007B1BA4" w:rsidRPr="00083085" w:rsidRDefault="007B1BA4" w:rsidP="006F74C6">
            <w:pPr>
              <w:pStyle w:val="TabNumeri"/>
            </w:pPr>
            <w:r>
              <w:t>0,2</w:t>
            </w:r>
          </w:p>
        </w:tc>
        <w:tc>
          <w:tcPr>
            <w:tcW w:w="340" w:type="dxa"/>
            <w:shd w:val="clear" w:color="auto" w:fill="EAF1DD" w:themeFill="accent3" w:themeFillTint="33"/>
          </w:tcPr>
          <w:p w:rsidR="007B1BA4" w:rsidRPr="008A2BE0" w:rsidRDefault="007B1BA4" w:rsidP="006F74C6">
            <w:pPr>
              <w:pStyle w:val="TabNumeri"/>
            </w:pPr>
          </w:p>
        </w:tc>
        <w:tc>
          <w:tcPr>
            <w:tcW w:w="1021" w:type="dxa"/>
            <w:shd w:val="clear" w:color="auto" w:fill="EAF1DD" w:themeFill="accent3" w:themeFillTint="33"/>
          </w:tcPr>
          <w:p w:rsidR="007B1BA4" w:rsidRPr="00811B57" w:rsidRDefault="007B1BA4" w:rsidP="006F74C6">
            <w:pPr>
              <w:pStyle w:val="TabNumeri"/>
            </w:pPr>
            <w:r w:rsidRPr="00811B57">
              <w:t>0,8</w:t>
            </w:r>
          </w:p>
        </w:tc>
        <w:tc>
          <w:tcPr>
            <w:tcW w:w="340" w:type="dxa"/>
            <w:shd w:val="clear" w:color="auto" w:fill="EAF1DD" w:themeFill="accent3" w:themeFillTint="33"/>
          </w:tcPr>
          <w:p w:rsidR="007B1BA4" w:rsidRPr="00811B57" w:rsidRDefault="007B1BA4" w:rsidP="006F74C6">
            <w:pPr>
              <w:pStyle w:val="TabNumeri"/>
            </w:pPr>
          </w:p>
        </w:tc>
        <w:tc>
          <w:tcPr>
            <w:tcW w:w="1021" w:type="dxa"/>
            <w:shd w:val="clear" w:color="auto" w:fill="EAF1DD" w:themeFill="accent3" w:themeFillTint="33"/>
          </w:tcPr>
          <w:p w:rsidR="007B1BA4" w:rsidRPr="00A319C0" w:rsidRDefault="007B1BA4" w:rsidP="006F74C6">
            <w:pPr>
              <w:pStyle w:val="TabNumeri"/>
            </w:pPr>
            <w:r w:rsidRPr="00A319C0">
              <w:t>0,2</w:t>
            </w:r>
          </w:p>
        </w:tc>
        <w:tc>
          <w:tcPr>
            <w:tcW w:w="340" w:type="dxa"/>
            <w:shd w:val="clear" w:color="auto" w:fill="EAF1DD" w:themeFill="accent3" w:themeFillTint="33"/>
          </w:tcPr>
          <w:p w:rsidR="007B1BA4" w:rsidRPr="00A319C0" w:rsidRDefault="007B1BA4" w:rsidP="006F74C6">
            <w:pPr>
              <w:pStyle w:val="TabNumeri"/>
            </w:pPr>
          </w:p>
        </w:tc>
        <w:tc>
          <w:tcPr>
            <w:tcW w:w="1021" w:type="dxa"/>
            <w:shd w:val="clear" w:color="auto" w:fill="EAF1DD" w:themeFill="accent3" w:themeFillTint="33"/>
          </w:tcPr>
          <w:p w:rsidR="007B1BA4" w:rsidRPr="00D32E0A" w:rsidRDefault="007B1BA4" w:rsidP="006F74C6">
            <w:pPr>
              <w:pStyle w:val="TabNumeri"/>
            </w:pPr>
            <w:r>
              <w:t>0,3</w:t>
            </w:r>
          </w:p>
        </w:tc>
        <w:tc>
          <w:tcPr>
            <w:tcW w:w="340" w:type="dxa"/>
            <w:shd w:val="clear" w:color="auto" w:fill="EAF1DD" w:themeFill="accent3" w:themeFillTint="33"/>
          </w:tcPr>
          <w:p w:rsidR="007B1BA4" w:rsidRPr="00D32E0A" w:rsidRDefault="007B1BA4" w:rsidP="006F74C6">
            <w:pPr>
              <w:pStyle w:val="TabNumeri"/>
            </w:pPr>
          </w:p>
        </w:tc>
        <w:tc>
          <w:tcPr>
            <w:tcW w:w="1021" w:type="dxa"/>
            <w:shd w:val="clear" w:color="auto" w:fill="EAF1DD" w:themeFill="accent3" w:themeFillTint="33"/>
          </w:tcPr>
          <w:p w:rsidR="007B1BA4" w:rsidRPr="00EE2A60" w:rsidRDefault="007B1BA4" w:rsidP="006F74C6">
            <w:pPr>
              <w:pStyle w:val="TabNumeri"/>
            </w:pPr>
            <w:r w:rsidRPr="00EE2A60">
              <w:t>0,5</w:t>
            </w:r>
          </w:p>
        </w:tc>
        <w:tc>
          <w:tcPr>
            <w:tcW w:w="342" w:type="dxa"/>
            <w:shd w:val="clear" w:color="auto" w:fill="EAF1DD" w:themeFill="accent3" w:themeFillTint="33"/>
          </w:tcPr>
          <w:p w:rsidR="007B1BA4" w:rsidRPr="00EE2A60" w:rsidRDefault="007B1BA4" w:rsidP="006F74C6">
            <w:pPr>
              <w:pStyle w:val="TabNumeri"/>
            </w:pPr>
            <w:r w:rsidRPr="00EE2A60">
              <w:t>[7]</w:t>
            </w:r>
          </w:p>
        </w:tc>
      </w:tr>
      <w:tr w:rsidR="007B1BA4" w:rsidTr="006F74C6">
        <w:tblPrEx>
          <w:tblBorders>
            <w:bottom w:val="none" w:sz="0" w:space="0" w:color="auto"/>
          </w:tblBorders>
        </w:tblPrEx>
        <w:trPr>
          <w:cantSplit/>
          <w:trHeight w:val="255"/>
        </w:trPr>
        <w:tc>
          <w:tcPr>
            <w:tcW w:w="2552" w:type="dxa"/>
          </w:tcPr>
          <w:p w:rsidR="007B1BA4" w:rsidRPr="00233F5C" w:rsidRDefault="007B1BA4" w:rsidP="006F74C6">
            <w:pPr>
              <w:pStyle w:val="TabEtichette"/>
            </w:pPr>
            <w:r w:rsidRPr="00233F5C">
              <w:t>Investimenti fissi lordi</w:t>
            </w:r>
          </w:p>
        </w:tc>
        <w:tc>
          <w:tcPr>
            <w:tcW w:w="1021" w:type="dxa"/>
          </w:tcPr>
          <w:p w:rsidR="007B1BA4" w:rsidRPr="00083085" w:rsidRDefault="007B1BA4" w:rsidP="006F74C6">
            <w:pPr>
              <w:pStyle w:val="TabNumeri"/>
            </w:pPr>
            <w:r>
              <w:t>3,4</w:t>
            </w:r>
          </w:p>
        </w:tc>
        <w:tc>
          <w:tcPr>
            <w:tcW w:w="340" w:type="dxa"/>
          </w:tcPr>
          <w:p w:rsidR="007B1BA4" w:rsidRPr="008A2BE0" w:rsidRDefault="007B1BA4" w:rsidP="006F74C6">
            <w:pPr>
              <w:pStyle w:val="TabNumeri"/>
            </w:pPr>
          </w:p>
        </w:tc>
        <w:tc>
          <w:tcPr>
            <w:tcW w:w="1021" w:type="dxa"/>
          </w:tcPr>
          <w:p w:rsidR="007B1BA4" w:rsidRPr="00811B57" w:rsidRDefault="007B1BA4" w:rsidP="006F74C6">
            <w:pPr>
              <w:pStyle w:val="TabNumeri"/>
            </w:pPr>
            <w:r w:rsidRPr="00811B57">
              <w:t>1,1</w:t>
            </w:r>
          </w:p>
        </w:tc>
        <w:tc>
          <w:tcPr>
            <w:tcW w:w="340" w:type="dxa"/>
          </w:tcPr>
          <w:p w:rsidR="007B1BA4" w:rsidRPr="00811B57" w:rsidRDefault="007B1BA4" w:rsidP="006F74C6">
            <w:pPr>
              <w:pStyle w:val="TabNumeri"/>
            </w:pPr>
          </w:p>
        </w:tc>
        <w:tc>
          <w:tcPr>
            <w:tcW w:w="1021" w:type="dxa"/>
          </w:tcPr>
          <w:p w:rsidR="007B1BA4" w:rsidRPr="00A319C0" w:rsidRDefault="007B1BA4" w:rsidP="006F74C6">
            <w:pPr>
              <w:pStyle w:val="TabNumeri"/>
            </w:pPr>
            <w:r w:rsidRPr="00A319C0">
              <w:t>3,5</w:t>
            </w:r>
          </w:p>
        </w:tc>
        <w:tc>
          <w:tcPr>
            <w:tcW w:w="340" w:type="dxa"/>
          </w:tcPr>
          <w:p w:rsidR="007B1BA4" w:rsidRPr="00A319C0" w:rsidRDefault="007B1BA4" w:rsidP="006F74C6">
            <w:pPr>
              <w:pStyle w:val="TabNumeri"/>
            </w:pPr>
          </w:p>
        </w:tc>
        <w:tc>
          <w:tcPr>
            <w:tcW w:w="1021" w:type="dxa"/>
          </w:tcPr>
          <w:p w:rsidR="007B1BA4" w:rsidRPr="00D32E0A" w:rsidRDefault="007B1BA4" w:rsidP="006F74C6">
            <w:pPr>
              <w:pStyle w:val="TabNumeri"/>
            </w:pPr>
            <w:r>
              <w:t>0,6</w:t>
            </w:r>
          </w:p>
        </w:tc>
        <w:tc>
          <w:tcPr>
            <w:tcW w:w="340" w:type="dxa"/>
          </w:tcPr>
          <w:p w:rsidR="007B1BA4" w:rsidRPr="00CC1FAE" w:rsidRDefault="007B1BA4" w:rsidP="006F74C6">
            <w:pPr>
              <w:pStyle w:val="TabNumeri"/>
            </w:pPr>
          </w:p>
        </w:tc>
        <w:tc>
          <w:tcPr>
            <w:tcW w:w="1021" w:type="dxa"/>
          </w:tcPr>
          <w:p w:rsidR="007B1BA4" w:rsidRPr="00CC1FAE" w:rsidRDefault="007B1BA4" w:rsidP="006F74C6">
            <w:pPr>
              <w:pStyle w:val="TabNumeri"/>
            </w:pPr>
            <w:r w:rsidRPr="00CC1FAE">
              <w:t>-1,7</w:t>
            </w:r>
          </w:p>
        </w:tc>
        <w:tc>
          <w:tcPr>
            <w:tcW w:w="342" w:type="dxa"/>
          </w:tcPr>
          <w:p w:rsidR="007B1BA4" w:rsidRPr="00EE2A60" w:rsidRDefault="007B1BA4" w:rsidP="006F74C6">
            <w:pPr>
              <w:pStyle w:val="TabNumeri"/>
            </w:pPr>
            <w:r w:rsidRPr="00EE2A60">
              <w:t>[7]</w:t>
            </w:r>
          </w:p>
        </w:tc>
      </w:tr>
      <w:tr w:rsidR="007B1BA4" w:rsidTr="006F74C6">
        <w:tblPrEx>
          <w:tblBorders>
            <w:bottom w:val="none" w:sz="0" w:space="0" w:color="auto"/>
          </w:tblBorders>
        </w:tblPrEx>
        <w:trPr>
          <w:cantSplit/>
          <w:trHeight w:val="255"/>
        </w:trPr>
        <w:tc>
          <w:tcPr>
            <w:tcW w:w="2552" w:type="dxa"/>
            <w:shd w:val="clear" w:color="auto" w:fill="EAF1DD" w:themeFill="accent3" w:themeFillTint="33"/>
          </w:tcPr>
          <w:p w:rsidR="007B1BA4" w:rsidRPr="00233F5C" w:rsidRDefault="007B1BA4" w:rsidP="006F74C6">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1021" w:type="dxa"/>
            <w:shd w:val="clear" w:color="auto" w:fill="EAF1DD" w:themeFill="accent3" w:themeFillTint="33"/>
          </w:tcPr>
          <w:p w:rsidR="007B1BA4" w:rsidRPr="00083085" w:rsidRDefault="007B1BA4" w:rsidP="006F74C6">
            <w:pPr>
              <w:pStyle w:val="TabNumeri"/>
            </w:pPr>
            <w:r>
              <w:t>4,0</w:t>
            </w:r>
          </w:p>
        </w:tc>
        <w:tc>
          <w:tcPr>
            <w:tcW w:w="340" w:type="dxa"/>
            <w:shd w:val="clear" w:color="auto" w:fill="EAF1DD" w:themeFill="accent3" w:themeFillTint="33"/>
          </w:tcPr>
          <w:p w:rsidR="007B1BA4" w:rsidRPr="008A2BE0" w:rsidRDefault="007B1BA4" w:rsidP="006F74C6">
            <w:pPr>
              <w:pStyle w:val="TabNumeri"/>
            </w:pPr>
          </w:p>
        </w:tc>
        <w:tc>
          <w:tcPr>
            <w:tcW w:w="1021" w:type="dxa"/>
            <w:shd w:val="clear" w:color="auto" w:fill="EAF1DD" w:themeFill="accent3" w:themeFillTint="33"/>
          </w:tcPr>
          <w:p w:rsidR="007B1BA4" w:rsidRPr="00811B57" w:rsidRDefault="007B1BA4" w:rsidP="006F74C6">
            <w:pPr>
              <w:pStyle w:val="TabNumeri"/>
            </w:pPr>
            <w:proofErr w:type="spellStart"/>
            <w:r w:rsidRPr="00811B57">
              <w:t>n.d.</w:t>
            </w:r>
            <w:proofErr w:type="spellEnd"/>
          </w:p>
        </w:tc>
        <w:tc>
          <w:tcPr>
            <w:tcW w:w="340" w:type="dxa"/>
            <w:shd w:val="clear" w:color="auto" w:fill="EAF1DD" w:themeFill="accent3" w:themeFillTint="33"/>
          </w:tcPr>
          <w:p w:rsidR="007B1BA4" w:rsidRPr="00811B57" w:rsidRDefault="007B1BA4" w:rsidP="006F74C6">
            <w:pPr>
              <w:pStyle w:val="TabNumeri"/>
            </w:pPr>
          </w:p>
        </w:tc>
        <w:tc>
          <w:tcPr>
            <w:tcW w:w="1021" w:type="dxa"/>
            <w:shd w:val="clear" w:color="auto" w:fill="EAF1DD" w:themeFill="accent3" w:themeFillTint="33"/>
          </w:tcPr>
          <w:p w:rsidR="007B1BA4" w:rsidRPr="00A319C0" w:rsidRDefault="007B1BA4" w:rsidP="006F74C6">
            <w:pPr>
              <w:pStyle w:val="TabNumeri"/>
            </w:pPr>
            <w:proofErr w:type="spellStart"/>
            <w:r w:rsidRPr="00A319C0">
              <w:t>n.d.</w:t>
            </w:r>
            <w:proofErr w:type="spellEnd"/>
          </w:p>
        </w:tc>
        <w:tc>
          <w:tcPr>
            <w:tcW w:w="340" w:type="dxa"/>
            <w:shd w:val="clear" w:color="auto" w:fill="EAF1DD" w:themeFill="accent3" w:themeFillTint="33"/>
          </w:tcPr>
          <w:p w:rsidR="007B1BA4" w:rsidRPr="00A319C0" w:rsidRDefault="007B1BA4" w:rsidP="006F74C6">
            <w:pPr>
              <w:pStyle w:val="TabNumeri"/>
            </w:pPr>
          </w:p>
        </w:tc>
        <w:tc>
          <w:tcPr>
            <w:tcW w:w="1021" w:type="dxa"/>
            <w:shd w:val="clear" w:color="auto" w:fill="EAF1DD" w:themeFill="accent3" w:themeFillTint="33"/>
          </w:tcPr>
          <w:p w:rsidR="007B1BA4" w:rsidRPr="00D32E0A" w:rsidRDefault="007B1BA4" w:rsidP="006F74C6">
            <w:pPr>
              <w:pStyle w:val="TabNumeri"/>
            </w:pPr>
            <w:r>
              <w:t>-0,3</w:t>
            </w:r>
          </w:p>
        </w:tc>
        <w:tc>
          <w:tcPr>
            <w:tcW w:w="340" w:type="dxa"/>
            <w:shd w:val="clear" w:color="auto" w:fill="EAF1DD" w:themeFill="accent3" w:themeFillTint="33"/>
          </w:tcPr>
          <w:p w:rsidR="007B1BA4" w:rsidRPr="00D32E0A" w:rsidRDefault="007B1BA4" w:rsidP="006F74C6">
            <w:pPr>
              <w:pStyle w:val="TabNumeri"/>
            </w:pPr>
            <w:r>
              <w:t>[2]</w:t>
            </w:r>
          </w:p>
        </w:tc>
        <w:tc>
          <w:tcPr>
            <w:tcW w:w="1021" w:type="dxa"/>
            <w:shd w:val="clear" w:color="auto" w:fill="EAF1DD" w:themeFill="accent3" w:themeFillTint="33"/>
          </w:tcPr>
          <w:p w:rsidR="007B1BA4" w:rsidRPr="00EE2A60" w:rsidRDefault="007B1BA4" w:rsidP="006F74C6">
            <w:pPr>
              <w:pStyle w:val="TabNumeri"/>
            </w:pPr>
            <w:r w:rsidRPr="00EE2A60">
              <w:t>-3,3</w:t>
            </w:r>
          </w:p>
        </w:tc>
        <w:tc>
          <w:tcPr>
            <w:tcW w:w="342" w:type="dxa"/>
            <w:shd w:val="clear" w:color="auto" w:fill="EAF1DD" w:themeFill="accent3" w:themeFillTint="33"/>
          </w:tcPr>
          <w:p w:rsidR="007B1BA4" w:rsidRPr="00EE2A60" w:rsidRDefault="007B1BA4" w:rsidP="006F74C6">
            <w:pPr>
              <w:pStyle w:val="TabNumeri"/>
            </w:pPr>
            <w:r w:rsidRPr="00EE2A60">
              <w:t>[7]</w:t>
            </w:r>
          </w:p>
        </w:tc>
      </w:tr>
      <w:tr w:rsidR="007B1BA4" w:rsidTr="006F74C6">
        <w:tblPrEx>
          <w:tblBorders>
            <w:bottom w:val="none" w:sz="0" w:space="0" w:color="auto"/>
          </w:tblBorders>
        </w:tblPrEx>
        <w:trPr>
          <w:cantSplit/>
          <w:trHeight w:val="255"/>
        </w:trPr>
        <w:tc>
          <w:tcPr>
            <w:tcW w:w="2552" w:type="dxa"/>
          </w:tcPr>
          <w:p w:rsidR="007B1BA4" w:rsidRPr="00233F5C" w:rsidRDefault="007B1BA4" w:rsidP="006F74C6">
            <w:pPr>
              <w:pStyle w:val="TabEtichette"/>
            </w:pPr>
            <w:r w:rsidRPr="00233F5C">
              <w:t>- costruzioni</w:t>
            </w:r>
          </w:p>
        </w:tc>
        <w:tc>
          <w:tcPr>
            <w:tcW w:w="1021" w:type="dxa"/>
          </w:tcPr>
          <w:p w:rsidR="007B1BA4" w:rsidRPr="00083085" w:rsidRDefault="007B1BA4" w:rsidP="006F74C6">
            <w:pPr>
              <w:pStyle w:val="TabNumeri"/>
            </w:pPr>
            <w:r>
              <w:t>2,7</w:t>
            </w:r>
          </w:p>
        </w:tc>
        <w:tc>
          <w:tcPr>
            <w:tcW w:w="340" w:type="dxa"/>
          </w:tcPr>
          <w:p w:rsidR="007B1BA4" w:rsidRPr="00B136E3" w:rsidRDefault="007B1BA4" w:rsidP="006F74C6">
            <w:pPr>
              <w:pStyle w:val="TabNumeri"/>
            </w:pPr>
          </w:p>
        </w:tc>
        <w:tc>
          <w:tcPr>
            <w:tcW w:w="1021" w:type="dxa"/>
          </w:tcPr>
          <w:p w:rsidR="007B1BA4" w:rsidRPr="00811B57" w:rsidRDefault="007B1BA4" w:rsidP="006F74C6">
            <w:pPr>
              <w:pStyle w:val="TabNumeri"/>
            </w:pPr>
            <w:proofErr w:type="spellStart"/>
            <w:r w:rsidRPr="00811B57">
              <w:t>n.d.</w:t>
            </w:r>
            <w:proofErr w:type="spellEnd"/>
          </w:p>
        </w:tc>
        <w:tc>
          <w:tcPr>
            <w:tcW w:w="340" w:type="dxa"/>
          </w:tcPr>
          <w:p w:rsidR="007B1BA4" w:rsidRPr="00811B57" w:rsidRDefault="007B1BA4" w:rsidP="006F74C6">
            <w:pPr>
              <w:pStyle w:val="TabNumeri"/>
            </w:pPr>
          </w:p>
        </w:tc>
        <w:tc>
          <w:tcPr>
            <w:tcW w:w="1021" w:type="dxa"/>
          </w:tcPr>
          <w:p w:rsidR="007B1BA4" w:rsidRPr="00A319C0" w:rsidRDefault="007B1BA4" w:rsidP="006F74C6">
            <w:pPr>
              <w:pStyle w:val="TabNumeri"/>
            </w:pPr>
            <w:proofErr w:type="spellStart"/>
            <w:r w:rsidRPr="00A319C0">
              <w:t>n.d.</w:t>
            </w:r>
            <w:proofErr w:type="spellEnd"/>
          </w:p>
        </w:tc>
        <w:tc>
          <w:tcPr>
            <w:tcW w:w="340" w:type="dxa"/>
          </w:tcPr>
          <w:p w:rsidR="007B1BA4" w:rsidRPr="00A319C0" w:rsidRDefault="007B1BA4" w:rsidP="006F74C6">
            <w:pPr>
              <w:pStyle w:val="TabNumeri"/>
            </w:pPr>
          </w:p>
        </w:tc>
        <w:tc>
          <w:tcPr>
            <w:tcW w:w="1021" w:type="dxa"/>
          </w:tcPr>
          <w:p w:rsidR="007B1BA4" w:rsidRPr="00D32E0A" w:rsidRDefault="007B1BA4" w:rsidP="006F74C6">
            <w:pPr>
              <w:pStyle w:val="TabNumeri"/>
            </w:pPr>
            <w:proofErr w:type="spellStart"/>
            <w:r>
              <w:t>n.d.</w:t>
            </w:r>
            <w:proofErr w:type="spellEnd"/>
          </w:p>
        </w:tc>
        <w:tc>
          <w:tcPr>
            <w:tcW w:w="340" w:type="dxa"/>
          </w:tcPr>
          <w:p w:rsidR="007B1BA4" w:rsidRPr="00D32E0A" w:rsidRDefault="007B1BA4" w:rsidP="006F74C6">
            <w:pPr>
              <w:pStyle w:val="TabNumeri"/>
            </w:pPr>
          </w:p>
        </w:tc>
        <w:tc>
          <w:tcPr>
            <w:tcW w:w="1021" w:type="dxa"/>
          </w:tcPr>
          <w:p w:rsidR="007B1BA4" w:rsidRPr="00EE2A60" w:rsidRDefault="007B1BA4" w:rsidP="006F74C6">
            <w:pPr>
              <w:pStyle w:val="TabNumeri"/>
            </w:pPr>
            <w:r w:rsidRPr="00EE2A60">
              <w:t>0,3</w:t>
            </w:r>
          </w:p>
        </w:tc>
        <w:tc>
          <w:tcPr>
            <w:tcW w:w="342" w:type="dxa"/>
          </w:tcPr>
          <w:p w:rsidR="007B1BA4" w:rsidRPr="00EE2A60" w:rsidRDefault="007B1BA4" w:rsidP="006F74C6">
            <w:pPr>
              <w:pStyle w:val="TabNumeri"/>
            </w:pPr>
            <w:r w:rsidRPr="00EE2A60">
              <w:t>[7]</w:t>
            </w:r>
          </w:p>
        </w:tc>
      </w:tr>
      <w:tr w:rsidR="007B1BA4" w:rsidTr="006F74C6">
        <w:tblPrEx>
          <w:tblBorders>
            <w:bottom w:val="none" w:sz="0" w:space="0" w:color="auto"/>
          </w:tblBorders>
        </w:tblPrEx>
        <w:trPr>
          <w:cantSplit/>
          <w:trHeight w:val="255"/>
        </w:trPr>
        <w:tc>
          <w:tcPr>
            <w:tcW w:w="2552" w:type="dxa"/>
            <w:shd w:val="clear" w:color="auto" w:fill="EAF1DD" w:themeFill="accent3" w:themeFillTint="33"/>
          </w:tcPr>
          <w:p w:rsidR="007B1BA4" w:rsidRPr="00233F5C" w:rsidRDefault="007B1BA4" w:rsidP="006F74C6">
            <w:pPr>
              <w:pStyle w:val="TabEtichette"/>
            </w:pPr>
            <w:r>
              <w:t>Occupazione</w:t>
            </w:r>
          </w:p>
        </w:tc>
        <w:tc>
          <w:tcPr>
            <w:tcW w:w="1021" w:type="dxa"/>
            <w:shd w:val="clear" w:color="auto" w:fill="EAF1DD" w:themeFill="accent3" w:themeFillTint="33"/>
          </w:tcPr>
          <w:p w:rsidR="007B1BA4" w:rsidRPr="00083085" w:rsidRDefault="007B1BA4" w:rsidP="006F74C6">
            <w:pPr>
              <w:pStyle w:val="TabNumeri"/>
            </w:pPr>
            <w:r>
              <w:t>0,9</w:t>
            </w:r>
          </w:p>
        </w:tc>
        <w:tc>
          <w:tcPr>
            <w:tcW w:w="340" w:type="dxa"/>
            <w:shd w:val="clear" w:color="auto" w:fill="EAF1DD" w:themeFill="accent3" w:themeFillTint="33"/>
          </w:tcPr>
          <w:p w:rsidR="007B1BA4" w:rsidRPr="008A2BE0" w:rsidRDefault="007B1BA4" w:rsidP="006F74C6">
            <w:pPr>
              <w:pStyle w:val="TabNumeri"/>
            </w:pPr>
          </w:p>
        </w:tc>
        <w:tc>
          <w:tcPr>
            <w:tcW w:w="1021" w:type="dxa"/>
            <w:shd w:val="clear" w:color="auto" w:fill="EAF1DD" w:themeFill="accent3" w:themeFillTint="33"/>
          </w:tcPr>
          <w:p w:rsidR="007B1BA4" w:rsidRPr="00811B57" w:rsidRDefault="007B1BA4" w:rsidP="006F74C6">
            <w:pPr>
              <w:pStyle w:val="TabNumeri"/>
            </w:pPr>
            <w:r w:rsidRPr="00811B57">
              <w:t>0,7</w:t>
            </w:r>
          </w:p>
        </w:tc>
        <w:tc>
          <w:tcPr>
            <w:tcW w:w="340" w:type="dxa"/>
            <w:shd w:val="clear" w:color="auto" w:fill="EAF1DD" w:themeFill="accent3" w:themeFillTint="33"/>
          </w:tcPr>
          <w:p w:rsidR="007B1BA4" w:rsidRPr="00811B57" w:rsidRDefault="007B1BA4" w:rsidP="006F74C6">
            <w:pPr>
              <w:pStyle w:val="TabNumeri"/>
            </w:pPr>
            <w:r w:rsidRPr="00811B57">
              <w:t>[3]</w:t>
            </w:r>
          </w:p>
        </w:tc>
        <w:tc>
          <w:tcPr>
            <w:tcW w:w="1021" w:type="dxa"/>
            <w:shd w:val="clear" w:color="auto" w:fill="EAF1DD" w:themeFill="accent3" w:themeFillTint="33"/>
          </w:tcPr>
          <w:p w:rsidR="007B1BA4" w:rsidRPr="00A319C0" w:rsidRDefault="007B1BA4" w:rsidP="006F74C6">
            <w:pPr>
              <w:pStyle w:val="TabNumeri"/>
            </w:pPr>
            <w:r w:rsidRPr="00A319C0">
              <w:t>0,6</w:t>
            </w:r>
          </w:p>
        </w:tc>
        <w:tc>
          <w:tcPr>
            <w:tcW w:w="340" w:type="dxa"/>
            <w:shd w:val="clear" w:color="auto" w:fill="EAF1DD" w:themeFill="accent3" w:themeFillTint="33"/>
          </w:tcPr>
          <w:p w:rsidR="007B1BA4" w:rsidRPr="00A319C0" w:rsidRDefault="007B1BA4" w:rsidP="006F74C6">
            <w:pPr>
              <w:pStyle w:val="TabNumeri"/>
            </w:pPr>
            <w:r w:rsidRPr="00A319C0">
              <w:t>[3]</w:t>
            </w:r>
          </w:p>
        </w:tc>
        <w:tc>
          <w:tcPr>
            <w:tcW w:w="1021" w:type="dxa"/>
            <w:shd w:val="clear" w:color="auto" w:fill="EAF1DD" w:themeFill="accent3" w:themeFillTint="33"/>
          </w:tcPr>
          <w:p w:rsidR="007B1BA4" w:rsidRPr="00D32E0A" w:rsidRDefault="007B1BA4" w:rsidP="006F74C6">
            <w:pPr>
              <w:pStyle w:val="TabNumeri"/>
            </w:pPr>
            <w:r>
              <w:t>0,4</w:t>
            </w:r>
          </w:p>
        </w:tc>
        <w:tc>
          <w:tcPr>
            <w:tcW w:w="340" w:type="dxa"/>
            <w:shd w:val="clear" w:color="auto" w:fill="EAF1DD" w:themeFill="accent3" w:themeFillTint="33"/>
          </w:tcPr>
          <w:p w:rsidR="007B1BA4" w:rsidRPr="00D32E0A" w:rsidRDefault="007B1BA4" w:rsidP="006F74C6">
            <w:pPr>
              <w:pStyle w:val="TabNumeri"/>
            </w:pPr>
          </w:p>
        </w:tc>
        <w:tc>
          <w:tcPr>
            <w:tcW w:w="1021" w:type="dxa"/>
            <w:shd w:val="clear" w:color="auto" w:fill="EAF1DD" w:themeFill="accent3" w:themeFillTint="33"/>
          </w:tcPr>
          <w:p w:rsidR="007B1BA4" w:rsidRPr="00EE2A60" w:rsidRDefault="007B1BA4" w:rsidP="006F74C6">
            <w:pPr>
              <w:pStyle w:val="TabNumeri"/>
            </w:pPr>
            <w:r w:rsidRPr="00EE2A60">
              <w:t>-0,1</w:t>
            </w:r>
          </w:p>
        </w:tc>
        <w:tc>
          <w:tcPr>
            <w:tcW w:w="342" w:type="dxa"/>
            <w:shd w:val="clear" w:color="auto" w:fill="EAF1DD" w:themeFill="accent3" w:themeFillTint="33"/>
          </w:tcPr>
          <w:p w:rsidR="007B1BA4" w:rsidRPr="00EE2A60" w:rsidRDefault="007B1BA4" w:rsidP="006F74C6">
            <w:pPr>
              <w:pStyle w:val="TabNumeri"/>
            </w:pPr>
            <w:r w:rsidRPr="00EE2A60">
              <w:t>[4 7]</w:t>
            </w:r>
          </w:p>
        </w:tc>
      </w:tr>
      <w:tr w:rsidR="007B1BA4" w:rsidTr="006F74C6">
        <w:tblPrEx>
          <w:tblBorders>
            <w:bottom w:val="none" w:sz="0" w:space="0" w:color="auto"/>
          </w:tblBorders>
        </w:tblPrEx>
        <w:trPr>
          <w:cantSplit/>
          <w:trHeight w:val="255"/>
        </w:trPr>
        <w:tc>
          <w:tcPr>
            <w:tcW w:w="2552" w:type="dxa"/>
          </w:tcPr>
          <w:p w:rsidR="007B1BA4" w:rsidRPr="00233F5C" w:rsidRDefault="007B1BA4" w:rsidP="006F74C6">
            <w:pPr>
              <w:pStyle w:val="TabEtichette"/>
            </w:pPr>
            <w:r w:rsidRPr="00233F5C">
              <w:t>Disoccupazione [</w:t>
            </w:r>
            <w:r>
              <w:t>a</w:t>
            </w:r>
            <w:r w:rsidRPr="00233F5C">
              <w:t>]</w:t>
            </w:r>
          </w:p>
        </w:tc>
        <w:tc>
          <w:tcPr>
            <w:tcW w:w="1021" w:type="dxa"/>
          </w:tcPr>
          <w:p w:rsidR="007B1BA4" w:rsidRPr="00D862EC" w:rsidRDefault="007B1BA4" w:rsidP="006F74C6">
            <w:pPr>
              <w:pStyle w:val="TabNumeri"/>
            </w:pPr>
            <w:r>
              <w:t>10,6</w:t>
            </w:r>
          </w:p>
        </w:tc>
        <w:tc>
          <w:tcPr>
            <w:tcW w:w="340" w:type="dxa"/>
          </w:tcPr>
          <w:p w:rsidR="007B1BA4" w:rsidRPr="008A2BE0" w:rsidRDefault="007B1BA4" w:rsidP="006F74C6">
            <w:pPr>
              <w:pStyle w:val="TabNumeri"/>
            </w:pPr>
          </w:p>
        </w:tc>
        <w:tc>
          <w:tcPr>
            <w:tcW w:w="1021" w:type="dxa"/>
          </w:tcPr>
          <w:p w:rsidR="007B1BA4" w:rsidRPr="00811B57" w:rsidRDefault="007B1BA4" w:rsidP="006F74C6">
            <w:pPr>
              <w:pStyle w:val="TabNumeri"/>
            </w:pPr>
            <w:r w:rsidRPr="00811B57">
              <w:t>10,5</w:t>
            </w:r>
          </w:p>
        </w:tc>
        <w:tc>
          <w:tcPr>
            <w:tcW w:w="340" w:type="dxa"/>
          </w:tcPr>
          <w:p w:rsidR="007B1BA4" w:rsidRPr="00811B57" w:rsidRDefault="007B1BA4" w:rsidP="006F74C6">
            <w:pPr>
              <w:pStyle w:val="TabNumeri"/>
            </w:pPr>
          </w:p>
        </w:tc>
        <w:tc>
          <w:tcPr>
            <w:tcW w:w="1021" w:type="dxa"/>
          </w:tcPr>
          <w:p w:rsidR="007B1BA4" w:rsidRPr="00A319C0" w:rsidRDefault="007B1BA4" w:rsidP="006F74C6">
            <w:pPr>
              <w:pStyle w:val="TabNumeri"/>
            </w:pPr>
            <w:r w:rsidRPr="00A319C0">
              <w:t>9,7</w:t>
            </w:r>
          </w:p>
        </w:tc>
        <w:tc>
          <w:tcPr>
            <w:tcW w:w="340" w:type="dxa"/>
          </w:tcPr>
          <w:p w:rsidR="007B1BA4" w:rsidRPr="00A319C0" w:rsidRDefault="007B1BA4" w:rsidP="006F74C6">
            <w:pPr>
              <w:pStyle w:val="TabNumeri"/>
            </w:pPr>
          </w:p>
        </w:tc>
        <w:tc>
          <w:tcPr>
            <w:tcW w:w="1021" w:type="dxa"/>
          </w:tcPr>
          <w:p w:rsidR="007B1BA4" w:rsidRPr="00D32E0A" w:rsidRDefault="007B1BA4" w:rsidP="006F74C6">
            <w:pPr>
              <w:pStyle w:val="TabNumeri"/>
            </w:pPr>
            <w:r>
              <w:t>10,3</w:t>
            </w:r>
          </w:p>
        </w:tc>
        <w:tc>
          <w:tcPr>
            <w:tcW w:w="340" w:type="dxa"/>
          </w:tcPr>
          <w:p w:rsidR="007B1BA4" w:rsidRPr="00D32E0A" w:rsidRDefault="007B1BA4" w:rsidP="006F74C6">
            <w:pPr>
              <w:pStyle w:val="TabNumeri"/>
            </w:pPr>
          </w:p>
        </w:tc>
        <w:tc>
          <w:tcPr>
            <w:tcW w:w="1021" w:type="dxa"/>
          </w:tcPr>
          <w:p w:rsidR="007B1BA4" w:rsidRPr="00EE2A60" w:rsidRDefault="007B1BA4" w:rsidP="006F74C6">
            <w:pPr>
              <w:pStyle w:val="TabNumeri"/>
            </w:pPr>
            <w:r w:rsidRPr="00EE2A60">
              <w:t>10,5</w:t>
            </w:r>
          </w:p>
        </w:tc>
        <w:tc>
          <w:tcPr>
            <w:tcW w:w="342" w:type="dxa"/>
          </w:tcPr>
          <w:p w:rsidR="007B1BA4" w:rsidRPr="00EE2A60" w:rsidRDefault="007B1BA4" w:rsidP="006F74C6">
            <w:pPr>
              <w:pStyle w:val="TabNumeri"/>
            </w:pPr>
            <w:r w:rsidRPr="00EE2A60">
              <w:t>[8]</w:t>
            </w:r>
          </w:p>
        </w:tc>
      </w:tr>
      <w:tr w:rsidR="007B1BA4" w:rsidTr="006F74C6">
        <w:tblPrEx>
          <w:tblBorders>
            <w:bottom w:val="none" w:sz="0" w:space="0" w:color="auto"/>
          </w:tblBorders>
        </w:tblPrEx>
        <w:trPr>
          <w:cantSplit/>
          <w:trHeight w:val="255"/>
        </w:trPr>
        <w:tc>
          <w:tcPr>
            <w:tcW w:w="2552" w:type="dxa"/>
            <w:shd w:val="clear" w:color="auto" w:fill="EAF1DD" w:themeFill="accent3" w:themeFillTint="33"/>
          </w:tcPr>
          <w:p w:rsidR="007B1BA4" w:rsidRPr="00233F5C" w:rsidRDefault="007B1BA4" w:rsidP="006F74C6">
            <w:pPr>
              <w:pStyle w:val="TabEtichette"/>
            </w:pPr>
            <w:r w:rsidRPr="00233F5C">
              <w:t>Prezzi al consumo</w:t>
            </w:r>
          </w:p>
        </w:tc>
        <w:tc>
          <w:tcPr>
            <w:tcW w:w="1021" w:type="dxa"/>
            <w:shd w:val="clear" w:color="auto" w:fill="EAF1DD" w:themeFill="accent3" w:themeFillTint="33"/>
          </w:tcPr>
          <w:p w:rsidR="007B1BA4" w:rsidRPr="00D862EC" w:rsidRDefault="007B1BA4" w:rsidP="006F74C6">
            <w:pPr>
              <w:pStyle w:val="TabNumeri"/>
            </w:pPr>
            <w:r>
              <w:t>1,2</w:t>
            </w:r>
          </w:p>
        </w:tc>
        <w:tc>
          <w:tcPr>
            <w:tcW w:w="340" w:type="dxa"/>
            <w:shd w:val="clear" w:color="auto" w:fill="EAF1DD" w:themeFill="accent3" w:themeFillTint="33"/>
          </w:tcPr>
          <w:p w:rsidR="007B1BA4" w:rsidRPr="008A2BE0" w:rsidRDefault="007B1BA4" w:rsidP="006F74C6">
            <w:pPr>
              <w:pStyle w:val="TabNumeri"/>
            </w:pPr>
          </w:p>
        </w:tc>
        <w:tc>
          <w:tcPr>
            <w:tcW w:w="1021" w:type="dxa"/>
            <w:shd w:val="clear" w:color="auto" w:fill="EAF1DD" w:themeFill="accent3" w:themeFillTint="33"/>
          </w:tcPr>
          <w:p w:rsidR="007B1BA4" w:rsidRPr="00811B57" w:rsidRDefault="007B1BA4" w:rsidP="006F74C6">
            <w:pPr>
              <w:pStyle w:val="TabNumeri"/>
            </w:pPr>
            <w:r w:rsidRPr="00811B57">
              <w:t>1,4</w:t>
            </w:r>
          </w:p>
        </w:tc>
        <w:tc>
          <w:tcPr>
            <w:tcW w:w="340" w:type="dxa"/>
            <w:shd w:val="clear" w:color="auto" w:fill="EAF1DD" w:themeFill="accent3" w:themeFillTint="33"/>
          </w:tcPr>
          <w:p w:rsidR="007B1BA4" w:rsidRPr="00811B57" w:rsidRDefault="007B1BA4" w:rsidP="006F74C6">
            <w:pPr>
              <w:pStyle w:val="TabNumeri"/>
            </w:pPr>
          </w:p>
        </w:tc>
        <w:tc>
          <w:tcPr>
            <w:tcW w:w="1021" w:type="dxa"/>
            <w:shd w:val="clear" w:color="auto" w:fill="EAF1DD" w:themeFill="accent3" w:themeFillTint="33"/>
          </w:tcPr>
          <w:p w:rsidR="007B1BA4" w:rsidRPr="00A319C0" w:rsidRDefault="007B1BA4" w:rsidP="006F74C6">
            <w:pPr>
              <w:pStyle w:val="TabNumeri"/>
            </w:pPr>
            <w:r w:rsidRPr="00A319C0">
              <w:t>1,6</w:t>
            </w:r>
          </w:p>
        </w:tc>
        <w:tc>
          <w:tcPr>
            <w:tcW w:w="340" w:type="dxa"/>
            <w:shd w:val="clear" w:color="auto" w:fill="EAF1DD" w:themeFill="accent3" w:themeFillTint="33"/>
          </w:tcPr>
          <w:p w:rsidR="007B1BA4" w:rsidRPr="00A319C0" w:rsidRDefault="007B1BA4" w:rsidP="006F74C6">
            <w:pPr>
              <w:pStyle w:val="TabNumeri"/>
            </w:pPr>
            <w:r w:rsidRPr="00A319C0">
              <w:t>[5]</w:t>
            </w:r>
          </w:p>
        </w:tc>
        <w:tc>
          <w:tcPr>
            <w:tcW w:w="1021" w:type="dxa"/>
            <w:shd w:val="clear" w:color="auto" w:fill="EAF1DD" w:themeFill="accent3" w:themeFillTint="33"/>
          </w:tcPr>
          <w:p w:rsidR="007B1BA4" w:rsidRPr="00D32E0A" w:rsidRDefault="007B1BA4" w:rsidP="006F74C6">
            <w:pPr>
              <w:pStyle w:val="TabNumeri"/>
            </w:pPr>
            <w:r>
              <w:t>1,0</w:t>
            </w:r>
          </w:p>
        </w:tc>
        <w:tc>
          <w:tcPr>
            <w:tcW w:w="340" w:type="dxa"/>
            <w:shd w:val="clear" w:color="auto" w:fill="EAF1DD" w:themeFill="accent3" w:themeFillTint="33"/>
          </w:tcPr>
          <w:p w:rsidR="007B1BA4" w:rsidRPr="00D32E0A" w:rsidRDefault="007B1BA4" w:rsidP="006F74C6">
            <w:pPr>
              <w:pStyle w:val="TabNumeri"/>
            </w:pPr>
          </w:p>
        </w:tc>
        <w:tc>
          <w:tcPr>
            <w:tcW w:w="1021" w:type="dxa"/>
            <w:shd w:val="clear" w:color="auto" w:fill="EAF1DD" w:themeFill="accent3" w:themeFillTint="33"/>
          </w:tcPr>
          <w:p w:rsidR="007B1BA4" w:rsidRPr="00EE2A60" w:rsidRDefault="007B1BA4" w:rsidP="006F74C6">
            <w:pPr>
              <w:pStyle w:val="TabNumeri"/>
            </w:pPr>
            <w:r w:rsidRPr="00EE2A60">
              <w:t>0,8</w:t>
            </w:r>
          </w:p>
        </w:tc>
        <w:tc>
          <w:tcPr>
            <w:tcW w:w="342" w:type="dxa"/>
            <w:shd w:val="clear" w:color="auto" w:fill="EAF1DD" w:themeFill="accent3" w:themeFillTint="33"/>
          </w:tcPr>
          <w:p w:rsidR="007B1BA4" w:rsidRPr="00EE2A60" w:rsidRDefault="007B1BA4" w:rsidP="006F74C6">
            <w:pPr>
              <w:pStyle w:val="TabNumeri"/>
            </w:pPr>
            <w:r w:rsidRPr="00EE2A60">
              <w:t>[7]</w:t>
            </w:r>
          </w:p>
        </w:tc>
      </w:tr>
      <w:tr w:rsidR="007B1BA4" w:rsidTr="006F74C6">
        <w:tblPrEx>
          <w:tblBorders>
            <w:bottom w:val="none" w:sz="0" w:space="0" w:color="auto"/>
          </w:tblBorders>
        </w:tblPrEx>
        <w:trPr>
          <w:cantSplit/>
          <w:trHeight w:val="255"/>
        </w:trPr>
        <w:tc>
          <w:tcPr>
            <w:tcW w:w="2552" w:type="dxa"/>
          </w:tcPr>
          <w:p w:rsidR="007B1BA4" w:rsidRPr="00233F5C" w:rsidRDefault="007B1BA4" w:rsidP="006F74C6">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1021" w:type="dxa"/>
          </w:tcPr>
          <w:p w:rsidR="007B1BA4" w:rsidRPr="00083085" w:rsidRDefault="007B1BA4" w:rsidP="006F74C6">
            <w:pPr>
              <w:pStyle w:val="TabNumeri"/>
            </w:pPr>
            <w:proofErr w:type="spellStart"/>
            <w:r>
              <w:t>n.d.</w:t>
            </w:r>
            <w:proofErr w:type="spellEnd"/>
          </w:p>
        </w:tc>
        <w:tc>
          <w:tcPr>
            <w:tcW w:w="340" w:type="dxa"/>
          </w:tcPr>
          <w:p w:rsidR="007B1BA4" w:rsidRPr="008A2BE0" w:rsidRDefault="007B1BA4" w:rsidP="006F74C6">
            <w:pPr>
              <w:pStyle w:val="TabNumeri"/>
            </w:pPr>
          </w:p>
        </w:tc>
        <w:tc>
          <w:tcPr>
            <w:tcW w:w="1021" w:type="dxa"/>
          </w:tcPr>
          <w:p w:rsidR="007B1BA4" w:rsidRPr="00811B57" w:rsidRDefault="007B1BA4" w:rsidP="006F74C6">
            <w:pPr>
              <w:pStyle w:val="TabNumeri"/>
            </w:pPr>
            <w:r w:rsidRPr="00811B57">
              <w:t>1,6</w:t>
            </w:r>
          </w:p>
        </w:tc>
        <w:tc>
          <w:tcPr>
            <w:tcW w:w="340" w:type="dxa"/>
          </w:tcPr>
          <w:p w:rsidR="007B1BA4" w:rsidRPr="00811B57" w:rsidRDefault="007B1BA4" w:rsidP="006F74C6">
            <w:pPr>
              <w:pStyle w:val="TabNumeri"/>
            </w:pPr>
          </w:p>
        </w:tc>
        <w:tc>
          <w:tcPr>
            <w:tcW w:w="1021" w:type="dxa"/>
          </w:tcPr>
          <w:p w:rsidR="007B1BA4" w:rsidRPr="00A319C0" w:rsidRDefault="007B1BA4" w:rsidP="006F74C6">
            <w:pPr>
              <w:pStyle w:val="TabNumeri"/>
            </w:pPr>
            <w:r w:rsidRPr="00A319C0">
              <w:t>2,5</w:t>
            </w:r>
          </w:p>
        </w:tc>
        <w:tc>
          <w:tcPr>
            <w:tcW w:w="340" w:type="dxa"/>
          </w:tcPr>
          <w:p w:rsidR="007B1BA4" w:rsidRPr="00A319C0" w:rsidRDefault="007B1BA4" w:rsidP="006F74C6">
            <w:pPr>
              <w:pStyle w:val="TabNumeri"/>
            </w:pPr>
          </w:p>
        </w:tc>
        <w:tc>
          <w:tcPr>
            <w:tcW w:w="1021" w:type="dxa"/>
          </w:tcPr>
          <w:p w:rsidR="007B1BA4" w:rsidRPr="00D32E0A" w:rsidRDefault="007B1BA4" w:rsidP="006F74C6">
            <w:pPr>
              <w:pStyle w:val="TabNumeri"/>
            </w:pPr>
            <w:r>
              <w:t>2,8</w:t>
            </w:r>
          </w:p>
        </w:tc>
        <w:tc>
          <w:tcPr>
            <w:tcW w:w="340" w:type="dxa"/>
          </w:tcPr>
          <w:p w:rsidR="007B1BA4" w:rsidRPr="00D32E0A" w:rsidRDefault="007B1BA4" w:rsidP="006F74C6">
            <w:pPr>
              <w:pStyle w:val="TabNumeri"/>
            </w:pPr>
          </w:p>
        </w:tc>
        <w:tc>
          <w:tcPr>
            <w:tcW w:w="1021" w:type="dxa"/>
          </w:tcPr>
          <w:p w:rsidR="007B1BA4" w:rsidRPr="00EE2A60" w:rsidRDefault="007B1BA4" w:rsidP="006F74C6">
            <w:pPr>
              <w:pStyle w:val="TabNumeri"/>
            </w:pPr>
            <w:r w:rsidRPr="00EE2A60">
              <w:t>3,2</w:t>
            </w:r>
          </w:p>
        </w:tc>
        <w:tc>
          <w:tcPr>
            <w:tcW w:w="342" w:type="dxa"/>
          </w:tcPr>
          <w:p w:rsidR="007B1BA4" w:rsidRPr="00EE2A60" w:rsidRDefault="007B1BA4" w:rsidP="006F74C6">
            <w:pPr>
              <w:pStyle w:val="TabNumeri"/>
            </w:pPr>
            <w:r w:rsidRPr="00EE2A60">
              <w:t>[6 7]</w:t>
            </w:r>
          </w:p>
        </w:tc>
      </w:tr>
      <w:tr w:rsidR="007B1BA4" w:rsidTr="006F74C6">
        <w:tblPrEx>
          <w:tblBorders>
            <w:bottom w:val="none" w:sz="0" w:space="0" w:color="auto"/>
          </w:tblBorders>
        </w:tblPrEx>
        <w:trPr>
          <w:cantSplit/>
          <w:trHeight w:val="255"/>
        </w:trPr>
        <w:tc>
          <w:tcPr>
            <w:tcW w:w="2552" w:type="dxa"/>
            <w:shd w:val="clear" w:color="auto" w:fill="EAF1DD" w:themeFill="accent3" w:themeFillTint="33"/>
          </w:tcPr>
          <w:p w:rsidR="007B1BA4" w:rsidRPr="00233F5C" w:rsidRDefault="007B1BA4" w:rsidP="006F74C6">
            <w:pPr>
              <w:pStyle w:val="TabEtichette"/>
            </w:pPr>
            <w:r w:rsidRPr="00233F5C">
              <w:t>Avanzo primario [</w:t>
            </w:r>
            <w:r>
              <w:t>b</w:t>
            </w:r>
            <w:r w:rsidRPr="00233F5C">
              <w:t>]</w:t>
            </w:r>
          </w:p>
        </w:tc>
        <w:tc>
          <w:tcPr>
            <w:tcW w:w="1021" w:type="dxa"/>
            <w:shd w:val="clear" w:color="auto" w:fill="EAF1DD" w:themeFill="accent3" w:themeFillTint="33"/>
          </w:tcPr>
          <w:p w:rsidR="007B1BA4" w:rsidRPr="00D862EC" w:rsidRDefault="007B1BA4" w:rsidP="006F74C6">
            <w:pPr>
              <w:pStyle w:val="TabNumeri"/>
            </w:pPr>
            <w:r>
              <w:t>1,6</w:t>
            </w:r>
          </w:p>
        </w:tc>
        <w:tc>
          <w:tcPr>
            <w:tcW w:w="340" w:type="dxa"/>
            <w:shd w:val="clear" w:color="auto" w:fill="EAF1DD" w:themeFill="accent3" w:themeFillTint="33"/>
          </w:tcPr>
          <w:p w:rsidR="007B1BA4" w:rsidRPr="008A2BE0" w:rsidRDefault="007B1BA4" w:rsidP="006F74C6">
            <w:pPr>
              <w:pStyle w:val="TabNumeri"/>
            </w:pPr>
          </w:p>
        </w:tc>
        <w:tc>
          <w:tcPr>
            <w:tcW w:w="1021" w:type="dxa"/>
            <w:shd w:val="clear" w:color="auto" w:fill="EAF1DD" w:themeFill="accent3" w:themeFillTint="33"/>
          </w:tcPr>
          <w:p w:rsidR="007B1BA4" w:rsidRPr="00811B57" w:rsidRDefault="007B1BA4" w:rsidP="006F74C6">
            <w:pPr>
              <w:pStyle w:val="TabNumeri"/>
            </w:pPr>
            <w:r w:rsidRPr="00811B57">
              <w:t>1,7</w:t>
            </w:r>
          </w:p>
        </w:tc>
        <w:tc>
          <w:tcPr>
            <w:tcW w:w="340" w:type="dxa"/>
            <w:shd w:val="clear" w:color="auto" w:fill="EAF1DD" w:themeFill="accent3" w:themeFillTint="33"/>
          </w:tcPr>
          <w:p w:rsidR="007B1BA4" w:rsidRPr="00811B57" w:rsidRDefault="007B1BA4" w:rsidP="006F74C6">
            <w:pPr>
              <w:pStyle w:val="TabNumeri"/>
            </w:pPr>
          </w:p>
        </w:tc>
        <w:tc>
          <w:tcPr>
            <w:tcW w:w="1021" w:type="dxa"/>
            <w:shd w:val="clear" w:color="auto" w:fill="EAF1DD" w:themeFill="accent3" w:themeFillTint="33"/>
          </w:tcPr>
          <w:p w:rsidR="007B1BA4" w:rsidRPr="00A319C0" w:rsidRDefault="007B1BA4" w:rsidP="006F74C6">
            <w:pPr>
              <w:pStyle w:val="TabNumeri"/>
            </w:pPr>
            <w:r w:rsidRPr="00A319C0">
              <w:t>1,2</w:t>
            </w:r>
          </w:p>
        </w:tc>
        <w:tc>
          <w:tcPr>
            <w:tcW w:w="340" w:type="dxa"/>
            <w:shd w:val="clear" w:color="auto" w:fill="EAF1DD" w:themeFill="accent3" w:themeFillTint="33"/>
          </w:tcPr>
          <w:p w:rsidR="007B1BA4" w:rsidRPr="00A319C0" w:rsidRDefault="007B1BA4" w:rsidP="006F74C6">
            <w:pPr>
              <w:pStyle w:val="TabNumeri"/>
            </w:pPr>
          </w:p>
        </w:tc>
        <w:tc>
          <w:tcPr>
            <w:tcW w:w="1021" w:type="dxa"/>
            <w:shd w:val="clear" w:color="auto" w:fill="EAF1DD" w:themeFill="accent3" w:themeFillTint="33"/>
          </w:tcPr>
          <w:p w:rsidR="007B1BA4" w:rsidRPr="00D32E0A" w:rsidRDefault="007B1BA4" w:rsidP="006F74C6">
            <w:pPr>
              <w:pStyle w:val="TabNumeri"/>
            </w:pPr>
            <w:proofErr w:type="spellStart"/>
            <w:r>
              <w:t>n.d.</w:t>
            </w:r>
            <w:proofErr w:type="spellEnd"/>
          </w:p>
        </w:tc>
        <w:tc>
          <w:tcPr>
            <w:tcW w:w="340" w:type="dxa"/>
            <w:shd w:val="clear" w:color="auto" w:fill="EAF1DD" w:themeFill="accent3" w:themeFillTint="33"/>
          </w:tcPr>
          <w:p w:rsidR="007B1BA4" w:rsidRPr="00D32E0A" w:rsidRDefault="007B1BA4" w:rsidP="006F74C6">
            <w:pPr>
              <w:pStyle w:val="TabNumeri"/>
            </w:pPr>
          </w:p>
        </w:tc>
        <w:tc>
          <w:tcPr>
            <w:tcW w:w="1021" w:type="dxa"/>
            <w:shd w:val="clear" w:color="auto" w:fill="EAF1DD" w:themeFill="accent3" w:themeFillTint="33"/>
          </w:tcPr>
          <w:p w:rsidR="007B1BA4" w:rsidRPr="00EE2A60" w:rsidRDefault="007B1BA4" w:rsidP="006F74C6">
            <w:pPr>
              <w:pStyle w:val="TabNumeri"/>
            </w:pPr>
            <w:r w:rsidRPr="00EE2A60">
              <w:t>1,4</w:t>
            </w:r>
          </w:p>
        </w:tc>
        <w:tc>
          <w:tcPr>
            <w:tcW w:w="342" w:type="dxa"/>
            <w:shd w:val="clear" w:color="auto" w:fill="EAF1DD" w:themeFill="accent3" w:themeFillTint="33"/>
          </w:tcPr>
          <w:p w:rsidR="007B1BA4" w:rsidRPr="00EE2A60" w:rsidRDefault="007B1BA4" w:rsidP="006F74C6">
            <w:pPr>
              <w:pStyle w:val="TabNumeri"/>
            </w:pPr>
            <w:r w:rsidRPr="00EE2A60">
              <w:t>[8]</w:t>
            </w:r>
          </w:p>
        </w:tc>
      </w:tr>
      <w:tr w:rsidR="007B1BA4" w:rsidTr="006F74C6">
        <w:tblPrEx>
          <w:tblBorders>
            <w:bottom w:val="none" w:sz="0" w:space="0" w:color="auto"/>
          </w:tblBorders>
        </w:tblPrEx>
        <w:trPr>
          <w:cantSplit/>
          <w:trHeight w:val="255"/>
        </w:trPr>
        <w:tc>
          <w:tcPr>
            <w:tcW w:w="2552" w:type="dxa"/>
          </w:tcPr>
          <w:p w:rsidR="007B1BA4" w:rsidRPr="00233F5C" w:rsidRDefault="007B1BA4" w:rsidP="006F74C6">
            <w:pPr>
              <w:pStyle w:val="TabEtichette"/>
            </w:pPr>
            <w:r w:rsidRPr="00233F5C">
              <w:t>Ind</w:t>
            </w:r>
            <w:r>
              <w:t>ebitamento A. P. [b</w:t>
            </w:r>
            <w:r w:rsidRPr="00233F5C">
              <w:t>]</w:t>
            </w:r>
          </w:p>
        </w:tc>
        <w:tc>
          <w:tcPr>
            <w:tcW w:w="1021" w:type="dxa"/>
          </w:tcPr>
          <w:p w:rsidR="007B1BA4" w:rsidRPr="00D862EC" w:rsidRDefault="007B1BA4" w:rsidP="006F74C6">
            <w:pPr>
              <w:pStyle w:val="TabNumeri"/>
            </w:pPr>
            <w:r>
              <w:t>2,1</w:t>
            </w:r>
          </w:p>
        </w:tc>
        <w:tc>
          <w:tcPr>
            <w:tcW w:w="340" w:type="dxa"/>
          </w:tcPr>
          <w:p w:rsidR="007B1BA4" w:rsidRPr="004936D0" w:rsidRDefault="007B1BA4" w:rsidP="006F74C6">
            <w:pPr>
              <w:pStyle w:val="TabNumeri"/>
            </w:pPr>
          </w:p>
        </w:tc>
        <w:tc>
          <w:tcPr>
            <w:tcW w:w="1021" w:type="dxa"/>
          </w:tcPr>
          <w:p w:rsidR="007B1BA4" w:rsidRPr="00811B57" w:rsidRDefault="007B1BA4" w:rsidP="006F74C6">
            <w:pPr>
              <w:pStyle w:val="TabNumeri"/>
            </w:pPr>
            <w:r w:rsidRPr="00811B57">
              <w:t>1,7</w:t>
            </w:r>
          </w:p>
        </w:tc>
        <w:tc>
          <w:tcPr>
            <w:tcW w:w="340" w:type="dxa"/>
          </w:tcPr>
          <w:p w:rsidR="007B1BA4" w:rsidRPr="00811B57" w:rsidRDefault="007B1BA4" w:rsidP="006F74C6">
            <w:pPr>
              <w:pStyle w:val="TabNumeri"/>
            </w:pPr>
          </w:p>
        </w:tc>
        <w:tc>
          <w:tcPr>
            <w:tcW w:w="1021" w:type="dxa"/>
          </w:tcPr>
          <w:p w:rsidR="007B1BA4" w:rsidRPr="00A319C0" w:rsidRDefault="007B1BA4" w:rsidP="006F74C6">
            <w:pPr>
              <w:pStyle w:val="TabNumeri"/>
            </w:pPr>
            <w:r w:rsidRPr="00A319C0">
              <w:t>2,5</w:t>
            </w:r>
          </w:p>
        </w:tc>
        <w:tc>
          <w:tcPr>
            <w:tcW w:w="340" w:type="dxa"/>
          </w:tcPr>
          <w:p w:rsidR="007B1BA4" w:rsidRPr="00A319C0" w:rsidRDefault="007B1BA4" w:rsidP="006F74C6">
            <w:pPr>
              <w:pStyle w:val="TabNumeri"/>
            </w:pPr>
          </w:p>
        </w:tc>
        <w:tc>
          <w:tcPr>
            <w:tcW w:w="1021" w:type="dxa"/>
          </w:tcPr>
          <w:p w:rsidR="007B1BA4" w:rsidRPr="00D32E0A" w:rsidRDefault="007B1BA4" w:rsidP="006F74C6">
            <w:pPr>
              <w:pStyle w:val="TabNumeri"/>
            </w:pPr>
            <w:proofErr w:type="spellStart"/>
            <w:r>
              <w:t>n.d.</w:t>
            </w:r>
            <w:proofErr w:type="spellEnd"/>
          </w:p>
        </w:tc>
        <w:tc>
          <w:tcPr>
            <w:tcW w:w="340" w:type="dxa"/>
          </w:tcPr>
          <w:p w:rsidR="007B1BA4" w:rsidRPr="00D32E0A" w:rsidRDefault="007B1BA4" w:rsidP="006F74C6">
            <w:pPr>
              <w:pStyle w:val="TabNumeri"/>
            </w:pPr>
          </w:p>
        </w:tc>
        <w:tc>
          <w:tcPr>
            <w:tcW w:w="1021" w:type="dxa"/>
          </w:tcPr>
          <w:p w:rsidR="007B1BA4" w:rsidRPr="00EE2A60" w:rsidRDefault="007B1BA4" w:rsidP="006F74C6">
            <w:pPr>
              <w:pStyle w:val="TabNumeri"/>
            </w:pPr>
            <w:r w:rsidRPr="00EE2A60">
              <w:t>2,5</w:t>
            </w:r>
          </w:p>
        </w:tc>
        <w:tc>
          <w:tcPr>
            <w:tcW w:w="342" w:type="dxa"/>
          </w:tcPr>
          <w:p w:rsidR="007B1BA4" w:rsidRPr="00EE2A60" w:rsidRDefault="007B1BA4" w:rsidP="006F74C6">
            <w:pPr>
              <w:pStyle w:val="TabNumeri"/>
            </w:pPr>
            <w:r w:rsidRPr="00EE2A60">
              <w:t>[7]</w:t>
            </w:r>
          </w:p>
        </w:tc>
      </w:tr>
      <w:tr w:rsidR="007B1BA4" w:rsidTr="006F74C6">
        <w:tblPrEx>
          <w:tblBorders>
            <w:bottom w:val="none" w:sz="0" w:space="0" w:color="auto"/>
          </w:tblBorders>
        </w:tblPrEx>
        <w:trPr>
          <w:cantSplit/>
          <w:trHeight w:val="255"/>
        </w:trPr>
        <w:tc>
          <w:tcPr>
            <w:tcW w:w="2552" w:type="dxa"/>
            <w:shd w:val="clear" w:color="auto" w:fill="EAF1DD" w:themeFill="accent3" w:themeFillTint="33"/>
          </w:tcPr>
          <w:p w:rsidR="007B1BA4" w:rsidRDefault="007B1BA4" w:rsidP="006F74C6">
            <w:pPr>
              <w:pStyle w:val="TabEtichette"/>
            </w:pPr>
            <w:r>
              <w:t>Debito A. Pubblica [b</w:t>
            </w:r>
            <w:r w:rsidRPr="00233F5C">
              <w:t>]</w:t>
            </w:r>
          </w:p>
        </w:tc>
        <w:tc>
          <w:tcPr>
            <w:tcW w:w="1021" w:type="dxa"/>
            <w:shd w:val="clear" w:color="auto" w:fill="EAF1DD" w:themeFill="accent3" w:themeFillTint="33"/>
          </w:tcPr>
          <w:p w:rsidR="007B1BA4" w:rsidRDefault="007B1BA4" w:rsidP="006F74C6">
            <w:pPr>
              <w:pStyle w:val="TabNumeri"/>
            </w:pPr>
            <w:r>
              <w:t>132,1</w:t>
            </w:r>
          </w:p>
        </w:tc>
        <w:tc>
          <w:tcPr>
            <w:tcW w:w="340" w:type="dxa"/>
            <w:shd w:val="clear" w:color="auto" w:fill="EAF1DD" w:themeFill="accent3" w:themeFillTint="33"/>
          </w:tcPr>
          <w:p w:rsidR="007B1BA4" w:rsidRPr="008A2BE0" w:rsidRDefault="007B1BA4" w:rsidP="006F74C6">
            <w:pPr>
              <w:pStyle w:val="TabNumeri"/>
            </w:pPr>
          </w:p>
        </w:tc>
        <w:tc>
          <w:tcPr>
            <w:tcW w:w="1021" w:type="dxa"/>
            <w:shd w:val="clear" w:color="auto" w:fill="EAF1DD" w:themeFill="accent3" w:themeFillTint="33"/>
          </w:tcPr>
          <w:p w:rsidR="007B1BA4" w:rsidRPr="00811B57" w:rsidRDefault="007B1BA4" w:rsidP="006F74C6">
            <w:pPr>
              <w:pStyle w:val="TabNumeri"/>
            </w:pPr>
            <w:r w:rsidRPr="00811B57">
              <w:t>128,7</w:t>
            </w:r>
          </w:p>
        </w:tc>
        <w:tc>
          <w:tcPr>
            <w:tcW w:w="340" w:type="dxa"/>
            <w:shd w:val="clear" w:color="auto" w:fill="EAF1DD" w:themeFill="accent3" w:themeFillTint="33"/>
          </w:tcPr>
          <w:p w:rsidR="007B1BA4" w:rsidRDefault="007B1BA4" w:rsidP="006F74C6">
            <w:pPr>
              <w:pStyle w:val="TabNumeri"/>
            </w:pPr>
          </w:p>
        </w:tc>
        <w:tc>
          <w:tcPr>
            <w:tcW w:w="1021" w:type="dxa"/>
            <w:shd w:val="clear" w:color="auto" w:fill="EAF1DD" w:themeFill="accent3" w:themeFillTint="33"/>
          </w:tcPr>
          <w:p w:rsidR="007B1BA4" w:rsidRPr="00A319C0" w:rsidRDefault="007B1BA4" w:rsidP="006F74C6">
            <w:pPr>
              <w:pStyle w:val="TabNumeri"/>
            </w:pPr>
            <w:r w:rsidRPr="00A319C0">
              <w:t>129,9</w:t>
            </w:r>
          </w:p>
        </w:tc>
        <w:tc>
          <w:tcPr>
            <w:tcW w:w="340" w:type="dxa"/>
            <w:shd w:val="clear" w:color="auto" w:fill="EAF1DD" w:themeFill="accent3" w:themeFillTint="33"/>
          </w:tcPr>
          <w:p w:rsidR="007B1BA4" w:rsidRDefault="007B1BA4" w:rsidP="006F74C6">
            <w:pPr>
              <w:pStyle w:val="TabNumeri"/>
            </w:pPr>
          </w:p>
        </w:tc>
        <w:tc>
          <w:tcPr>
            <w:tcW w:w="1021" w:type="dxa"/>
            <w:shd w:val="clear" w:color="auto" w:fill="EAF1DD" w:themeFill="accent3" w:themeFillTint="33"/>
          </w:tcPr>
          <w:p w:rsidR="007B1BA4" w:rsidRPr="00D32E0A" w:rsidRDefault="007B1BA4" w:rsidP="006F74C6">
            <w:pPr>
              <w:pStyle w:val="TabNumeri"/>
            </w:pPr>
            <w:proofErr w:type="spellStart"/>
            <w:r>
              <w:t>n.d.</w:t>
            </w:r>
            <w:proofErr w:type="spellEnd"/>
          </w:p>
        </w:tc>
        <w:tc>
          <w:tcPr>
            <w:tcW w:w="340" w:type="dxa"/>
            <w:shd w:val="clear" w:color="auto" w:fill="EAF1DD" w:themeFill="accent3" w:themeFillTint="33"/>
          </w:tcPr>
          <w:p w:rsidR="007B1BA4" w:rsidRDefault="007B1BA4" w:rsidP="006F74C6">
            <w:pPr>
              <w:pStyle w:val="TabNumeri"/>
            </w:pPr>
          </w:p>
        </w:tc>
        <w:tc>
          <w:tcPr>
            <w:tcW w:w="1021" w:type="dxa"/>
            <w:shd w:val="clear" w:color="auto" w:fill="EAF1DD" w:themeFill="accent3" w:themeFillTint="33"/>
          </w:tcPr>
          <w:p w:rsidR="007B1BA4" w:rsidRPr="00EE2A60" w:rsidRDefault="007B1BA4" w:rsidP="006F74C6">
            <w:pPr>
              <w:pStyle w:val="TabNumeri"/>
            </w:pPr>
            <w:r w:rsidRPr="00EE2A60">
              <w:t>132,4</w:t>
            </w:r>
          </w:p>
        </w:tc>
        <w:tc>
          <w:tcPr>
            <w:tcW w:w="342" w:type="dxa"/>
            <w:shd w:val="clear" w:color="auto" w:fill="EAF1DD" w:themeFill="accent3" w:themeFillTint="33"/>
          </w:tcPr>
          <w:p w:rsidR="007B1BA4" w:rsidRDefault="007B1BA4" w:rsidP="006F74C6">
            <w:pPr>
              <w:pStyle w:val="TabNumeri"/>
            </w:pPr>
            <w:r w:rsidRPr="00EE2A60">
              <w:t>[8]</w:t>
            </w:r>
          </w:p>
        </w:tc>
      </w:tr>
      <w:tr w:rsidR="007B1BA4" w:rsidRPr="00D76DB6" w:rsidTr="006F74C6">
        <w:tblPrEx>
          <w:tblBorders>
            <w:bottom w:val="none" w:sz="0" w:space="0" w:color="auto"/>
          </w:tblBorders>
        </w:tblPrEx>
        <w:trPr>
          <w:cantSplit/>
        </w:trPr>
        <w:tc>
          <w:tcPr>
            <w:tcW w:w="9359" w:type="dxa"/>
            <w:gridSpan w:val="11"/>
            <w:tcBorders>
              <w:top w:val="single" w:sz="4" w:space="0" w:color="A50021"/>
            </w:tcBorders>
          </w:tcPr>
          <w:p w:rsidR="007B1BA4" w:rsidRPr="00042A50" w:rsidRDefault="007B1BA4" w:rsidP="006F74C6">
            <w:pPr>
              <w:pStyle w:val="TabNoteSuperiori"/>
            </w:pPr>
            <w:r>
              <w:t>a</w:t>
            </w:r>
            <w:r w:rsidRPr="00D76DB6">
              <w:t>] Tasso percentuale. [</w:t>
            </w:r>
            <w:r>
              <w:t>b</w:t>
            </w:r>
            <w:r w:rsidRPr="00D76DB6">
              <w:t xml:space="preserve">] </w:t>
            </w:r>
            <w:r w:rsidRPr="00042A50">
              <w:t xml:space="preserve">Percentuale sul Pil. [1] Variazioni del PIL e delle sue componenti stimate su dati trimestrali destagionalizzati e corretti per il numero di giornate. [2] </w:t>
            </w:r>
            <w:proofErr w:type="spellStart"/>
            <w:r w:rsidRPr="00042A50">
              <w:t>Investment</w:t>
            </w:r>
            <w:proofErr w:type="spellEnd"/>
            <w:r w:rsidRPr="00042A50">
              <w:t xml:space="preserve"> in </w:t>
            </w:r>
            <w:proofErr w:type="spellStart"/>
            <w:r w:rsidRPr="00042A50">
              <w:t>equipment</w:t>
            </w:r>
            <w:proofErr w:type="spellEnd"/>
            <w:r w:rsidRPr="00042A50">
              <w:t xml:space="preserve">. Investimenti in beni strumentali. [3] Persone. [4] Unità di lavoro standard. [5] Tasso di inflazione armonizzato Ue. [6] Bilancia commerciale (in % del Pil). </w:t>
            </w:r>
            <w:r w:rsidRPr="0068342D">
              <w:t xml:space="preserve">[7] </w:t>
            </w:r>
            <w:proofErr w:type="spellStart"/>
            <w:r w:rsidRPr="0068342D">
              <w:t>Promoteia</w:t>
            </w:r>
            <w:proofErr w:type="spellEnd"/>
            <w:r w:rsidRPr="0068342D">
              <w:t xml:space="preserve"> Brief, febbraio 2019. [8] Rapporto di previsione, dicembre 2018</w:t>
            </w:r>
            <w:r w:rsidRPr="00042A50">
              <w:t>.</w:t>
            </w:r>
          </w:p>
          <w:p w:rsidR="007B1BA4" w:rsidRPr="00D76DB6" w:rsidRDefault="007B1BA4" w:rsidP="006F74C6">
            <w:pPr>
              <w:pStyle w:val="TabNoteInferiori"/>
            </w:pPr>
            <w:r w:rsidRPr="00042A50">
              <w:t xml:space="preserve">Fonte Istat, Pil e indebitamento AP, Prezzi al consumo, Occupati e disoccupati; Fmi, World </w:t>
            </w:r>
            <w:proofErr w:type="spellStart"/>
            <w:r w:rsidRPr="00042A50">
              <w:t>Economic</w:t>
            </w:r>
            <w:proofErr w:type="spellEnd"/>
            <w:r w:rsidRPr="00042A50">
              <w:t xml:space="preserve"> Outlook;  Oecd, </w:t>
            </w:r>
            <w:proofErr w:type="spellStart"/>
            <w:r w:rsidRPr="00042A50">
              <w:t>Economic</w:t>
            </w:r>
            <w:proofErr w:type="spellEnd"/>
            <w:r w:rsidRPr="00042A50">
              <w:t xml:space="preserve"> Outlook; Banca d’Italia, Bollettino economico; Prometeia, Rapporto di Previsione; Prometeia, Brief.</w:t>
            </w:r>
          </w:p>
        </w:tc>
      </w:tr>
    </w:tbl>
    <w:p w:rsidR="00A75C22" w:rsidRDefault="00A75C22" w:rsidP="00A75C22">
      <w:r>
        <w:t xml:space="preserve">La crescita dell’indice armonizzato dei prezzi al consumo non è andata oltre l’1,2 per cento nel 2018 e per il 2019 si prospetta un ulteriore rallentamento della loro dinamica, tra l’1 e lo 0,8 per cento. </w:t>
      </w:r>
    </w:p>
    <w:p w:rsidR="00A75C22" w:rsidRDefault="00A75C22" w:rsidP="00A75C22">
      <w:r>
        <w:lastRenderedPageBreak/>
        <w:t>La crescita dell’occupazione si è ridotta nel 2018 (+0,9 per cento), le previsioni più recenti prospettano un’inversione di tendenza e una sua leggera riduzione per il 2019. Il tasso di disoccupazione è sceso dall’11,2 del 2017, al 10,6 per cento del 2018, ma dovrebbe assestarsi non al di sotto del 10,5 per cento nel 2019.</w:t>
      </w:r>
    </w:p>
    <w:p w:rsidR="00A75C22" w:rsidRDefault="00A75C22" w:rsidP="00A75C22">
      <w:r>
        <w:t xml:space="preserve">Secondo i dati provvisori di Banca d’Italia, riferiti allo scorso novembre, la crescita del credito al settore privato non finanziario è proseguita a un ritmo moderato (1,8 per cento), i prestiti erogati alle famiglie sono cresciuti del 2,7 per cento e quelli alle imprese dell’1,1 per cento. rispetto a un anno prima. Il costo del credito salirà se il più elevato livello dei rendimenti sovrani risultasse persistente. </w:t>
      </w:r>
    </w:p>
    <w:p w:rsidR="00A75C22" w:rsidRDefault="00A75C22" w:rsidP="00A75C22">
      <w:r>
        <w:t>L’interconnessione tra elevato debito pubblico e sistema bancario costituisce il principale rischio per la finanza nazionale. La politica fiscale è particolarmente vulnerabile a aumenti dei tassi di interesse.</w:t>
      </w:r>
    </w:p>
    <w:p w:rsidR="0021718E" w:rsidRDefault="00A75C22" w:rsidP="00A75C22">
      <w:r>
        <w:t xml:space="preserve">Nel 2018 il deficit pubblico in rapporto al prodotto interno lordo si è ridotto solo al 2,1 per cento. Secondo Prometeia dovrebbe risalire al 2,5 per cento nel 2019. Le tensioni sui tassi si scaricano sull’onere del debito, </w:t>
      </w:r>
      <w:proofErr w:type="spellStart"/>
      <w:r>
        <w:t>peggioranrdo</w:t>
      </w:r>
      <w:proofErr w:type="spellEnd"/>
      <w:r>
        <w:t xml:space="preserve"> il differenziale con la crescita del Pil nominale. Il debito pubblico in rapporto al Pil è salito dal 131,2 per cento del 2017 al 132.1 nel 2018. Le previsioni più recenti prospettano un suo ulteriore lieve appesantimento per il 2019 (132,4 per cento).</w:t>
      </w:r>
    </w:p>
    <w:p w:rsidR="00F858D8" w:rsidRDefault="00CF2079" w:rsidP="00F858D8">
      <w:pPr>
        <w:pStyle w:val="Titolo2"/>
      </w:pPr>
      <w:r>
        <w:t>X</w:t>
      </w:r>
      <w:r w:rsidR="00F858D8">
        <w:t>.</w:t>
      </w:r>
      <w:r w:rsidR="00C43F0D">
        <w:t>4</w:t>
      </w:r>
      <w:r w:rsidR="00F858D8">
        <w:t>.</w:t>
      </w:r>
      <w:r w:rsidR="00F858D8">
        <w:tab/>
      </w:r>
      <w:bookmarkStart w:id="1" w:name="OLE_LINK1"/>
      <w:r w:rsidR="00F858D8">
        <w:t>Il quadro regionale</w:t>
      </w:r>
      <w:bookmarkEnd w:id="1"/>
    </w:p>
    <w:p w:rsidR="00CB1ECC" w:rsidRDefault="00CB1ECC" w:rsidP="00CB1ECC">
      <w:pPr>
        <w:pStyle w:val="Titolo4"/>
      </w:pPr>
      <w:r>
        <w:t>Pil e conto economico</w:t>
      </w:r>
    </w:p>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0962AA" w:rsidTr="006F74C6">
        <w:trPr>
          <w:cantSplit/>
        </w:trPr>
        <w:tc>
          <w:tcPr>
            <w:tcW w:w="9356" w:type="dxa"/>
            <w:gridSpan w:val="5"/>
            <w:tcBorders>
              <w:bottom w:val="single" w:sz="4" w:space="0" w:color="800000"/>
            </w:tcBorders>
          </w:tcPr>
          <w:p w:rsidR="000962AA" w:rsidRPr="007C570B" w:rsidRDefault="000962AA" w:rsidP="006F74C6">
            <w:pPr>
              <w:pStyle w:val="TabTitolo"/>
              <w:ind w:left="1134" w:hanging="1134"/>
            </w:pPr>
            <w:r>
              <w:t>Previsione per l’Emilia-Romagna. Tassi di variazione percentuali</w:t>
            </w:r>
            <w:r w:rsidRPr="007C570B">
              <w:t xml:space="preserve"> su valori </w:t>
            </w:r>
            <w:r>
              <w:t xml:space="preserve">concatenati, anno di </w:t>
            </w:r>
            <w:proofErr w:type="spellStart"/>
            <w:r>
              <w:t>riferim</w:t>
            </w:r>
            <w:proofErr w:type="spellEnd"/>
            <w:r>
              <w:t>. 2010</w:t>
            </w:r>
          </w:p>
        </w:tc>
      </w:tr>
      <w:tr w:rsidR="000962AA" w:rsidTr="006F74C6">
        <w:trPr>
          <w:cantSplit/>
        </w:trPr>
        <w:tc>
          <w:tcPr>
            <w:tcW w:w="4820" w:type="dxa"/>
            <w:tcBorders>
              <w:bottom w:val="single" w:sz="4" w:space="0" w:color="800000"/>
            </w:tcBorders>
            <w:vAlign w:val="bottom"/>
          </w:tcPr>
          <w:p w:rsidR="000962AA" w:rsidRDefault="000962AA" w:rsidP="006F74C6">
            <w:pPr>
              <w:pStyle w:val="TabIntestazioni"/>
              <w:rPr>
                <w:rFonts w:eastAsia="Arial Unicode MS"/>
              </w:rPr>
            </w:pPr>
          </w:p>
        </w:tc>
        <w:tc>
          <w:tcPr>
            <w:tcW w:w="1134" w:type="dxa"/>
            <w:tcBorders>
              <w:bottom w:val="single" w:sz="4" w:space="0" w:color="800000"/>
            </w:tcBorders>
          </w:tcPr>
          <w:p w:rsidR="000962AA" w:rsidRPr="0085406E" w:rsidRDefault="000962AA" w:rsidP="006F74C6">
            <w:pPr>
              <w:pStyle w:val="TabIntestazioni"/>
            </w:pPr>
            <w:r w:rsidRPr="0085406E">
              <w:t>2017</w:t>
            </w:r>
          </w:p>
        </w:tc>
        <w:tc>
          <w:tcPr>
            <w:tcW w:w="1134" w:type="dxa"/>
            <w:tcBorders>
              <w:bottom w:val="single" w:sz="4" w:space="0" w:color="800000"/>
            </w:tcBorders>
          </w:tcPr>
          <w:p w:rsidR="000962AA" w:rsidRPr="0085406E" w:rsidRDefault="000962AA" w:rsidP="006F74C6">
            <w:pPr>
              <w:pStyle w:val="TabIntestazioni"/>
            </w:pPr>
            <w:r w:rsidRPr="0085406E">
              <w:t>2018</w:t>
            </w:r>
          </w:p>
        </w:tc>
        <w:tc>
          <w:tcPr>
            <w:tcW w:w="1134" w:type="dxa"/>
            <w:tcBorders>
              <w:bottom w:val="single" w:sz="4" w:space="0" w:color="800000"/>
            </w:tcBorders>
          </w:tcPr>
          <w:p w:rsidR="000962AA" w:rsidRPr="0085406E" w:rsidRDefault="000962AA" w:rsidP="006F74C6">
            <w:pPr>
              <w:pStyle w:val="TabIntestazioni"/>
            </w:pPr>
            <w:r w:rsidRPr="0085406E">
              <w:t>2019</w:t>
            </w:r>
          </w:p>
        </w:tc>
        <w:tc>
          <w:tcPr>
            <w:tcW w:w="1134" w:type="dxa"/>
            <w:tcBorders>
              <w:bottom w:val="single" w:sz="4" w:space="0" w:color="800000"/>
            </w:tcBorders>
          </w:tcPr>
          <w:p w:rsidR="000962AA" w:rsidRPr="0085406E" w:rsidRDefault="000962AA" w:rsidP="006F74C6">
            <w:pPr>
              <w:pStyle w:val="TabIntestazioni"/>
            </w:pPr>
            <w:r w:rsidRPr="0085406E">
              <w:t>20</w:t>
            </w:r>
            <w:r>
              <w:t>20</w:t>
            </w:r>
          </w:p>
        </w:tc>
      </w:tr>
      <w:tr w:rsidR="000962AA" w:rsidTr="006F74C6">
        <w:trPr>
          <w:cantSplit/>
          <w:trHeight w:hRule="exact" w:val="57"/>
        </w:trPr>
        <w:tc>
          <w:tcPr>
            <w:tcW w:w="4820" w:type="dxa"/>
            <w:tcBorders>
              <w:top w:val="single" w:sz="4" w:space="0" w:color="800000"/>
            </w:tcBorders>
          </w:tcPr>
          <w:p w:rsidR="000962AA" w:rsidRPr="00686A56" w:rsidRDefault="000962AA" w:rsidP="006F74C6">
            <w:pPr>
              <w:pStyle w:val="TabEtichette"/>
              <w:rPr>
                <w:rFonts w:eastAsia="Arial Unicode MS"/>
              </w:rPr>
            </w:pPr>
          </w:p>
        </w:tc>
        <w:tc>
          <w:tcPr>
            <w:tcW w:w="1134" w:type="dxa"/>
            <w:tcBorders>
              <w:top w:val="single" w:sz="4" w:space="0" w:color="800000"/>
            </w:tcBorders>
          </w:tcPr>
          <w:p w:rsidR="000962AA" w:rsidRPr="0085406E" w:rsidRDefault="000962AA" w:rsidP="006F74C6"/>
        </w:tc>
        <w:tc>
          <w:tcPr>
            <w:tcW w:w="1134" w:type="dxa"/>
            <w:tcBorders>
              <w:top w:val="single" w:sz="4" w:space="0" w:color="800000"/>
            </w:tcBorders>
          </w:tcPr>
          <w:p w:rsidR="000962AA" w:rsidRPr="0085406E" w:rsidRDefault="000962AA" w:rsidP="006F74C6"/>
        </w:tc>
        <w:tc>
          <w:tcPr>
            <w:tcW w:w="1134" w:type="dxa"/>
            <w:tcBorders>
              <w:top w:val="single" w:sz="4" w:space="0" w:color="800000"/>
            </w:tcBorders>
          </w:tcPr>
          <w:p w:rsidR="000962AA" w:rsidRPr="0085406E" w:rsidRDefault="000962AA" w:rsidP="006F74C6"/>
        </w:tc>
        <w:tc>
          <w:tcPr>
            <w:tcW w:w="1134" w:type="dxa"/>
            <w:tcBorders>
              <w:top w:val="single" w:sz="4" w:space="0" w:color="800000"/>
            </w:tcBorders>
          </w:tcPr>
          <w:p w:rsidR="000962AA" w:rsidRPr="0085406E" w:rsidRDefault="000962AA" w:rsidP="006F74C6"/>
        </w:tc>
      </w:tr>
      <w:tr w:rsidR="000962AA" w:rsidTr="006F74C6">
        <w:trPr>
          <w:cantSplit/>
          <w:trHeight w:val="227"/>
        </w:trPr>
        <w:tc>
          <w:tcPr>
            <w:tcW w:w="4820" w:type="dxa"/>
          </w:tcPr>
          <w:p w:rsidR="000962AA" w:rsidRPr="00F039B7" w:rsidRDefault="000962AA" w:rsidP="006F74C6">
            <w:pPr>
              <w:pStyle w:val="TabEtichetteBold"/>
              <w:rPr>
                <w:rFonts w:eastAsia="Arial Unicode MS"/>
              </w:rPr>
            </w:pPr>
            <w:r w:rsidRPr="00F039B7">
              <w:t>Conto economico</w:t>
            </w:r>
          </w:p>
        </w:tc>
        <w:tc>
          <w:tcPr>
            <w:tcW w:w="1134" w:type="dxa"/>
          </w:tcPr>
          <w:p w:rsidR="000962AA" w:rsidRPr="0085406E" w:rsidRDefault="000962AA" w:rsidP="006F74C6">
            <w:pPr>
              <w:pStyle w:val="tabnum"/>
            </w:pPr>
          </w:p>
        </w:tc>
        <w:tc>
          <w:tcPr>
            <w:tcW w:w="1134" w:type="dxa"/>
          </w:tcPr>
          <w:p w:rsidR="000962AA" w:rsidRPr="0085406E" w:rsidRDefault="000962AA" w:rsidP="006F74C6">
            <w:pPr>
              <w:pStyle w:val="tabnum"/>
            </w:pPr>
          </w:p>
        </w:tc>
        <w:tc>
          <w:tcPr>
            <w:tcW w:w="1134" w:type="dxa"/>
          </w:tcPr>
          <w:p w:rsidR="000962AA" w:rsidRPr="0085406E" w:rsidRDefault="000962AA" w:rsidP="006F74C6">
            <w:pPr>
              <w:pStyle w:val="tabnum"/>
            </w:pPr>
          </w:p>
        </w:tc>
        <w:tc>
          <w:tcPr>
            <w:tcW w:w="1134" w:type="dxa"/>
          </w:tcPr>
          <w:p w:rsidR="000962AA" w:rsidRPr="0085406E" w:rsidRDefault="000962AA" w:rsidP="006F74C6">
            <w:pPr>
              <w:pStyle w:val="tabnum"/>
            </w:pPr>
          </w:p>
        </w:tc>
      </w:tr>
      <w:tr w:rsidR="000962AA" w:rsidTr="006F74C6">
        <w:trPr>
          <w:cantSplit/>
          <w:trHeight w:val="227"/>
        </w:trPr>
        <w:tc>
          <w:tcPr>
            <w:tcW w:w="4820" w:type="dxa"/>
            <w:shd w:val="clear" w:color="auto" w:fill="DAEEF3" w:themeFill="accent5" w:themeFillTint="33"/>
          </w:tcPr>
          <w:p w:rsidR="000962AA" w:rsidRDefault="000962AA" w:rsidP="006F74C6">
            <w:pPr>
              <w:pStyle w:val="TabEtichette"/>
              <w:rPr>
                <w:rFonts w:eastAsia="Arial Unicode MS"/>
              </w:rPr>
            </w:pPr>
            <w:r>
              <w:t>Prodotto interno lordo</w:t>
            </w:r>
          </w:p>
        </w:tc>
        <w:tc>
          <w:tcPr>
            <w:tcW w:w="1134" w:type="dxa"/>
            <w:shd w:val="clear" w:color="auto" w:fill="DAEEF3" w:themeFill="accent5" w:themeFillTint="33"/>
          </w:tcPr>
          <w:p w:rsidR="000962AA" w:rsidRPr="00BC77D2" w:rsidRDefault="000962AA" w:rsidP="006F74C6">
            <w:pPr>
              <w:pStyle w:val="TabNumeri"/>
            </w:pPr>
            <w:r w:rsidRPr="00BC77D2">
              <w:t>1,8</w:t>
            </w:r>
          </w:p>
        </w:tc>
        <w:tc>
          <w:tcPr>
            <w:tcW w:w="1134" w:type="dxa"/>
            <w:shd w:val="clear" w:color="auto" w:fill="DAEEF3" w:themeFill="accent5" w:themeFillTint="33"/>
          </w:tcPr>
          <w:p w:rsidR="000962AA" w:rsidRPr="00BC77D2" w:rsidRDefault="000962AA" w:rsidP="006F74C6">
            <w:pPr>
              <w:pStyle w:val="TabNumeri"/>
            </w:pPr>
            <w:r w:rsidRPr="00BC77D2">
              <w:t>1,4</w:t>
            </w:r>
          </w:p>
        </w:tc>
        <w:tc>
          <w:tcPr>
            <w:tcW w:w="1134" w:type="dxa"/>
            <w:shd w:val="clear" w:color="auto" w:fill="DAEEF3" w:themeFill="accent5" w:themeFillTint="33"/>
          </w:tcPr>
          <w:p w:rsidR="000962AA" w:rsidRPr="00BC77D2" w:rsidRDefault="000962AA" w:rsidP="006F74C6">
            <w:pPr>
              <w:pStyle w:val="TabNumeri"/>
            </w:pPr>
            <w:r w:rsidRPr="00BC77D2">
              <w:t>0,7</w:t>
            </w:r>
          </w:p>
        </w:tc>
        <w:tc>
          <w:tcPr>
            <w:tcW w:w="1134" w:type="dxa"/>
            <w:shd w:val="clear" w:color="auto" w:fill="DAEEF3" w:themeFill="accent5" w:themeFillTint="33"/>
          </w:tcPr>
          <w:p w:rsidR="000962AA" w:rsidRPr="00BC77D2" w:rsidRDefault="000962AA" w:rsidP="006F74C6">
            <w:pPr>
              <w:pStyle w:val="TabNumeri"/>
            </w:pPr>
            <w:r w:rsidRPr="00BC77D2">
              <w:t>1,0</w:t>
            </w:r>
          </w:p>
        </w:tc>
      </w:tr>
      <w:tr w:rsidR="000962AA" w:rsidTr="006F74C6">
        <w:trPr>
          <w:cantSplit/>
          <w:trHeight w:val="227"/>
        </w:trPr>
        <w:tc>
          <w:tcPr>
            <w:tcW w:w="4820" w:type="dxa"/>
          </w:tcPr>
          <w:p w:rsidR="000962AA" w:rsidRDefault="000962AA" w:rsidP="006F74C6">
            <w:pPr>
              <w:pStyle w:val="TabEtichette"/>
              <w:rPr>
                <w:rFonts w:eastAsia="Arial Unicode MS"/>
              </w:rPr>
            </w:pPr>
            <w:r>
              <w:t>Domanda interna</w:t>
            </w:r>
            <w:r>
              <w:rPr>
                <w:vertAlign w:val="superscript"/>
              </w:rPr>
              <w:t>(1</w:t>
            </w:r>
            <w:r w:rsidRPr="002F2B82">
              <w:rPr>
                <w:vertAlign w:val="superscript"/>
              </w:rPr>
              <w:t>)</w:t>
            </w:r>
          </w:p>
        </w:tc>
        <w:tc>
          <w:tcPr>
            <w:tcW w:w="1134" w:type="dxa"/>
          </w:tcPr>
          <w:p w:rsidR="000962AA" w:rsidRPr="00BC77D2" w:rsidRDefault="000962AA" w:rsidP="006F74C6">
            <w:pPr>
              <w:pStyle w:val="TabNumeri"/>
            </w:pPr>
            <w:r w:rsidRPr="00BC77D2">
              <w:t>2,5</w:t>
            </w:r>
          </w:p>
        </w:tc>
        <w:tc>
          <w:tcPr>
            <w:tcW w:w="1134" w:type="dxa"/>
          </w:tcPr>
          <w:p w:rsidR="000962AA" w:rsidRPr="00BC77D2" w:rsidRDefault="000962AA" w:rsidP="006F74C6">
            <w:pPr>
              <w:pStyle w:val="TabNumeri"/>
            </w:pPr>
            <w:r w:rsidRPr="00BC77D2">
              <w:t>1,7</w:t>
            </w:r>
          </w:p>
        </w:tc>
        <w:tc>
          <w:tcPr>
            <w:tcW w:w="1134" w:type="dxa"/>
          </w:tcPr>
          <w:p w:rsidR="000962AA" w:rsidRPr="00BC77D2" w:rsidRDefault="000962AA" w:rsidP="006F74C6">
            <w:pPr>
              <w:pStyle w:val="TabNumeri"/>
            </w:pPr>
            <w:r w:rsidRPr="00BC77D2">
              <w:t>0,9</w:t>
            </w:r>
          </w:p>
        </w:tc>
        <w:tc>
          <w:tcPr>
            <w:tcW w:w="1134" w:type="dxa"/>
          </w:tcPr>
          <w:p w:rsidR="000962AA" w:rsidRPr="00BC77D2" w:rsidRDefault="000962AA" w:rsidP="006F74C6">
            <w:pPr>
              <w:pStyle w:val="TabNumeri"/>
            </w:pPr>
            <w:r w:rsidRPr="00BC77D2">
              <w:t>1,1</w:t>
            </w:r>
          </w:p>
        </w:tc>
      </w:tr>
      <w:tr w:rsidR="000962AA" w:rsidTr="006F74C6">
        <w:trPr>
          <w:cantSplit/>
          <w:trHeight w:val="227"/>
        </w:trPr>
        <w:tc>
          <w:tcPr>
            <w:tcW w:w="4820" w:type="dxa"/>
            <w:shd w:val="clear" w:color="auto" w:fill="DAEEF3" w:themeFill="accent5" w:themeFillTint="33"/>
          </w:tcPr>
          <w:p w:rsidR="000962AA" w:rsidRDefault="000962AA" w:rsidP="006F74C6">
            <w:pPr>
              <w:pStyle w:val="TabEtichette"/>
              <w:rPr>
                <w:rFonts w:eastAsia="Arial Unicode MS"/>
              </w:rPr>
            </w:pPr>
            <w:r>
              <w:t xml:space="preserve">   Consumi delle famiglie</w:t>
            </w:r>
          </w:p>
        </w:tc>
        <w:tc>
          <w:tcPr>
            <w:tcW w:w="1134" w:type="dxa"/>
            <w:shd w:val="clear" w:color="auto" w:fill="DAEEF3" w:themeFill="accent5" w:themeFillTint="33"/>
          </w:tcPr>
          <w:p w:rsidR="000962AA" w:rsidRPr="00BC77D2" w:rsidRDefault="000962AA" w:rsidP="006F74C6">
            <w:pPr>
              <w:pStyle w:val="TabNumeri"/>
            </w:pPr>
            <w:r w:rsidRPr="00BC77D2">
              <w:t>2,0</w:t>
            </w:r>
          </w:p>
        </w:tc>
        <w:tc>
          <w:tcPr>
            <w:tcW w:w="1134" w:type="dxa"/>
            <w:shd w:val="clear" w:color="auto" w:fill="DAEEF3" w:themeFill="accent5" w:themeFillTint="33"/>
          </w:tcPr>
          <w:p w:rsidR="000962AA" w:rsidRPr="00BC77D2" w:rsidRDefault="000962AA" w:rsidP="006F74C6">
            <w:pPr>
              <w:pStyle w:val="TabNumeri"/>
            </w:pPr>
            <w:r w:rsidRPr="00BC77D2">
              <w:t>1,0</w:t>
            </w:r>
          </w:p>
        </w:tc>
        <w:tc>
          <w:tcPr>
            <w:tcW w:w="1134" w:type="dxa"/>
            <w:shd w:val="clear" w:color="auto" w:fill="DAEEF3" w:themeFill="accent5" w:themeFillTint="33"/>
          </w:tcPr>
          <w:p w:rsidR="000962AA" w:rsidRPr="00BC77D2" w:rsidRDefault="000962AA" w:rsidP="006F74C6">
            <w:pPr>
              <w:pStyle w:val="TabNumeri"/>
            </w:pPr>
            <w:r w:rsidRPr="00BC77D2">
              <w:t>0,9</w:t>
            </w:r>
          </w:p>
        </w:tc>
        <w:tc>
          <w:tcPr>
            <w:tcW w:w="1134" w:type="dxa"/>
            <w:shd w:val="clear" w:color="auto" w:fill="DAEEF3" w:themeFill="accent5" w:themeFillTint="33"/>
          </w:tcPr>
          <w:p w:rsidR="000962AA" w:rsidRPr="00BC77D2" w:rsidRDefault="000962AA" w:rsidP="006F74C6">
            <w:pPr>
              <w:pStyle w:val="TabNumeri"/>
            </w:pPr>
            <w:r w:rsidRPr="00BC77D2">
              <w:t>0,9</w:t>
            </w:r>
          </w:p>
        </w:tc>
      </w:tr>
      <w:tr w:rsidR="000962AA" w:rsidTr="006F74C6">
        <w:trPr>
          <w:cantSplit/>
          <w:trHeight w:val="227"/>
        </w:trPr>
        <w:tc>
          <w:tcPr>
            <w:tcW w:w="4820" w:type="dxa"/>
          </w:tcPr>
          <w:p w:rsidR="000962AA" w:rsidRDefault="000962AA" w:rsidP="006F74C6">
            <w:pPr>
              <w:pStyle w:val="TabEtichette"/>
              <w:rPr>
                <w:rFonts w:eastAsia="Arial Unicode MS"/>
              </w:rPr>
            </w:pPr>
            <w:r>
              <w:t xml:space="preserve">   Consumi delle AAPP e ISP</w:t>
            </w:r>
          </w:p>
        </w:tc>
        <w:tc>
          <w:tcPr>
            <w:tcW w:w="1134" w:type="dxa"/>
          </w:tcPr>
          <w:p w:rsidR="000962AA" w:rsidRPr="00BC77D2" w:rsidRDefault="000962AA" w:rsidP="006F74C6">
            <w:pPr>
              <w:pStyle w:val="TabNumeri"/>
            </w:pPr>
            <w:r w:rsidRPr="00BC77D2">
              <w:t>0,4</w:t>
            </w:r>
          </w:p>
        </w:tc>
        <w:tc>
          <w:tcPr>
            <w:tcW w:w="1134" w:type="dxa"/>
          </w:tcPr>
          <w:p w:rsidR="000962AA" w:rsidRPr="00BC77D2" w:rsidRDefault="000962AA" w:rsidP="006F74C6">
            <w:pPr>
              <w:pStyle w:val="TabNumeri"/>
            </w:pPr>
            <w:r w:rsidRPr="00BC77D2">
              <w:t>0,4</w:t>
            </w:r>
          </w:p>
        </w:tc>
        <w:tc>
          <w:tcPr>
            <w:tcW w:w="1134" w:type="dxa"/>
          </w:tcPr>
          <w:p w:rsidR="000962AA" w:rsidRPr="00BC77D2" w:rsidRDefault="000962AA" w:rsidP="006F74C6">
            <w:pPr>
              <w:pStyle w:val="TabNumeri"/>
            </w:pPr>
            <w:r w:rsidRPr="00BC77D2">
              <w:t>1,0</w:t>
            </w:r>
          </w:p>
        </w:tc>
        <w:tc>
          <w:tcPr>
            <w:tcW w:w="1134" w:type="dxa"/>
          </w:tcPr>
          <w:p w:rsidR="000962AA" w:rsidRPr="00BC77D2" w:rsidRDefault="000962AA" w:rsidP="006F74C6">
            <w:pPr>
              <w:pStyle w:val="TabNumeri"/>
            </w:pPr>
            <w:r w:rsidRPr="00BC77D2">
              <w:t>0,4</w:t>
            </w:r>
          </w:p>
        </w:tc>
      </w:tr>
      <w:tr w:rsidR="000962AA" w:rsidTr="006F74C6">
        <w:trPr>
          <w:cantSplit/>
          <w:trHeight w:val="227"/>
        </w:trPr>
        <w:tc>
          <w:tcPr>
            <w:tcW w:w="4820" w:type="dxa"/>
            <w:shd w:val="clear" w:color="auto" w:fill="DAEEF3" w:themeFill="accent5" w:themeFillTint="33"/>
          </w:tcPr>
          <w:p w:rsidR="000962AA" w:rsidRDefault="000962AA" w:rsidP="006F74C6">
            <w:pPr>
              <w:pStyle w:val="TabEtichette"/>
              <w:rPr>
                <w:rFonts w:eastAsia="Arial Unicode MS"/>
              </w:rPr>
            </w:pPr>
            <w:r>
              <w:t xml:space="preserve">   Investimenti fissi lordi</w:t>
            </w:r>
          </w:p>
        </w:tc>
        <w:tc>
          <w:tcPr>
            <w:tcW w:w="1134" w:type="dxa"/>
            <w:shd w:val="clear" w:color="auto" w:fill="DAEEF3" w:themeFill="accent5" w:themeFillTint="33"/>
          </w:tcPr>
          <w:p w:rsidR="000962AA" w:rsidRPr="00BC77D2" w:rsidRDefault="000962AA" w:rsidP="006F74C6">
            <w:pPr>
              <w:pStyle w:val="TabNumeri"/>
            </w:pPr>
            <w:r w:rsidRPr="00BC77D2">
              <w:t>6,2</w:t>
            </w:r>
          </w:p>
        </w:tc>
        <w:tc>
          <w:tcPr>
            <w:tcW w:w="1134" w:type="dxa"/>
            <w:shd w:val="clear" w:color="auto" w:fill="DAEEF3" w:themeFill="accent5" w:themeFillTint="33"/>
          </w:tcPr>
          <w:p w:rsidR="000962AA" w:rsidRPr="00BC77D2" w:rsidRDefault="000962AA" w:rsidP="006F74C6">
            <w:pPr>
              <w:pStyle w:val="TabNumeri"/>
            </w:pPr>
            <w:r w:rsidRPr="00BC77D2">
              <w:t>5,0</w:t>
            </w:r>
          </w:p>
        </w:tc>
        <w:tc>
          <w:tcPr>
            <w:tcW w:w="1134" w:type="dxa"/>
            <w:shd w:val="clear" w:color="auto" w:fill="DAEEF3" w:themeFill="accent5" w:themeFillTint="33"/>
          </w:tcPr>
          <w:p w:rsidR="000962AA" w:rsidRPr="00BC77D2" w:rsidRDefault="000962AA" w:rsidP="006F74C6">
            <w:pPr>
              <w:pStyle w:val="TabNumeri"/>
            </w:pPr>
            <w:r w:rsidRPr="00BC77D2">
              <w:t>0,5</w:t>
            </w:r>
          </w:p>
        </w:tc>
        <w:tc>
          <w:tcPr>
            <w:tcW w:w="1134" w:type="dxa"/>
            <w:shd w:val="clear" w:color="auto" w:fill="DAEEF3" w:themeFill="accent5" w:themeFillTint="33"/>
          </w:tcPr>
          <w:p w:rsidR="000962AA" w:rsidRPr="00BC77D2" w:rsidRDefault="000962AA" w:rsidP="006F74C6">
            <w:pPr>
              <w:pStyle w:val="TabNumeri"/>
            </w:pPr>
            <w:r w:rsidRPr="00BC77D2">
              <w:t>2,4</w:t>
            </w:r>
          </w:p>
        </w:tc>
      </w:tr>
      <w:tr w:rsidR="000962AA" w:rsidTr="006F74C6">
        <w:trPr>
          <w:cantSplit/>
          <w:trHeight w:val="227"/>
        </w:trPr>
        <w:tc>
          <w:tcPr>
            <w:tcW w:w="4820" w:type="dxa"/>
          </w:tcPr>
          <w:p w:rsidR="000962AA" w:rsidRDefault="000962AA" w:rsidP="006F74C6">
            <w:pPr>
              <w:pStyle w:val="TabEtichette"/>
              <w:rPr>
                <w:rFonts w:eastAsia="Arial Unicode MS"/>
              </w:rPr>
            </w:pPr>
            <w:r>
              <w:t>Importazioni di beni dall’estero</w:t>
            </w:r>
          </w:p>
        </w:tc>
        <w:tc>
          <w:tcPr>
            <w:tcW w:w="1134" w:type="dxa"/>
          </w:tcPr>
          <w:p w:rsidR="000962AA" w:rsidRPr="00BC77D2" w:rsidRDefault="000962AA" w:rsidP="006F74C6">
            <w:pPr>
              <w:pStyle w:val="TabNumeri"/>
            </w:pPr>
            <w:r w:rsidRPr="00BC77D2">
              <w:t>5,0</w:t>
            </w:r>
          </w:p>
        </w:tc>
        <w:tc>
          <w:tcPr>
            <w:tcW w:w="1134" w:type="dxa"/>
          </w:tcPr>
          <w:p w:rsidR="000962AA" w:rsidRPr="00BC77D2" w:rsidRDefault="000962AA" w:rsidP="006F74C6">
            <w:pPr>
              <w:pStyle w:val="TabNumeri"/>
            </w:pPr>
            <w:r w:rsidRPr="00BC77D2">
              <w:t>-2,4</w:t>
            </w:r>
          </w:p>
        </w:tc>
        <w:tc>
          <w:tcPr>
            <w:tcW w:w="1134" w:type="dxa"/>
          </w:tcPr>
          <w:p w:rsidR="000962AA" w:rsidRPr="00BC77D2" w:rsidRDefault="000962AA" w:rsidP="006F74C6">
            <w:pPr>
              <w:pStyle w:val="TabNumeri"/>
            </w:pPr>
            <w:r w:rsidRPr="00BC77D2">
              <w:t>1,8</w:t>
            </w:r>
          </w:p>
        </w:tc>
        <w:tc>
          <w:tcPr>
            <w:tcW w:w="1134" w:type="dxa"/>
          </w:tcPr>
          <w:p w:rsidR="000962AA" w:rsidRPr="00BC77D2" w:rsidRDefault="000962AA" w:rsidP="006F74C6">
            <w:pPr>
              <w:pStyle w:val="TabNumeri"/>
            </w:pPr>
            <w:r w:rsidRPr="00BC77D2">
              <w:t>3,1</w:t>
            </w:r>
          </w:p>
        </w:tc>
      </w:tr>
      <w:tr w:rsidR="000962AA" w:rsidTr="006F74C6">
        <w:trPr>
          <w:cantSplit/>
          <w:trHeight w:val="227"/>
        </w:trPr>
        <w:tc>
          <w:tcPr>
            <w:tcW w:w="4820" w:type="dxa"/>
            <w:shd w:val="clear" w:color="auto" w:fill="DAEEF3" w:themeFill="accent5" w:themeFillTint="33"/>
          </w:tcPr>
          <w:p w:rsidR="000962AA" w:rsidRDefault="000962AA" w:rsidP="006F74C6">
            <w:pPr>
              <w:pStyle w:val="TabEtichette"/>
              <w:rPr>
                <w:rFonts w:eastAsia="Arial Unicode MS"/>
              </w:rPr>
            </w:pPr>
            <w:r>
              <w:t>Esportazioni di beni verso l’estero</w:t>
            </w:r>
          </w:p>
        </w:tc>
        <w:tc>
          <w:tcPr>
            <w:tcW w:w="1134" w:type="dxa"/>
            <w:shd w:val="clear" w:color="auto" w:fill="DAEEF3" w:themeFill="accent5" w:themeFillTint="33"/>
          </w:tcPr>
          <w:p w:rsidR="000962AA" w:rsidRPr="00BC77D2" w:rsidRDefault="000962AA" w:rsidP="006F74C6">
            <w:pPr>
              <w:pStyle w:val="TabNumeri"/>
            </w:pPr>
            <w:r w:rsidRPr="00BC77D2">
              <w:t>5,2</w:t>
            </w:r>
          </w:p>
        </w:tc>
        <w:tc>
          <w:tcPr>
            <w:tcW w:w="1134" w:type="dxa"/>
            <w:shd w:val="clear" w:color="auto" w:fill="DAEEF3" w:themeFill="accent5" w:themeFillTint="33"/>
          </w:tcPr>
          <w:p w:rsidR="000962AA" w:rsidRPr="00BC77D2" w:rsidRDefault="000962AA" w:rsidP="006F74C6">
            <w:pPr>
              <w:pStyle w:val="TabNumeri"/>
            </w:pPr>
            <w:r w:rsidRPr="00BC77D2">
              <w:t>2,1</w:t>
            </w:r>
          </w:p>
        </w:tc>
        <w:tc>
          <w:tcPr>
            <w:tcW w:w="1134" w:type="dxa"/>
            <w:shd w:val="clear" w:color="auto" w:fill="DAEEF3" w:themeFill="accent5" w:themeFillTint="33"/>
          </w:tcPr>
          <w:p w:rsidR="000962AA" w:rsidRPr="00BC77D2" w:rsidRDefault="000962AA" w:rsidP="006F74C6">
            <w:pPr>
              <w:pStyle w:val="TabNumeri"/>
            </w:pPr>
            <w:r w:rsidRPr="00BC77D2">
              <w:t>2,9</w:t>
            </w:r>
          </w:p>
        </w:tc>
        <w:tc>
          <w:tcPr>
            <w:tcW w:w="1134" w:type="dxa"/>
            <w:shd w:val="clear" w:color="auto" w:fill="DAEEF3" w:themeFill="accent5" w:themeFillTint="33"/>
          </w:tcPr>
          <w:p w:rsidR="000962AA" w:rsidRPr="00BC77D2" w:rsidRDefault="000962AA" w:rsidP="006F74C6">
            <w:pPr>
              <w:pStyle w:val="TabNumeri"/>
            </w:pPr>
            <w:r w:rsidRPr="00BC77D2">
              <w:t>2,8</w:t>
            </w:r>
          </w:p>
        </w:tc>
      </w:tr>
      <w:tr w:rsidR="000962AA" w:rsidTr="006F74C6">
        <w:trPr>
          <w:cantSplit/>
          <w:trHeight w:val="227"/>
        </w:trPr>
        <w:tc>
          <w:tcPr>
            <w:tcW w:w="4820" w:type="dxa"/>
          </w:tcPr>
          <w:p w:rsidR="000962AA" w:rsidRPr="00EC6592" w:rsidRDefault="000962AA" w:rsidP="006F74C6">
            <w:pPr>
              <w:pStyle w:val="TabEtichetteBold"/>
              <w:rPr>
                <w:rFonts w:eastAsia="Arial Unicode MS"/>
              </w:rPr>
            </w:pPr>
            <w:r w:rsidRPr="00EC6592">
              <w:t>Valore aggiunto ai prezzi base</w:t>
            </w:r>
          </w:p>
        </w:tc>
        <w:tc>
          <w:tcPr>
            <w:tcW w:w="1134" w:type="dxa"/>
          </w:tcPr>
          <w:p w:rsidR="000962AA" w:rsidRPr="00BC77D2" w:rsidRDefault="000962AA" w:rsidP="006F74C6">
            <w:pPr>
              <w:pStyle w:val="TabNumeri"/>
            </w:pPr>
          </w:p>
        </w:tc>
        <w:tc>
          <w:tcPr>
            <w:tcW w:w="1134" w:type="dxa"/>
          </w:tcPr>
          <w:p w:rsidR="000962AA" w:rsidRPr="00BC77D2" w:rsidRDefault="000962AA" w:rsidP="006F74C6">
            <w:pPr>
              <w:pStyle w:val="TabNumeri"/>
            </w:pPr>
          </w:p>
        </w:tc>
        <w:tc>
          <w:tcPr>
            <w:tcW w:w="1134" w:type="dxa"/>
          </w:tcPr>
          <w:p w:rsidR="000962AA" w:rsidRPr="00BC77D2" w:rsidRDefault="000962AA" w:rsidP="006F74C6">
            <w:pPr>
              <w:pStyle w:val="TabNumeri"/>
            </w:pPr>
          </w:p>
        </w:tc>
        <w:tc>
          <w:tcPr>
            <w:tcW w:w="1134" w:type="dxa"/>
          </w:tcPr>
          <w:p w:rsidR="000962AA" w:rsidRPr="00BC77D2" w:rsidRDefault="000962AA" w:rsidP="006F74C6">
            <w:pPr>
              <w:pStyle w:val="TabNumeri"/>
            </w:pPr>
          </w:p>
        </w:tc>
      </w:tr>
      <w:tr w:rsidR="000962AA" w:rsidTr="006F74C6">
        <w:trPr>
          <w:cantSplit/>
          <w:trHeight w:val="227"/>
        </w:trPr>
        <w:tc>
          <w:tcPr>
            <w:tcW w:w="4820" w:type="dxa"/>
            <w:shd w:val="clear" w:color="auto" w:fill="DAEEF3" w:themeFill="accent5" w:themeFillTint="33"/>
          </w:tcPr>
          <w:p w:rsidR="000962AA" w:rsidRDefault="000962AA" w:rsidP="006F74C6">
            <w:pPr>
              <w:pStyle w:val="TabEtichette"/>
              <w:rPr>
                <w:rFonts w:eastAsia="Arial Unicode MS"/>
              </w:rPr>
            </w:pPr>
            <w:r>
              <w:t>Agricoltura</w:t>
            </w:r>
          </w:p>
        </w:tc>
        <w:tc>
          <w:tcPr>
            <w:tcW w:w="1134" w:type="dxa"/>
            <w:shd w:val="clear" w:color="auto" w:fill="DAEEF3" w:themeFill="accent5" w:themeFillTint="33"/>
          </w:tcPr>
          <w:p w:rsidR="000962AA" w:rsidRPr="00BC77D2" w:rsidRDefault="000962AA" w:rsidP="006F74C6">
            <w:pPr>
              <w:pStyle w:val="TabNumeri"/>
            </w:pPr>
            <w:r w:rsidRPr="00BC77D2">
              <w:t>-5,6</w:t>
            </w:r>
          </w:p>
        </w:tc>
        <w:tc>
          <w:tcPr>
            <w:tcW w:w="1134" w:type="dxa"/>
            <w:shd w:val="clear" w:color="auto" w:fill="DAEEF3" w:themeFill="accent5" w:themeFillTint="33"/>
          </w:tcPr>
          <w:p w:rsidR="000962AA" w:rsidRPr="00BC77D2" w:rsidRDefault="000962AA" w:rsidP="006F74C6">
            <w:pPr>
              <w:pStyle w:val="TabNumeri"/>
            </w:pPr>
            <w:r w:rsidRPr="00BC77D2">
              <w:t>3,6</w:t>
            </w:r>
          </w:p>
        </w:tc>
        <w:tc>
          <w:tcPr>
            <w:tcW w:w="1134" w:type="dxa"/>
            <w:shd w:val="clear" w:color="auto" w:fill="DAEEF3" w:themeFill="accent5" w:themeFillTint="33"/>
          </w:tcPr>
          <w:p w:rsidR="000962AA" w:rsidRPr="00BC77D2" w:rsidRDefault="000962AA" w:rsidP="006F74C6">
            <w:pPr>
              <w:pStyle w:val="TabNumeri"/>
            </w:pPr>
            <w:r w:rsidRPr="00BC77D2">
              <w:t>1,1</w:t>
            </w:r>
          </w:p>
        </w:tc>
        <w:tc>
          <w:tcPr>
            <w:tcW w:w="1134" w:type="dxa"/>
            <w:shd w:val="clear" w:color="auto" w:fill="DAEEF3" w:themeFill="accent5" w:themeFillTint="33"/>
          </w:tcPr>
          <w:p w:rsidR="000962AA" w:rsidRPr="00BC77D2" w:rsidRDefault="000962AA" w:rsidP="006F74C6">
            <w:pPr>
              <w:pStyle w:val="TabNumeri"/>
            </w:pPr>
            <w:r w:rsidRPr="00BC77D2">
              <w:t>1,1</w:t>
            </w:r>
          </w:p>
        </w:tc>
      </w:tr>
      <w:tr w:rsidR="000962AA" w:rsidTr="006F74C6">
        <w:trPr>
          <w:cantSplit/>
          <w:trHeight w:val="227"/>
        </w:trPr>
        <w:tc>
          <w:tcPr>
            <w:tcW w:w="4820" w:type="dxa"/>
          </w:tcPr>
          <w:p w:rsidR="000962AA" w:rsidRDefault="000962AA" w:rsidP="006F74C6">
            <w:pPr>
              <w:pStyle w:val="TabEtichette"/>
              <w:rPr>
                <w:rFonts w:eastAsia="Arial Unicode MS"/>
              </w:rPr>
            </w:pPr>
            <w:r>
              <w:t>Industria</w:t>
            </w:r>
          </w:p>
        </w:tc>
        <w:tc>
          <w:tcPr>
            <w:tcW w:w="1134" w:type="dxa"/>
          </w:tcPr>
          <w:p w:rsidR="000962AA" w:rsidRPr="00BC77D2" w:rsidRDefault="000962AA" w:rsidP="006F74C6">
            <w:pPr>
              <w:pStyle w:val="TabNumeri"/>
            </w:pPr>
            <w:r w:rsidRPr="00BC77D2">
              <w:t>3,5</w:t>
            </w:r>
          </w:p>
        </w:tc>
        <w:tc>
          <w:tcPr>
            <w:tcW w:w="1134" w:type="dxa"/>
          </w:tcPr>
          <w:p w:rsidR="000962AA" w:rsidRPr="00BC77D2" w:rsidRDefault="000962AA" w:rsidP="006F74C6">
            <w:pPr>
              <w:pStyle w:val="TabNumeri"/>
            </w:pPr>
            <w:r w:rsidRPr="00BC77D2">
              <w:t>1,4</w:t>
            </w:r>
          </w:p>
        </w:tc>
        <w:tc>
          <w:tcPr>
            <w:tcW w:w="1134" w:type="dxa"/>
          </w:tcPr>
          <w:p w:rsidR="000962AA" w:rsidRPr="00BC77D2" w:rsidRDefault="000962AA" w:rsidP="006F74C6">
            <w:pPr>
              <w:pStyle w:val="TabNumeri"/>
            </w:pPr>
            <w:r w:rsidRPr="00BC77D2">
              <w:t>0,6</w:t>
            </w:r>
          </w:p>
        </w:tc>
        <w:tc>
          <w:tcPr>
            <w:tcW w:w="1134" w:type="dxa"/>
          </w:tcPr>
          <w:p w:rsidR="000962AA" w:rsidRPr="00BC77D2" w:rsidRDefault="000962AA" w:rsidP="006F74C6">
            <w:pPr>
              <w:pStyle w:val="TabNumeri"/>
            </w:pPr>
            <w:r w:rsidRPr="00BC77D2">
              <w:t>1,2</w:t>
            </w:r>
          </w:p>
        </w:tc>
      </w:tr>
      <w:tr w:rsidR="000962AA" w:rsidTr="006F74C6">
        <w:trPr>
          <w:cantSplit/>
          <w:trHeight w:val="227"/>
        </w:trPr>
        <w:tc>
          <w:tcPr>
            <w:tcW w:w="4820" w:type="dxa"/>
            <w:shd w:val="clear" w:color="auto" w:fill="DAEEF3" w:themeFill="accent5" w:themeFillTint="33"/>
          </w:tcPr>
          <w:p w:rsidR="000962AA" w:rsidRDefault="000962AA" w:rsidP="006F74C6">
            <w:pPr>
              <w:pStyle w:val="TabEtichette"/>
              <w:rPr>
                <w:rFonts w:eastAsia="Arial Unicode MS"/>
              </w:rPr>
            </w:pPr>
            <w:r>
              <w:t>Costruzioni</w:t>
            </w:r>
          </w:p>
        </w:tc>
        <w:tc>
          <w:tcPr>
            <w:tcW w:w="1134" w:type="dxa"/>
            <w:shd w:val="clear" w:color="auto" w:fill="DAEEF3" w:themeFill="accent5" w:themeFillTint="33"/>
          </w:tcPr>
          <w:p w:rsidR="000962AA" w:rsidRPr="00BC77D2" w:rsidRDefault="000962AA" w:rsidP="006F74C6">
            <w:pPr>
              <w:pStyle w:val="TabNumeri"/>
            </w:pPr>
            <w:r w:rsidRPr="00BC77D2">
              <w:t>1,1</w:t>
            </w:r>
          </w:p>
        </w:tc>
        <w:tc>
          <w:tcPr>
            <w:tcW w:w="1134" w:type="dxa"/>
            <w:shd w:val="clear" w:color="auto" w:fill="DAEEF3" w:themeFill="accent5" w:themeFillTint="33"/>
          </w:tcPr>
          <w:p w:rsidR="000962AA" w:rsidRPr="00BC77D2" w:rsidRDefault="000962AA" w:rsidP="006F74C6">
            <w:pPr>
              <w:pStyle w:val="TabNumeri"/>
            </w:pPr>
            <w:r w:rsidRPr="00BC77D2">
              <w:t>2,4</w:t>
            </w:r>
          </w:p>
        </w:tc>
        <w:tc>
          <w:tcPr>
            <w:tcW w:w="1134" w:type="dxa"/>
            <w:shd w:val="clear" w:color="auto" w:fill="DAEEF3" w:themeFill="accent5" w:themeFillTint="33"/>
          </w:tcPr>
          <w:p w:rsidR="000962AA" w:rsidRPr="00BC77D2" w:rsidRDefault="000962AA" w:rsidP="006F74C6">
            <w:pPr>
              <w:pStyle w:val="TabNumeri"/>
            </w:pPr>
            <w:r w:rsidRPr="00BC77D2">
              <w:t>1,6</w:t>
            </w:r>
          </w:p>
        </w:tc>
        <w:tc>
          <w:tcPr>
            <w:tcW w:w="1134" w:type="dxa"/>
            <w:shd w:val="clear" w:color="auto" w:fill="DAEEF3" w:themeFill="accent5" w:themeFillTint="33"/>
          </w:tcPr>
          <w:p w:rsidR="000962AA" w:rsidRPr="00BC77D2" w:rsidRDefault="000962AA" w:rsidP="006F74C6">
            <w:pPr>
              <w:pStyle w:val="TabNumeri"/>
            </w:pPr>
            <w:r w:rsidRPr="00BC77D2">
              <w:t>2,6</w:t>
            </w:r>
          </w:p>
        </w:tc>
      </w:tr>
      <w:tr w:rsidR="000962AA" w:rsidTr="006F74C6">
        <w:trPr>
          <w:cantSplit/>
          <w:trHeight w:val="227"/>
        </w:trPr>
        <w:tc>
          <w:tcPr>
            <w:tcW w:w="4820" w:type="dxa"/>
          </w:tcPr>
          <w:p w:rsidR="000962AA" w:rsidRDefault="000962AA" w:rsidP="006F74C6">
            <w:pPr>
              <w:pStyle w:val="TabEtichette"/>
              <w:rPr>
                <w:rFonts w:eastAsia="Arial Unicode MS"/>
              </w:rPr>
            </w:pPr>
            <w:r>
              <w:t>Servizi</w:t>
            </w:r>
          </w:p>
        </w:tc>
        <w:tc>
          <w:tcPr>
            <w:tcW w:w="1134" w:type="dxa"/>
          </w:tcPr>
          <w:p w:rsidR="000962AA" w:rsidRPr="00BC77D2" w:rsidRDefault="000962AA" w:rsidP="006F74C6">
            <w:pPr>
              <w:pStyle w:val="TabNumeri"/>
            </w:pPr>
            <w:r w:rsidRPr="00BC77D2">
              <w:t>1,4</w:t>
            </w:r>
          </w:p>
        </w:tc>
        <w:tc>
          <w:tcPr>
            <w:tcW w:w="1134" w:type="dxa"/>
          </w:tcPr>
          <w:p w:rsidR="000962AA" w:rsidRPr="00BC77D2" w:rsidRDefault="000962AA" w:rsidP="006F74C6">
            <w:pPr>
              <w:pStyle w:val="TabNumeri"/>
            </w:pPr>
            <w:r w:rsidRPr="00BC77D2">
              <w:t>1,2</w:t>
            </w:r>
          </w:p>
        </w:tc>
        <w:tc>
          <w:tcPr>
            <w:tcW w:w="1134" w:type="dxa"/>
          </w:tcPr>
          <w:p w:rsidR="000962AA" w:rsidRPr="00BC77D2" w:rsidRDefault="000962AA" w:rsidP="006F74C6">
            <w:pPr>
              <w:pStyle w:val="TabNumeri"/>
            </w:pPr>
            <w:r w:rsidRPr="00BC77D2">
              <w:t>0,8</w:t>
            </w:r>
          </w:p>
        </w:tc>
        <w:tc>
          <w:tcPr>
            <w:tcW w:w="1134" w:type="dxa"/>
          </w:tcPr>
          <w:p w:rsidR="000962AA" w:rsidRPr="00BC77D2" w:rsidRDefault="000962AA" w:rsidP="006F74C6">
            <w:pPr>
              <w:pStyle w:val="TabNumeri"/>
            </w:pPr>
            <w:r w:rsidRPr="00BC77D2">
              <w:t>0,9</w:t>
            </w:r>
          </w:p>
        </w:tc>
      </w:tr>
      <w:tr w:rsidR="000962AA" w:rsidTr="006F74C6">
        <w:trPr>
          <w:cantSplit/>
          <w:trHeight w:val="227"/>
        </w:trPr>
        <w:tc>
          <w:tcPr>
            <w:tcW w:w="4820" w:type="dxa"/>
            <w:shd w:val="clear" w:color="auto" w:fill="DAEEF3" w:themeFill="accent5" w:themeFillTint="33"/>
          </w:tcPr>
          <w:p w:rsidR="000962AA" w:rsidRDefault="000962AA" w:rsidP="006F74C6">
            <w:pPr>
              <w:pStyle w:val="TabEtichette"/>
              <w:rPr>
                <w:rFonts w:eastAsia="Arial Unicode MS"/>
              </w:rPr>
            </w:pPr>
            <w:r>
              <w:t>Totale</w:t>
            </w:r>
          </w:p>
        </w:tc>
        <w:tc>
          <w:tcPr>
            <w:tcW w:w="1134" w:type="dxa"/>
            <w:shd w:val="clear" w:color="auto" w:fill="DAEEF3" w:themeFill="accent5" w:themeFillTint="33"/>
          </w:tcPr>
          <w:p w:rsidR="000962AA" w:rsidRPr="00BC77D2" w:rsidRDefault="000962AA" w:rsidP="006F74C6">
            <w:pPr>
              <w:pStyle w:val="TabNumeri"/>
            </w:pPr>
            <w:r w:rsidRPr="00BC77D2">
              <w:t>1,8</w:t>
            </w:r>
          </w:p>
        </w:tc>
        <w:tc>
          <w:tcPr>
            <w:tcW w:w="1134" w:type="dxa"/>
            <w:shd w:val="clear" w:color="auto" w:fill="DAEEF3" w:themeFill="accent5" w:themeFillTint="33"/>
          </w:tcPr>
          <w:p w:rsidR="000962AA" w:rsidRPr="00BC77D2" w:rsidRDefault="000962AA" w:rsidP="006F74C6">
            <w:pPr>
              <w:pStyle w:val="TabNumeri"/>
            </w:pPr>
            <w:r w:rsidRPr="00BC77D2">
              <w:t>1,4</w:t>
            </w:r>
          </w:p>
        </w:tc>
        <w:tc>
          <w:tcPr>
            <w:tcW w:w="1134" w:type="dxa"/>
            <w:shd w:val="clear" w:color="auto" w:fill="DAEEF3" w:themeFill="accent5" w:themeFillTint="33"/>
          </w:tcPr>
          <w:p w:rsidR="000962AA" w:rsidRPr="00BC77D2" w:rsidRDefault="000962AA" w:rsidP="006F74C6">
            <w:pPr>
              <w:pStyle w:val="TabNumeri"/>
            </w:pPr>
            <w:r w:rsidRPr="00BC77D2">
              <w:t>0,8</w:t>
            </w:r>
          </w:p>
        </w:tc>
        <w:tc>
          <w:tcPr>
            <w:tcW w:w="1134" w:type="dxa"/>
            <w:shd w:val="clear" w:color="auto" w:fill="DAEEF3" w:themeFill="accent5" w:themeFillTint="33"/>
          </w:tcPr>
          <w:p w:rsidR="000962AA" w:rsidRDefault="000962AA" w:rsidP="006F74C6">
            <w:pPr>
              <w:pStyle w:val="TabNumeri"/>
            </w:pPr>
            <w:r w:rsidRPr="00BC77D2">
              <w:t>1,1</w:t>
            </w:r>
          </w:p>
        </w:tc>
      </w:tr>
      <w:tr w:rsidR="000962AA" w:rsidTr="006F74C6">
        <w:trPr>
          <w:cantSplit/>
          <w:trHeight w:val="227"/>
        </w:trPr>
        <w:tc>
          <w:tcPr>
            <w:tcW w:w="4820" w:type="dxa"/>
          </w:tcPr>
          <w:p w:rsidR="000962AA" w:rsidRPr="00EC6592" w:rsidRDefault="000962AA" w:rsidP="006F74C6">
            <w:pPr>
              <w:pStyle w:val="TabEtichetteBold"/>
              <w:rPr>
                <w:rFonts w:eastAsia="Arial Unicode MS"/>
              </w:rPr>
            </w:pPr>
            <w:r w:rsidRPr="00EC6592">
              <w:t>Rapporti caratteristici</w:t>
            </w:r>
          </w:p>
        </w:tc>
        <w:tc>
          <w:tcPr>
            <w:tcW w:w="1134" w:type="dxa"/>
          </w:tcPr>
          <w:p w:rsidR="000962AA" w:rsidRPr="00B057AA" w:rsidRDefault="000962AA" w:rsidP="006F74C6">
            <w:pPr>
              <w:pStyle w:val="TabNumeri"/>
            </w:pPr>
          </w:p>
        </w:tc>
        <w:tc>
          <w:tcPr>
            <w:tcW w:w="1134" w:type="dxa"/>
          </w:tcPr>
          <w:p w:rsidR="000962AA" w:rsidRPr="00B057AA" w:rsidRDefault="000962AA" w:rsidP="006F74C6">
            <w:pPr>
              <w:pStyle w:val="TabNumeri"/>
            </w:pPr>
          </w:p>
        </w:tc>
        <w:tc>
          <w:tcPr>
            <w:tcW w:w="1134" w:type="dxa"/>
          </w:tcPr>
          <w:p w:rsidR="000962AA" w:rsidRPr="00B057AA" w:rsidRDefault="000962AA" w:rsidP="006F74C6">
            <w:pPr>
              <w:pStyle w:val="TabNumeri"/>
            </w:pPr>
          </w:p>
        </w:tc>
        <w:tc>
          <w:tcPr>
            <w:tcW w:w="1134" w:type="dxa"/>
          </w:tcPr>
          <w:p w:rsidR="000962AA" w:rsidRPr="00B057AA" w:rsidRDefault="000962AA" w:rsidP="006F74C6">
            <w:pPr>
              <w:pStyle w:val="TabNumeri"/>
            </w:pPr>
          </w:p>
        </w:tc>
      </w:tr>
      <w:tr w:rsidR="000962AA" w:rsidTr="006F74C6">
        <w:trPr>
          <w:cantSplit/>
          <w:trHeight w:val="227"/>
        </w:trPr>
        <w:tc>
          <w:tcPr>
            <w:tcW w:w="4820" w:type="dxa"/>
            <w:shd w:val="clear" w:color="auto" w:fill="DAEEF3" w:themeFill="accent5" w:themeFillTint="33"/>
          </w:tcPr>
          <w:p w:rsidR="000962AA" w:rsidRPr="00983308" w:rsidRDefault="000962AA" w:rsidP="006F74C6">
            <w:pPr>
              <w:pStyle w:val="TabEtichette"/>
            </w:pPr>
            <w:r w:rsidRPr="00983308">
              <w:t>Forze di lavoro</w:t>
            </w:r>
          </w:p>
        </w:tc>
        <w:tc>
          <w:tcPr>
            <w:tcW w:w="1134" w:type="dxa"/>
            <w:shd w:val="clear" w:color="auto" w:fill="DAEEF3" w:themeFill="accent5" w:themeFillTint="33"/>
          </w:tcPr>
          <w:p w:rsidR="000962AA" w:rsidRPr="00D43F62" w:rsidRDefault="000962AA" w:rsidP="006F74C6">
            <w:pPr>
              <w:pStyle w:val="TabNumeri"/>
            </w:pPr>
            <w:r w:rsidRPr="00D43F62">
              <w:t>-0,1</w:t>
            </w:r>
          </w:p>
        </w:tc>
        <w:tc>
          <w:tcPr>
            <w:tcW w:w="1134" w:type="dxa"/>
            <w:shd w:val="clear" w:color="auto" w:fill="DAEEF3" w:themeFill="accent5" w:themeFillTint="33"/>
          </w:tcPr>
          <w:p w:rsidR="000962AA" w:rsidRPr="00D43F62" w:rsidRDefault="000962AA" w:rsidP="006F74C6">
            <w:pPr>
              <w:pStyle w:val="TabNumeri"/>
            </w:pPr>
            <w:r w:rsidRPr="00D43F62">
              <w:t>0,5</w:t>
            </w:r>
          </w:p>
        </w:tc>
        <w:tc>
          <w:tcPr>
            <w:tcW w:w="1134" w:type="dxa"/>
            <w:shd w:val="clear" w:color="auto" w:fill="DAEEF3" w:themeFill="accent5" w:themeFillTint="33"/>
          </w:tcPr>
          <w:p w:rsidR="000962AA" w:rsidRPr="00D43F62" w:rsidRDefault="000962AA" w:rsidP="006F74C6">
            <w:pPr>
              <w:pStyle w:val="TabNumeri"/>
            </w:pPr>
            <w:r w:rsidRPr="00D43F62">
              <w:t>0,4</w:t>
            </w:r>
          </w:p>
        </w:tc>
        <w:tc>
          <w:tcPr>
            <w:tcW w:w="1134" w:type="dxa"/>
            <w:shd w:val="clear" w:color="auto" w:fill="DAEEF3" w:themeFill="accent5" w:themeFillTint="33"/>
          </w:tcPr>
          <w:p w:rsidR="000962AA" w:rsidRPr="00D43F62" w:rsidRDefault="000962AA" w:rsidP="006F74C6">
            <w:pPr>
              <w:pStyle w:val="TabNumeri"/>
            </w:pPr>
            <w:r w:rsidRPr="00D43F62">
              <w:t>0,4</w:t>
            </w:r>
          </w:p>
        </w:tc>
      </w:tr>
      <w:tr w:rsidR="000962AA" w:rsidTr="006F74C6">
        <w:trPr>
          <w:cantSplit/>
          <w:trHeight w:val="227"/>
        </w:trPr>
        <w:tc>
          <w:tcPr>
            <w:tcW w:w="4820" w:type="dxa"/>
          </w:tcPr>
          <w:p w:rsidR="000962AA" w:rsidRDefault="000962AA" w:rsidP="006F74C6">
            <w:pPr>
              <w:pStyle w:val="TabEtichette"/>
            </w:pPr>
            <w:r w:rsidRPr="00983308">
              <w:t>Occupati</w:t>
            </w:r>
          </w:p>
        </w:tc>
        <w:tc>
          <w:tcPr>
            <w:tcW w:w="1134" w:type="dxa"/>
          </w:tcPr>
          <w:p w:rsidR="000962AA" w:rsidRPr="00D43F62" w:rsidRDefault="000962AA" w:rsidP="006F74C6">
            <w:pPr>
              <w:pStyle w:val="TabNumeri"/>
            </w:pPr>
            <w:r w:rsidRPr="00D43F62">
              <w:t>0,3</w:t>
            </w:r>
          </w:p>
        </w:tc>
        <w:tc>
          <w:tcPr>
            <w:tcW w:w="1134" w:type="dxa"/>
          </w:tcPr>
          <w:p w:rsidR="000962AA" w:rsidRPr="00D43F62" w:rsidRDefault="000962AA" w:rsidP="006F74C6">
            <w:pPr>
              <w:pStyle w:val="TabNumeri"/>
            </w:pPr>
            <w:r w:rsidRPr="00D43F62">
              <w:t>1,3</w:t>
            </w:r>
          </w:p>
        </w:tc>
        <w:tc>
          <w:tcPr>
            <w:tcW w:w="1134" w:type="dxa"/>
          </w:tcPr>
          <w:p w:rsidR="000962AA" w:rsidRPr="00D43F62" w:rsidRDefault="000962AA" w:rsidP="006F74C6">
            <w:pPr>
              <w:pStyle w:val="TabNumeri"/>
            </w:pPr>
            <w:r w:rsidRPr="00D43F62">
              <w:t>0,6</w:t>
            </w:r>
          </w:p>
        </w:tc>
        <w:tc>
          <w:tcPr>
            <w:tcW w:w="1134" w:type="dxa"/>
          </w:tcPr>
          <w:p w:rsidR="000962AA" w:rsidRPr="00D43F62" w:rsidRDefault="000962AA" w:rsidP="006F74C6">
            <w:pPr>
              <w:pStyle w:val="TabNumeri"/>
            </w:pPr>
            <w:r w:rsidRPr="00D43F62">
              <w:t>0,7</w:t>
            </w:r>
          </w:p>
        </w:tc>
      </w:tr>
      <w:tr w:rsidR="000962AA" w:rsidTr="006F74C6">
        <w:trPr>
          <w:cantSplit/>
          <w:trHeight w:val="227"/>
        </w:trPr>
        <w:tc>
          <w:tcPr>
            <w:tcW w:w="4820" w:type="dxa"/>
            <w:shd w:val="clear" w:color="auto" w:fill="DAEEF3" w:themeFill="accent5" w:themeFillTint="33"/>
          </w:tcPr>
          <w:p w:rsidR="000962AA" w:rsidRPr="007427DC" w:rsidRDefault="000962AA" w:rsidP="006F74C6">
            <w:pPr>
              <w:pStyle w:val="tabetic"/>
            </w:pPr>
            <w:r>
              <w:t xml:space="preserve"> Tasso di attività (2)(3</w:t>
            </w:r>
            <w:r w:rsidRPr="007427DC">
              <w:t>)</w:t>
            </w:r>
          </w:p>
        </w:tc>
        <w:tc>
          <w:tcPr>
            <w:tcW w:w="1134" w:type="dxa"/>
            <w:shd w:val="clear" w:color="auto" w:fill="DAEEF3" w:themeFill="accent5" w:themeFillTint="33"/>
          </w:tcPr>
          <w:p w:rsidR="000962AA" w:rsidRPr="00D43F62" w:rsidRDefault="000962AA" w:rsidP="006F74C6">
            <w:pPr>
              <w:pStyle w:val="TabNumeri"/>
            </w:pPr>
            <w:r w:rsidRPr="00D43F62">
              <w:t>47,8</w:t>
            </w:r>
          </w:p>
        </w:tc>
        <w:tc>
          <w:tcPr>
            <w:tcW w:w="1134" w:type="dxa"/>
            <w:shd w:val="clear" w:color="auto" w:fill="DAEEF3" w:themeFill="accent5" w:themeFillTint="33"/>
          </w:tcPr>
          <w:p w:rsidR="000962AA" w:rsidRPr="00D43F62" w:rsidRDefault="000962AA" w:rsidP="006F74C6">
            <w:pPr>
              <w:pStyle w:val="TabNumeri"/>
            </w:pPr>
            <w:r w:rsidRPr="00D43F62">
              <w:t>47,9</w:t>
            </w:r>
          </w:p>
        </w:tc>
        <w:tc>
          <w:tcPr>
            <w:tcW w:w="1134" w:type="dxa"/>
            <w:shd w:val="clear" w:color="auto" w:fill="DAEEF3" w:themeFill="accent5" w:themeFillTint="33"/>
          </w:tcPr>
          <w:p w:rsidR="000962AA" w:rsidRPr="00D43F62" w:rsidRDefault="000962AA" w:rsidP="006F74C6">
            <w:pPr>
              <w:pStyle w:val="TabNumeri"/>
            </w:pPr>
            <w:r w:rsidRPr="00D43F62">
              <w:t>48,0</w:t>
            </w:r>
          </w:p>
        </w:tc>
        <w:tc>
          <w:tcPr>
            <w:tcW w:w="1134" w:type="dxa"/>
            <w:shd w:val="clear" w:color="auto" w:fill="DAEEF3" w:themeFill="accent5" w:themeFillTint="33"/>
          </w:tcPr>
          <w:p w:rsidR="000962AA" w:rsidRPr="00D43F62" w:rsidRDefault="000962AA" w:rsidP="006F74C6">
            <w:pPr>
              <w:pStyle w:val="TabNumeri"/>
            </w:pPr>
            <w:r w:rsidRPr="00D43F62">
              <w:t>48,1</w:t>
            </w:r>
          </w:p>
        </w:tc>
      </w:tr>
      <w:tr w:rsidR="000962AA" w:rsidTr="006F74C6">
        <w:trPr>
          <w:cantSplit/>
          <w:trHeight w:val="227"/>
        </w:trPr>
        <w:tc>
          <w:tcPr>
            <w:tcW w:w="4820" w:type="dxa"/>
          </w:tcPr>
          <w:p w:rsidR="000962AA" w:rsidRPr="007427DC" w:rsidRDefault="000962AA" w:rsidP="006F74C6">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rsidR="000962AA" w:rsidRPr="00D43F62" w:rsidRDefault="000962AA" w:rsidP="006F74C6">
            <w:pPr>
              <w:pStyle w:val="TabNumeri"/>
            </w:pPr>
            <w:r w:rsidRPr="00D43F62">
              <w:t>44,6</w:t>
            </w:r>
          </w:p>
        </w:tc>
        <w:tc>
          <w:tcPr>
            <w:tcW w:w="1134" w:type="dxa"/>
          </w:tcPr>
          <w:p w:rsidR="000962AA" w:rsidRPr="00D43F62" w:rsidRDefault="000962AA" w:rsidP="006F74C6">
            <w:pPr>
              <w:pStyle w:val="TabNumeri"/>
            </w:pPr>
            <w:r w:rsidRPr="00D43F62">
              <w:t>45,1</w:t>
            </w:r>
          </w:p>
        </w:tc>
        <w:tc>
          <w:tcPr>
            <w:tcW w:w="1134" w:type="dxa"/>
          </w:tcPr>
          <w:p w:rsidR="000962AA" w:rsidRPr="00D43F62" w:rsidRDefault="000962AA" w:rsidP="006F74C6">
            <w:pPr>
              <w:pStyle w:val="TabNumeri"/>
            </w:pPr>
            <w:r w:rsidRPr="00D43F62">
              <w:t>45,3</w:t>
            </w:r>
          </w:p>
        </w:tc>
        <w:tc>
          <w:tcPr>
            <w:tcW w:w="1134" w:type="dxa"/>
          </w:tcPr>
          <w:p w:rsidR="000962AA" w:rsidRPr="00D43F62" w:rsidRDefault="000962AA" w:rsidP="006F74C6">
            <w:pPr>
              <w:pStyle w:val="TabNumeri"/>
            </w:pPr>
            <w:r w:rsidRPr="00D43F62">
              <w:t>45,5</w:t>
            </w:r>
          </w:p>
        </w:tc>
      </w:tr>
      <w:tr w:rsidR="000962AA" w:rsidTr="006F74C6">
        <w:trPr>
          <w:cantSplit/>
          <w:trHeight w:val="227"/>
        </w:trPr>
        <w:tc>
          <w:tcPr>
            <w:tcW w:w="4820" w:type="dxa"/>
            <w:shd w:val="clear" w:color="auto" w:fill="DAEEF3" w:themeFill="accent5" w:themeFillTint="33"/>
          </w:tcPr>
          <w:p w:rsidR="000962AA" w:rsidRPr="007427DC" w:rsidRDefault="000962AA" w:rsidP="006F74C6">
            <w:pPr>
              <w:pStyle w:val="tabetic"/>
            </w:pPr>
            <w:r>
              <w:t xml:space="preserve"> Tasso di disoccupazione (2</w:t>
            </w:r>
            <w:r w:rsidRPr="007427DC">
              <w:t>)</w:t>
            </w:r>
          </w:p>
        </w:tc>
        <w:tc>
          <w:tcPr>
            <w:tcW w:w="1134" w:type="dxa"/>
            <w:shd w:val="clear" w:color="auto" w:fill="DAEEF3" w:themeFill="accent5" w:themeFillTint="33"/>
          </w:tcPr>
          <w:p w:rsidR="000962AA" w:rsidRPr="00D43F62" w:rsidRDefault="000962AA" w:rsidP="006F74C6">
            <w:pPr>
              <w:pStyle w:val="TabNumeri"/>
            </w:pPr>
            <w:r w:rsidRPr="00D43F62">
              <w:t>6,5</w:t>
            </w:r>
          </w:p>
        </w:tc>
        <w:tc>
          <w:tcPr>
            <w:tcW w:w="1134" w:type="dxa"/>
            <w:shd w:val="clear" w:color="auto" w:fill="DAEEF3" w:themeFill="accent5" w:themeFillTint="33"/>
          </w:tcPr>
          <w:p w:rsidR="000962AA" w:rsidRPr="00D43F62" w:rsidRDefault="000962AA" w:rsidP="006F74C6">
            <w:pPr>
              <w:pStyle w:val="TabNumeri"/>
            </w:pPr>
            <w:r w:rsidRPr="00D43F62">
              <w:t>5,8</w:t>
            </w:r>
          </w:p>
        </w:tc>
        <w:tc>
          <w:tcPr>
            <w:tcW w:w="1134" w:type="dxa"/>
            <w:shd w:val="clear" w:color="auto" w:fill="DAEEF3" w:themeFill="accent5" w:themeFillTint="33"/>
          </w:tcPr>
          <w:p w:rsidR="000962AA" w:rsidRPr="00D43F62" w:rsidRDefault="000962AA" w:rsidP="006F74C6">
            <w:pPr>
              <w:pStyle w:val="TabNumeri"/>
            </w:pPr>
            <w:r w:rsidRPr="00D43F62">
              <w:t>5,6</w:t>
            </w:r>
          </w:p>
        </w:tc>
        <w:tc>
          <w:tcPr>
            <w:tcW w:w="1134" w:type="dxa"/>
            <w:shd w:val="clear" w:color="auto" w:fill="DAEEF3" w:themeFill="accent5" w:themeFillTint="33"/>
          </w:tcPr>
          <w:p w:rsidR="000962AA" w:rsidRPr="00D43F62" w:rsidRDefault="000962AA" w:rsidP="006F74C6">
            <w:pPr>
              <w:pStyle w:val="TabNumeri"/>
            </w:pPr>
            <w:r w:rsidRPr="00D43F62">
              <w:t>5,3</w:t>
            </w:r>
          </w:p>
        </w:tc>
      </w:tr>
      <w:tr w:rsidR="000962AA" w:rsidTr="006F74C6">
        <w:trPr>
          <w:cantSplit/>
          <w:trHeight w:val="227"/>
        </w:trPr>
        <w:tc>
          <w:tcPr>
            <w:tcW w:w="4820" w:type="dxa"/>
          </w:tcPr>
          <w:p w:rsidR="000962AA" w:rsidRPr="00EC6592" w:rsidRDefault="000962AA" w:rsidP="006F74C6">
            <w:pPr>
              <w:pStyle w:val="TabEtichetteBold"/>
            </w:pPr>
            <w:r w:rsidRPr="00EC6592">
              <w:t>Produttività e capacità di spesa</w:t>
            </w:r>
          </w:p>
        </w:tc>
        <w:tc>
          <w:tcPr>
            <w:tcW w:w="1134" w:type="dxa"/>
          </w:tcPr>
          <w:p w:rsidR="000962AA" w:rsidRPr="00D43F62" w:rsidRDefault="000962AA" w:rsidP="006F74C6">
            <w:pPr>
              <w:pStyle w:val="TabNumeri"/>
            </w:pPr>
          </w:p>
        </w:tc>
        <w:tc>
          <w:tcPr>
            <w:tcW w:w="1134" w:type="dxa"/>
          </w:tcPr>
          <w:p w:rsidR="000962AA" w:rsidRPr="00D43F62" w:rsidRDefault="000962AA" w:rsidP="006F74C6">
            <w:pPr>
              <w:pStyle w:val="TabNumeri"/>
            </w:pPr>
          </w:p>
        </w:tc>
        <w:tc>
          <w:tcPr>
            <w:tcW w:w="1134" w:type="dxa"/>
          </w:tcPr>
          <w:p w:rsidR="000962AA" w:rsidRPr="00D43F62" w:rsidRDefault="000962AA" w:rsidP="006F74C6">
            <w:pPr>
              <w:pStyle w:val="TabNumeri"/>
            </w:pPr>
          </w:p>
        </w:tc>
        <w:tc>
          <w:tcPr>
            <w:tcW w:w="1134" w:type="dxa"/>
          </w:tcPr>
          <w:p w:rsidR="000962AA" w:rsidRPr="00D43F62" w:rsidRDefault="000962AA" w:rsidP="006F74C6">
            <w:pPr>
              <w:pStyle w:val="TabNumeri"/>
            </w:pPr>
          </w:p>
        </w:tc>
      </w:tr>
      <w:tr w:rsidR="000962AA" w:rsidTr="006F74C6">
        <w:trPr>
          <w:cantSplit/>
          <w:trHeight w:val="227"/>
        </w:trPr>
        <w:tc>
          <w:tcPr>
            <w:tcW w:w="4820" w:type="dxa"/>
            <w:shd w:val="clear" w:color="auto" w:fill="DAEEF3" w:themeFill="accent5" w:themeFillTint="33"/>
          </w:tcPr>
          <w:p w:rsidR="000962AA" w:rsidRPr="00B130A5" w:rsidRDefault="000962AA" w:rsidP="006F74C6">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shd w:val="clear" w:color="auto" w:fill="DAEEF3" w:themeFill="accent5" w:themeFillTint="33"/>
          </w:tcPr>
          <w:p w:rsidR="000962AA" w:rsidRPr="00D43F62" w:rsidRDefault="000962AA" w:rsidP="006F74C6">
            <w:pPr>
              <w:pStyle w:val="TabNumeri"/>
            </w:pPr>
            <w:r w:rsidRPr="00D43F62">
              <w:t>2,0</w:t>
            </w:r>
          </w:p>
        </w:tc>
        <w:tc>
          <w:tcPr>
            <w:tcW w:w="1134" w:type="dxa"/>
            <w:shd w:val="clear" w:color="auto" w:fill="DAEEF3" w:themeFill="accent5" w:themeFillTint="33"/>
          </w:tcPr>
          <w:p w:rsidR="000962AA" w:rsidRPr="00D43F62" w:rsidRDefault="000962AA" w:rsidP="006F74C6">
            <w:pPr>
              <w:pStyle w:val="TabNumeri"/>
            </w:pPr>
            <w:r w:rsidRPr="00D43F62">
              <w:t>3,1</w:t>
            </w:r>
          </w:p>
        </w:tc>
        <w:tc>
          <w:tcPr>
            <w:tcW w:w="1134" w:type="dxa"/>
            <w:shd w:val="clear" w:color="auto" w:fill="DAEEF3" w:themeFill="accent5" w:themeFillTint="33"/>
          </w:tcPr>
          <w:p w:rsidR="000962AA" w:rsidRPr="00D43F62" w:rsidRDefault="000962AA" w:rsidP="006F74C6">
            <w:pPr>
              <w:pStyle w:val="TabNumeri"/>
            </w:pPr>
            <w:r w:rsidRPr="00D43F62">
              <w:t>2,6</w:t>
            </w:r>
          </w:p>
        </w:tc>
        <w:tc>
          <w:tcPr>
            <w:tcW w:w="1134" w:type="dxa"/>
            <w:shd w:val="clear" w:color="auto" w:fill="DAEEF3" w:themeFill="accent5" w:themeFillTint="33"/>
          </w:tcPr>
          <w:p w:rsidR="000962AA" w:rsidRPr="00D43F62" w:rsidRDefault="000962AA" w:rsidP="006F74C6">
            <w:pPr>
              <w:pStyle w:val="TabNumeri"/>
            </w:pPr>
            <w:r w:rsidRPr="00D43F62">
              <w:t>2,3</w:t>
            </w:r>
          </w:p>
        </w:tc>
      </w:tr>
      <w:tr w:rsidR="000962AA" w:rsidTr="006F74C6">
        <w:trPr>
          <w:cantSplit/>
          <w:trHeight w:val="227"/>
        </w:trPr>
        <w:tc>
          <w:tcPr>
            <w:tcW w:w="4820" w:type="dxa"/>
          </w:tcPr>
          <w:p w:rsidR="000962AA" w:rsidRDefault="000962AA" w:rsidP="006F74C6">
            <w:pPr>
              <w:pStyle w:val="TabEtichette"/>
            </w:pPr>
            <w:r w:rsidRPr="00B130A5">
              <w:t>Valore aggiunto totale per abitante (migliaia di euro)</w:t>
            </w:r>
          </w:p>
        </w:tc>
        <w:tc>
          <w:tcPr>
            <w:tcW w:w="1134" w:type="dxa"/>
          </w:tcPr>
          <w:p w:rsidR="000962AA" w:rsidRPr="00D43F62" w:rsidRDefault="000962AA" w:rsidP="006F74C6">
            <w:pPr>
              <w:pStyle w:val="TabNumeri"/>
            </w:pPr>
            <w:r w:rsidRPr="00D43F62">
              <w:t>29,4</w:t>
            </w:r>
          </w:p>
        </w:tc>
        <w:tc>
          <w:tcPr>
            <w:tcW w:w="1134" w:type="dxa"/>
          </w:tcPr>
          <w:p w:rsidR="000962AA" w:rsidRPr="00D43F62" w:rsidRDefault="000962AA" w:rsidP="006F74C6">
            <w:pPr>
              <w:pStyle w:val="TabNumeri"/>
            </w:pPr>
            <w:r w:rsidRPr="00D43F62">
              <w:t>29,8</w:t>
            </w:r>
          </w:p>
        </w:tc>
        <w:tc>
          <w:tcPr>
            <w:tcW w:w="1134" w:type="dxa"/>
          </w:tcPr>
          <w:p w:rsidR="000962AA" w:rsidRPr="00D43F62" w:rsidRDefault="000962AA" w:rsidP="006F74C6">
            <w:pPr>
              <w:pStyle w:val="TabNumeri"/>
            </w:pPr>
            <w:r w:rsidRPr="00D43F62">
              <w:t>29,9</w:t>
            </w:r>
          </w:p>
        </w:tc>
        <w:tc>
          <w:tcPr>
            <w:tcW w:w="1134" w:type="dxa"/>
          </w:tcPr>
          <w:p w:rsidR="000962AA" w:rsidRDefault="000962AA" w:rsidP="006F74C6">
            <w:pPr>
              <w:pStyle w:val="TabNumeri"/>
            </w:pPr>
            <w:r w:rsidRPr="00D43F62">
              <w:t>30,2</w:t>
            </w:r>
          </w:p>
        </w:tc>
      </w:tr>
      <w:tr w:rsidR="000962AA" w:rsidTr="006F74C6">
        <w:trPr>
          <w:cantSplit/>
        </w:trPr>
        <w:tc>
          <w:tcPr>
            <w:tcW w:w="9356" w:type="dxa"/>
            <w:gridSpan w:val="5"/>
            <w:tcBorders>
              <w:top w:val="single" w:sz="4" w:space="0" w:color="800000"/>
            </w:tcBorders>
          </w:tcPr>
          <w:p w:rsidR="000962AA" w:rsidRDefault="000962AA" w:rsidP="006F74C6">
            <w:pPr>
              <w:pStyle w:val="TabNoteSuperiori"/>
            </w:pPr>
            <w:r>
              <w:t>(1) Al netto delle scorte. (2) Rapporto percentuale. (3) Quota sulla popolazione presente totale.</w:t>
            </w:r>
          </w:p>
          <w:p w:rsidR="000962AA" w:rsidRPr="007C570B" w:rsidRDefault="000962AA" w:rsidP="006F74C6">
            <w:pPr>
              <w:pStyle w:val="TabNoteInferiori"/>
            </w:pPr>
            <w:r w:rsidRPr="00B60C06">
              <w:t xml:space="preserve">Fonte: elaborazione Unioncamere E.R. su dati Prometeia, Scenari per le economie locali, </w:t>
            </w:r>
            <w:r>
              <w:t xml:space="preserve">gennaio </w:t>
            </w:r>
            <w:r>
              <w:fldChar w:fldCharType="begin"/>
            </w:r>
            <w:r>
              <w:instrText xml:space="preserve"> DATE  \@ "yyyy"  \* MERGEFORMAT </w:instrText>
            </w:r>
            <w:r>
              <w:fldChar w:fldCharType="separate"/>
            </w:r>
            <w:r w:rsidR="00191A72">
              <w:rPr>
                <w:noProof/>
              </w:rPr>
              <w:t>2019</w:t>
            </w:r>
            <w:r>
              <w:fldChar w:fldCharType="end"/>
            </w:r>
            <w:r w:rsidRPr="00B60C06">
              <w:t>.</w:t>
            </w:r>
          </w:p>
        </w:tc>
      </w:tr>
    </w:tbl>
    <w:p w:rsidR="00CB1ECC" w:rsidRDefault="00CB1ECC" w:rsidP="00CB1ECC">
      <w:r w:rsidRPr="009F3FAC">
        <w:t xml:space="preserve">La crescita stimata del prodotto interno lordo per il 2018 dovrebbe essere stata dell’1,4 per cento, ma quella attesa nel 2019 dovrebbe risultare sensibilmente inferiore e pari allo 0,7 per cento. Il Pil regionale in termini reali nel 2019 dovrebbe risultare superiore dell’8,4 per cento rispetto ai livelli minimi toccati al culmine della crisi nel 2009, ma ancora sostanzialmente in linea con il livello del 2007 e superiore di solo il 10,3 per cento a quello del 2000. L’andamento regionale si conferma leggermente migliore di quello nazionale. Nonostante il rallentamento, l’Emilia-Romagna si prospetta al vertice per capacità di crescita, sia nel 2018, insieme con la Lombardia, sia per il 2019, seconda dopo la Lombardia e davanti al Veneto. La crescita dei consumi nel 2018 (+1,0 per cento) si è ridotta al di sotto di quella del Pil, ma rallenterà solo lievemente nel 2019 (+0,9 per cento).Nel 2019 i consumi privati aggregati risulteranno superiori del 3,4 per cento rispetto a quelli del picco del 2011, ma probabilmente con una maggiore diseguaglianza. Gli investimenti fissi lordi hanno trainato la crescita della domanda interna nel 2018 e dovrebbero avere solo </w:t>
      </w:r>
      <w:r w:rsidRPr="009F3FAC">
        <w:lastRenderedPageBreak/>
        <w:t>marginalmente contenuto la buona tendenza positiva, ma nel 2019 subiranno invece un brusco rallentamento, quasi uno stop (+0,5 per cento). I livelli di accumulazione nel 2019 saranno inferiori del 19,8 per cento rispetto a quelli del precedente massimo risalente al 2008. La dinamica delle esportazioni regionali dovrebbe risultare fortemente rallentata nel 2018 (+2,1 per cento), pur essendo sensibilmente superiore rispetto a quella nazionale, ma dovrebbe riprendersi parzialmente nel 2019 (+2,9 per cento). Al termine dell’anno corrente In valore reale supereranno del 24,4 per cento il livello massimo precedente la crisi, toccato nel 2007.</w:t>
      </w:r>
    </w:p>
    <w:p w:rsidR="00CB1ECC" w:rsidRDefault="00CB1ECC" w:rsidP="00CB1ECC">
      <w:pPr>
        <w:pStyle w:val="Titolo4"/>
      </w:pPr>
      <w:r>
        <w:t>La formazione del valore aggiunto: i settori</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0962AA" w:rsidTr="006F74C6">
        <w:trPr>
          <w:cantSplit/>
        </w:trPr>
        <w:tc>
          <w:tcPr>
            <w:tcW w:w="9356" w:type="dxa"/>
          </w:tcPr>
          <w:p w:rsidR="000962AA" w:rsidRDefault="000962AA" w:rsidP="006F74C6">
            <w:pPr>
              <w:pStyle w:val="FigTitolo"/>
              <w:ind w:left="1134" w:hanging="1134"/>
            </w:pPr>
            <w:r>
              <w:t>Il quadro regionale: tasso di variazione e numero indice del Pil (2000=100)</w:t>
            </w:r>
          </w:p>
          <w:p w:rsidR="000962AA" w:rsidRDefault="000962AA" w:rsidP="006F74C6">
            <w:pPr>
              <w:pStyle w:val="Figure"/>
            </w:pPr>
            <w:r w:rsidRPr="00AD0198">
              <w:rPr>
                <w:noProof/>
              </w:rPr>
              <w:drawing>
                <wp:inline distT="0" distB="0" distL="0" distR="0" wp14:anchorId="49C51EBF" wp14:editId="2A396333">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962AA" w:rsidRDefault="000962AA" w:rsidP="006F74C6">
            <w:pPr>
              <w:pStyle w:val="TabNoteInferiori"/>
            </w:pPr>
            <w:r w:rsidRPr="0029075E">
              <w:t xml:space="preserve">Fonte: </w:t>
            </w:r>
            <w:r w:rsidRPr="00B60C06">
              <w:t xml:space="preserve">elaborazione Unioncamere E.R. su dati Prometeia, Scenari per le economie locali, </w:t>
            </w:r>
            <w:r>
              <w:t>gennaio</w:t>
            </w:r>
            <w:r w:rsidRPr="00B60C06">
              <w:t xml:space="preserve"> </w:t>
            </w:r>
            <w:r>
              <w:fldChar w:fldCharType="begin"/>
            </w:r>
            <w:r>
              <w:instrText xml:space="preserve"> DATE  \@ "yyyy"  \* MERGEFORMAT </w:instrText>
            </w:r>
            <w:r>
              <w:fldChar w:fldCharType="separate"/>
            </w:r>
            <w:r w:rsidR="00191A72">
              <w:rPr>
                <w:noProof/>
              </w:rPr>
              <w:t>2019</w:t>
            </w:r>
            <w:r>
              <w:fldChar w:fldCharType="end"/>
            </w:r>
            <w:r w:rsidRPr="00B60C06">
              <w:t>..</w:t>
            </w:r>
            <w:r w:rsidRPr="0029075E">
              <w:t>.</w:t>
            </w:r>
          </w:p>
        </w:tc>
      </w:tr>
    </w:tbl>
    <w:tbl>
      <w:tblPr>
        <w:tblpPr w:topFromText="284" w:bottom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0962AA" w:rsidTr="006F74C6">
        <w:trPr>
          <w:cantSplit/>
        </w:trPr>
        <w:tc>
          <w:tcPr>
            <w:tcW w:w="9356" w:type="dxa"/>
          </w:tcPr>
          <w:p w:rsidR="000962AA" w:rsidRDefault="000962AA" w:rsidP="006F74C6">
            <w:pPr>
              <w:pStyle w:val="FigTitolo"/>
              <w:ind w:left="1134" w:hanging="1134"/>
            </w:pPr>
            <w:r>
              <w:t>Il quadro regionale, i settori : tassi di variazione e numeri indice del valore aggiunto (2000=100)</w:t>
            </w:r>
          </w:p>
          <w:p w:rsidR="000962AA" w:rsidRDefault="000962AA" w:rsidP="006F74C6">
            <w:pPr>
              <w:pStyle w:val="Figure"/>
            </w:pPr>
            <w:r w:rsidRPr="00AD0198">
              <w:rPr>
                <w:noProof/>
              </w:rPr>
              <w:drawing>
                <wp:inline distT="0" distB="0" distL="0" distR="0" wp14:anchorId="48AF5F00" wp14:editId="0ADC67EF">
                  <wp:extent cx="5904000" cy="2340000"/>
                  <wp:effectExtent l="0" t="0" r="0"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962AA" w:rsidRDefault="000962AA" w:rsidP="006F74C6">
            <w:pPr>
              <w:pStyle w:val="TabNoteInferiori"/>
            </w:pPr>
            <w:r w:rsidRPr="0029075E">
              <w:t xml:space="preserve">Fonte: </w:t>
            </w:r>
            <w:r w:rsidRPr="00B60C06">
              <w:t xml:space="preserve">elaborazione Unioncamere E.R. su dati </w:t>
            </w:r>
            <w:r w:rsidRPr="0029075E">
              <w:t xml:space="preserve">Prometeia, Scenari per le economie locali, </w:t>
            </w:r>
            <w:r>
              <w:t xml:space="preserve">gennaio </w:t>
            </w:r>
            <w:r>
              <w:fldChar w:fldCharType="begin"/>
            </w:r>
            <w:r>
              <w:instrText xml:space="preserve"> DATE  \@ "yyyy"  \* MERGEFORMAT </w:instrText>
            </w:r>
            <w:r>
              <w:fldChar w:fldCharType="separate"/>
            </w:r>
            <w:r w:rsidR="00191A72">
              <w:rPr>
                <w:noProof/>
              </w:rPr>
              <w:t>2019</w:t>
            </w:r>
            <w:r>
              <w:fldChar w:fldCharType="end"/>
            </w:r>
            <w:r w:rsidRPr="006F0EA1">
              <w:t>.</w:t>
            </w:r>
          </w:p>
        </w:tc>
      </w:tr>
    </w:tbl>
    <w:p w:rsidR="00CB1ECC" w:rsidRDefault="00CB1ECC" w:rsidP="00CB1ECC">
      <w:r>
        <w:t>Nonostante il rallentamento, la ripresa è diffusa in tutti i settori. Nel 2018 la crescita del valore aggiunto dell’industria regionale dovrebbe essersi ridotta all’1,4 per cento e il rallentamento dell’attività proseguirà nel 2019 (+0,6 per cento). Al termine dell’anno corrente, il valore aggiunto reale dell’industria risulterà superiore di solo il 3,0 per cento rispetto al precedente massimo del 2007. Nel 2018 il valore aggiunto delle costruzioni dovrebbe segnare un sensibile incremento (+2,4 per cento). Nel 2019 dovrebbe registrare una crescita più contenuta, ma chiaramente superiore a quella del Pil e pari all’1,6 per cento. Ma a fine 2019 risulterà inferiore del 34,7 per cento rispetto al livello degli eccessi del precedente massimo del 2007. Infine, il valore aggiunto del settore dei servizi dovrebbe essere aumentato dell’1,2 per cento nel 2018, il rallentamento proseguirà nel 2019 (+0,8 per cento). Al termine dell’anno corrente il valore aggiunto dei servizi dovrebbe risultare non di molto più elevato (+2,7 per cento) rispetto al precedente massimo toccato nel 2008.</w:t>
      </w:r>
    </w:p>
    <w:p w:rsidR="00CB1ECC" w:rsidRDefault="00CB1ECC" w:rsidP="00CB1ECC">
      <w:pPr>
        <w:pStyle w:val="Titolo4"/>
      </w:pPr>
      <w:r>
        <w:t>Il mercato del lavoro</w:t>
      </w:r>
    </w:p>
    <w:p w:rsidR="00CB1ECC" w:rsidRDefault="00CB1ECC" w:rsidP="00CB1ECC">
      <w:r>
        <w:t xml:space="preserve">Le forze di lavoro sono aumentate nel 2018 (+0,5 per cento) e cresceranno lievemente anche nel 2019 </w:t>
      </w:r>
      <w:r>
        <w:lastRenderedPageBreak/>
        <w:t>(+0,4 per cento). Il tasso di attività, calcolato come quota sulla popolazione presente totale, dovrebbe essere salito al 47,9 nel 2018 e si porterà al 48,0 per cento nel 2019. Lo scorso anno la buona ripresa del Pil si è accompagnata a un’analoga tendenza positiva degli occupati (+1,3 per cento), che si ridurrà sensibilmente nel 2019 (+0,6 per cento). Il tasso di occupazione è salito nel 2018 (45,1 per cento) e salirà ancora nel 2019 al 45,3 per cento, ma risulterà ancora inferiore di un punto percentuale rispetto al livello del 2008 e di 2,0 punti al di sotto del precedente massimo risalente al 2002. Il tasso di disoccupazione era pari al 2,8 per cento nel 2007 e era salito all’8,4 per cento nel 2013. Lo scorso anno dovrebbe essere sceso al 5,8 per cento. Nel 2019 dovrebbe ridursi lievemente al 5,6 per cento.</w:t>
      </w:r>
    </w:p>
    <w:sectPr w:rsidR="00CB1ECC" w:rsidSect="00EC7F1C">
      <w:footerReference w:type="even" r:id="rId13"/>
      <w:footerReference w:type="default" r:id="rId14"/>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22F" w:rsidRDefault="0038222F">
      <w:r>
        <w:separator/>
      </w:r>
    </w:p>
    <w:p w:rsidR="0038222F" w:rsidRDefault="0038222F"/>
  </w:endnote>
  <w:endnote w:type="continuationSeparator" w:id="0">
    <w:p w:rsidR="0038222F" w:rsidRDefault="0038222F">
      <w:r>
        <w:continuationSeparator/>
      </w:r>
    </w:p>
    <w:p w:rsidR="0038222F" w:rsidRDefault="003822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191A72">
      <w:rPr>
        <w:rStyle w:val="Numeropagina"/>
        <w:noProof/>
      </w:rPr>
      <w:t>4</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191A72">
      <w:rPr>
        <w:rStyle w:val="Numeropagina"/>
        <w:noProof/>
      </w:rPr>
      <w:t>3</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22F" w:rsidRDefault="0038222F">
      <w:r>
        <w:separator/>
      </w:r>
    </w:p>
    <w:p w:rsidR="0038222F" w:rsidRDefault="0038222F"/>
  </w:footnote>
  <w:footnote w:type="continuationSeparator" w:id="0">
    <w:p w:rsidR="0038222F" w:rsidRDefault="0038222F">
      <w:r>
        <w:continuationSeparator/>
      </w:r>
    </w:p>
    <w:p w:rsidR="0038222F" w:rsidRDefault="0038222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60534"/>
    <w:rsid w:val="00062A85"/>
    <w:rsid w:val="000659EE"/>
    <w:rsid w:val="00072096"/>
    <w:rsid w:val="000954C7"/>
    <w:rsid w:val="000962AA"/>
    <w:rsid w:val="000A136A"/>
    <w:rsid w:val="000A47C0"/>
    <w:rsid w:val="000A7ACE"/>
    <w:rsid w:val="000B711D"/>
    <w:rsid w:val="000C35DD"/>
    <w:rsid w:val="000C3780"/>
    <w:rsid w:val="000C5215"/>
    <w:rsid w:val="000C731A"/>
    <w:rsid w:val="000D3408"/>
    <w:rsid w:val="000D4337"/>
    <w:rsid w:val="000D77D9"/>
    <w:rsid w:val="000E7C99"/>
    <w:rsid w:val="000F0271"/>
    <w:rsid w:val="0011376D"/>
    <w:rsid w:val="00116309"/>
    <w:rsid w:val="001169DB"/>
    <w:rsid w:val="0012006D"/>
    <w:rsid w:val="00143FE6"/>
    <w:rsid w:val="00145433"/>
    <w:rsid w:val="001454AD"/>
    <w:rsid w:val="001455FD"/>
    <w:rsid w:val="00151819"/>
    <w:rsid w:val="00191A72"/>
    <w:rsid w:val="0019786B"/>
    <w:rsid w:val="001A2E23"/>
    <w:rsid w:val="001B00BB"/>
    <w:rsid w:val="001C19C0"/>
    <w:rsid w:val="001C7B8A"/>
    <w:rsid w:val="001D3F9B"/>
    <w:rsid w:val="001E2EB1"/>
    <w:rsid w:val="001F0E1F"/>
    <w:rsid w:val="00205EB4"/>
    <w:rsid w:val="002112CA"/>
    <w:rsid w:val="0021718E"/>
    <w:rsid w:val="00226FD7"/>
    <w:rsid w:val="0023194D"/>
    <w:rsid w:val="002331F6"/>
    <w:rsid w:val="00233DDE"/>
    <w:rsid w:val="002624CD"/>
    <w:rsid w:val="00280045"/>
    <w:rsid w:val="00295CB4"/>
    <w:rsid w:val="00297826"/>
    <w:rsid w:val="002A4363"/>
    <w:rsid w:val="002A67C3"/>
    <w:rsid w:val="002B4A67"/>
    <w:rsid w:val="002D0E0B"/>
    <w:rsid w:val="002E0C1E"/>
    <w:rsid w:val="002F3B2B"/>
    <w:rsid w:val="003079C8"/>
    <w:rsid w:val="00311B8C"/>
    <w:rsid w:val="00326BDD"/>
    <w:rsid w:val="00343BBA"/>
    <w:rsid w:val="00362600"/>
    <w:rsid w:val="00370DD3"/>
    <w:rsid w:val="00374C2B"/>
    <w:rsid w:val="0037602F"/>
    <w:rsid w:val="0038222F"/>
    <w:rsid w:val="00392CCA"/>
    <w:rsid w:val="003A4CBD"/>
    <w:rsid w:val="003A7986"/>
    <w:rsid w:val="003C6E43"/>
    <w:rsid w:val="003D0ED8"/>
    <w:rsid w:val="003D4594"/>
    <w:rsid w:val="003E3B61"/>
    <w:rsid w:val="003F66B1"/>
    <w:rsid w:val="00402003"/>
    <w:rsid w:val="00403C5A"/>
    <w:rsid w:val="004045CE"/>
    <w:rsid w:val="00421C45"/>
    <w:rsid w:val="004308CF"/>
    <w:rsid w:val="004727C6"/>
    <w:rsid w:val="00474F23"/>
    <w:rsid w:val="00475E64"/>
    <w:rsid w:val="0048031B"/>
    <w:rsid w:val="004821B2"/>
    <w:rsid w:val="00497B8C"/>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0694B"/>
    <w:rsid w:val="00711AD4"/>
    <w:rsid w:val="00736E99"/>
    <w:rsid w:val="007413B2"/>
    <w:rsid w:val="007579C8"/>
    <w:rsid w:val="007709BA"/>
    <w:rsid w:val="007767D7"/>
    <w:rsid w:val="00776C28"/>
    <w:rsid w:val="00782A90"/>
    <w:rsid w:val="00785036"/>
    <w:rsid w:val="007864F5"/>
    <w:rsid w:val="007B1BA4"/>
    <w:rsid w:val="007C32E7"/>
    <w:rsid w:val="007D4EF0"/>
    <w:rsid w:val="007F4A37"/>
    <w:rsid w:val="007F6661"/>
    <w:rsid w:val="008001F3"/>
    <w:rsid w:val="0080528A"/>
    <w:rsid w:val="00813655"/>
    <w:rsid w:val="0081512A"/>
    <w:rsid w:val="00823044"/>
    <w:rsid w:val="0083021E"/>
    <w:rsid w:val="00832B4E"/>
    <w:rsid w:val="00847E0A"/>
    <w:rsid w:val="008575CD"/>
    <w:rsid w:val="00863834"/>
    <w:rsid w:val="00865D33"/>
    <w:rsid w:val="00872B5F"/>
    <w:rsid w:val="008761FF"/>
    <w:rsid w:val="00877AE4"/>
    <w:rsid w:val="00885A3D"/>
    <w:rsid w:val="00891349"/>
    <w:rsid w:val="008917D4"/>
    <w:rsid w:val="008933E6"/>
    <w:rsid w:val="008A59C8"/>
    <w:rsid w:val="008B2FAD"/>
    <w:rsid w:val="008D2187"/>
    <w:rsid w:val="008E1F7C"/>
    <w:rsid w:val="008F762B"/>
    <w:rsid w:val="00904F49"/>
    <w:rsid w:val="00906A3E"/>
    <w:rsid w:val="009124B3"/>
    <w:rsid w:val="009135F2"/>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08DA"/>
    <w:rsid w:val="00A72937"/>
    <w:rsid w:val="00A730F5"/>
    <w:rsid w:val="00A75C22"/>
    <w:rsid w:val="00A90F5A"/>
    <w:rsid w:val="00A92FA0"/>
    <w:rsid w:val="00A97F64"/>
    <w:rsid w:val="00AA3813"/>
    <w:rsid w:val="00AA704C"/>
    <w:rsid w:val="00AB3C50"/>
    <w:rsid w:val="00AC6CE4"/>
    <w:rsid w:val="00AD3962"/>
    <w:rsid w:val="00B0117D"/>
    <w:rsid w:val="00B141FF"/>
    <w:rsid w:val="00B27432"/>
    <w:rsid w:val="00B300CF"/>
    <w:rsid w:val="00B33405"/>
    <w:rsid w:val="00B3596A"/>
    <w:rsid w:val="00B37865"/>
    <w:rsid w:val="00B510DE"/>
    <w:rsid w:val="00B74896"/>
    <w:rsid w:val="00B937FD"/>
    <w:rsid w:val="00BA4E1E"/>
    <w:rsid w:val="00BA6EC0"/>
    <w:rsid w:val="00BB4979"/>
    <w:rsid w:val="00BC1241"/>
    <w:rsid w:val="00BC5420"/>
    <w:rsid w:val="00BD16F9"/>
    <w:rsid w:val="00BD7C77"/>
    <w:rsid w:val="00BD7ED5"/>
    <w:rsid w:val="00BF4352"/>
    <w:rsid w:val="00C10760"/>
    <w:rsid w:val="00C35C72"/>
    <w:rsid w:val="00C40E72"/>
    <w:rsid w:val="00C43F0D"/>
    <w:rsid w:val="00C44E27"/>
    <w:rsid w:val="00C82041"/>
    <w:rsid w:val="00C91709"/>
    <w:rsid w:val="00CA7D73"/>
    <w:rsid w:val="00CB1ECC"/>
    <w:rsid w:val="00CB605B"/>
    <w:rsid w:val="00CC5909"/>
    <w:rsid w:val="00CD278F"/>
    <w:rsid w:val="00CE0250"/>
    <w:rsid w:val="00CE68C2"/>
    <w:rsid w:val="00CF2079"/>
    <w:rsid w:val="00D03990"/>
    <w:rsid w:val="00D11BF6"/>
    <w:rsid w:val="00D2026C"/>
    <w:rsid w:val="00D20CDE"/>
    <w:rsid w:val="00D32334"/>
    <w:rsid w:val="00D70926"/>
    <w:rsid w:val="00D765FD"/>
    <w:rsid w:val="00D8389E"/>
    <w:rsid w:val="00D91F47"/>
    <w:rsid w:val="00DB7F10"/>
    <w:rsid w:val="00DD14C1"/>
    <w:rsid w:val="00DD43EA"/>
    <w:rsid w:val="00DF3629"/>
    <w:rsid w:val="00DF42E6"/>
    <w:rsid w:val="00E01DC4"/>
    <w:rsid w:val="00E167FF"/>
    <w:rsid w:val="00E3114E"/>
    <w:rsid w:val="00E52DE6"/>
    <w:rsid w:val="00E534DF"/>
    <w:rsid w:val="00E55380"/>
    <w:rsid w:val="00E678F3"/>
    <w:rsid w:val="00E67F80"/>
    <w:rsid w:val="00E743E6"/>
    <w:rsid w:val="00E85754"/>
    <w:rsid w:val="00EA3B0A"/>
    <w:rsid w:val="00EA73A9"/>
    <w:rsid w:val="00EC7F1C"/>
    <w:rsid w:val="00ED09E7"/>
    <w:rsid w:val="00ED3E7E"/>
    <w:rsid w:val="00EE115B"/>
    <w:rsid w:val="00EE2F9D"/>
    <w:rsid w:val="00EF35DA"/>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7B1BA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0962AA"/>
    <w:rPr>
      <w:b/>
      <w:bCs/>
    </w:rPr>
  </w:style>
  <w:style w:type="paragraph" w:customStyle="1" w:styleId="tabnum">
    <w:name w:val="tab num"/>
    <w:basedOn w:val="Normale"/>
    <w:qFormat/>
    <w:rsid w:val="000962AA"/>
    <w:pPr>
      <w:keepLines/>
      <w:spacing w:line="240" w:lineRule="auto"/>
      <w:ind w:firstLine="0"/>
      <w:jc w:val="right"/>
    </w:pPr>
    <w:rPr>
      <w:sz w:val="16"/>
      <w:szCs w:val="24"/>
    </w:rPr>
  </w:style>
  <w:style w:type="paragraph" w:customStyle="1" w:styleId="tabetic">
    <w:name w:val="tab etic"/>
    <w:basedOn w:val="Normale"/>
    <w:qFormat/>
    <w:rsid w:val="000962AA"/>
    <w:pPr>
      <w:keepLines/>
      <w:tabs>
        <w:tab w:val="left" w:pos="113"/>
        <w:tab w:val="left" w:pos="227"/>
      </w:tabs>
      <w:spacing w:line="240" w:lineRule="auto"/>
      <w:ind w:firstLine="0"/>
      <w:jc w:val="left"/>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7B1BA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0962AA"/>
    <w:rPr>
      <w:b/>
      <w:bCs/>
    </w:rPr>
  </w:style>
  <w:style w:type="paragraph" w:customStyle="1" w:styleId="tabnum">
    <w:name w:val="tab num"/>
    <w:basedOn w:val="Normale"/>
    <w:qFormat/>
    <w:rsid w:val="000962AA"/>
    <w:pPr>
      <w:keepLines/>
      <w:spacing w:line="240" w:lineRule="auto"/>
      <w:ind w:firstLine="0"/>
      <w:jc w:val="right"/>
    </w:pPr>
    <w:rPr>
      <w:sz w:val="16"/>
      <w:szCs w:val="24"/>
    </w:rPr>
  </w:style>
  <w:style w:type="paragraph" w:customStyle="1" w:styleId="tabetic">
    <w:name w:val="tab etic"/>
    <w:basedOn w:val="Normale"/>
    <w:qFormat/>
    <w:rsid w:val="000962AA"/>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dLbl>
            <c:dLbl>
              <c:idx val="13"/>
              <c:showLegendKey val="0"/>
              <c:showVal val="1"/>
              <c:showCatName val="0"/>
              <c:showSerName val="0"/>
              <c:showPercent val="0"/>
              <c:showBubbleSize val="0"/>
            </c:dLbl>
            <c:numFmt formatCode="0.0;[Red]\-0.0" sourceLinked="0"/>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Foglio1!$D$2:$D$16</c:f>
              <c:numCache>
                <c:formatCode>0.0</c:formatCode>
                <c:ptCount val="15"/>
                <c:pt idx="0">
                  <c:v>3.5546069903322541</c:v>
                </c:pt>
                <c:pt idx="1">
                  <c:v>2.3175800834109861</c:v>
                </c:pt>
                <c:pt idx="2">
                  <c:v>-0.91623772720467178</c:v>
                </c:pt>
                <c:pt idx="3">
                  <c:v>-6.9147786794893751</c:v>
                </c:pt>
                <c:pt idx="4">
                  <c:v>2.1306386185962811</c:v>
                </c:pt>
                <c:pt idx="5">
                  <c:v>2.5733554103256395</c:v>
                </c:pt>
                <c:pt idx="6">
                  <c:v>-2.682209691998183</c:v>
                </c:pt>
                <c:pt idx="7">
                  <c:v>-0.77287069655636031</c:v>
                </c:pt>
                <c:pt idx="8">
                  <c:v>0.90306567413676042</c:v>
                </c:pt>
                <c:pt idx="9">
                  <c:v>0.69829718543703567</c:v>
                </c:pt>
                <c:pt idx="10">
                  <c:v>1.4099938108639964</c:v>
                </c:pt>
                <c:pt idx="11">
                  <c:v>1.8408617609438016</c:v>
                </c:pt>
                <c:pt idx="12">
                  <c:v>1.3871671661226825</c:v>
                </c:pt>
                <c:pt idx="13">
                  <c:v>0.68483489814885612</c:v>
                </c:pt>
                <c:pt idx="14">
                  <c:v>0.98267921609642706</c:v>
                </c:pt>
              </c:numCache>
            </c:numRef>
          </c:val>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Foglio1!$E$2:$E$16</c:f>
              <c:numCache>
                <c:formatCode>0.0</c:formatCode>
                <c:ptCount val="15"/>
                <c:pt idx="0">
                  <c:v>2.0065866547446909</c:v>
                </c:pt>
                <c:pt idx="1">
                  <c:v>1.4738685466187729</c:v>
                </c:pt>
                <c:pt idx="2">
                  <c:v>-1.0504028348038208</c:v>
                </c:pt>
                <c:pt idx="3">
                  <c:v>-5.4820550401474488</c:v>
                </c:pt>
                <c:pt idx="4">
                  <c:v>1.6865234030892129</c:v>
                </c:pt>
                <c:pt idx="5">
                  <c:v>0.57662302210419458</c:v>
                </c:pt>
                <c:pt idx="6">
                  <c:v>-2.8190137792549308</c:v>
                </c:pt>
                <c:pt idx="7">
                  <c:v>-1.7281608024923067</c:v>
                </c:pt>
                <c:pt idx="8">
                  <c:v>0.11367323787825345</c:v>
                </c:pt>
                <c:pt idx="9">
                  <c:v>0.9239924875097616</c:v>
                </c:pt>
                <c:pt idx="10">
                  <c:v>1.1455128221182775</c:v>
                </c:pt>
                <c:pt idx="11">
                  <c:v>1.5717598148084599</c:v>
                </c:pt>
                <c:pt idx="12">
                  <c:v>0.93558894554532923</c:v>
                </c:pt>
                <c:pt idx="13">
                  <c:v>0.4858866576252785</c:v>
                </c:pt>
                <c:pt idx="14">
                  <c:v>0.74045964693156829</c:v>
                </c:pt>
              </c:numCache>
            </c:numRef>
          </c:val>
        </c:ser>
        <c:dLbls>
          <c:showLegendKey val="0"/>
          <c:showVal val="0"/>
          <c:showCatName val="0"/>
          <c:showSerName val="0"/>
          <c:showPercent val="0"/>
          <c:showBubbleSize val="0"/>
        </c:dLbls>
        <c:gapWidth val="100"/>
        <c:axId val="119866880"/>
        <c:axId val="203828032"/>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1"/>
              <c:layout>
                <c:manualLayout>
                  <c:x val="-3.9809517649367604E-2"/>
                  <c:y val="-0.10091227278631147"/>
                </c:manualLayout>
              </c:layout>
              <c:dLblPos val="r"/>
              <c:showLegendKey val="0"/>
              <c:showVal val="1"/>
              <c:showCatName val="0"/>
              <c:showSerName val="0"/>
              <c:showPercent val="0"/>
              <c:showBubbleSize val="0"/>
            </c:dLbl>
            <c:dLbl>
              <c:idx val="4"/>
              <c:delete val="1"/>
            </c:dLbl>
            <c:dLbl>
              <c:idx val="8"/>
              <c:delete val="1"/>
            </c:dLbl>
            <c:dLbl>
              <c:idx val="12"/>
              <c:delete val="1"/>
            </c:dLbl>
            <c:dLbl>
              <c:idx val="13"/>
              <c:dLblPos val="t"/>
              <c:showLegendKey val="0"/>
              <c:showVal val="1"/>
              <c:showCatName val="0"/>
              <c:showSerName val="0"/>
              <c:showPercent val="0"/>
              <c:showBubbleSize val="0"/>
            </c:dLbl>
            <c:dLbl>
              <c:idx val="14"/>
              <c:delete val="1"/>
            </c:dLbl>
            <c:dLbl>
              <c:idx val="16"/>
              <c:dLblPos val="t"/>
              <c:showLegendKey val="0"/>
              <c:showVal val="1"/>
              <c:showCatName val="0"/>
              <c:showSerName val="0"/>
              <c:showPercent val="0"/>
              <c:showBubbleSize val="0"/>
            </c:dLbl>
            <c:dLbl>
              <c:idx val="18"/>
              <c:layout>
                <c:manualLayout>
                  <c:x val="-3.9821985094851006E-2"/>
                  <c:y val="4.0165597856969118E-2"/>
                </c:manualLayout>
              </c:layout>
              <c:dLblPos val="r"/>
              <c:showLegendKey val="0"/>
              <c:showVal val="1"/>
              <c:showCatName val="0"/>
              <c:showSerName val="0"/>
              <c:showPercent val="0"/>
              <c:showBubbleSize val="0"/>
            </c:dLbl>
            <c:dLbl>
              <c:idx val="20"/>
              <c:dLblPos val="t"/>
              <c:showLegendKey val="0"/>
              <c:showVal val="1"/>
              <c:showCatName val="0"/>
              <c:showSerName val="0"/>
              <c:showPercent val="0"/>
              <c:showBubbleSize val="0"/>
            </c:dLbl>
            <c:numFmt formatCode="0.0" sourceLinked="0"/>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Foglio1!$B$2:$B$16</c:f>
              <c:numCache>
                <c:formatCode>0.0</c:formatCode>
                <c:ptCount val="15"/>
                <c:pt idx="0">
                  <c:v>107.8367843691923</c:v>
                </c:pt>
                <c:pt idx="1">
                  <c:v>110.33598820632356</c:v>
                </c:pt>
                <c:pt idx="2">
                  <c:v>109.32504825569312</c:v>
                </c:pt>
                <c:pt idx="3">
                  <c:v>101.76546312756697</c:v>
                </c:pt>
                <c:pt idx="4">
                  <c:v>103.93371738535627</c:v>
                </c:pt>
                <c:pt idx="5">
                  <c:v>106.6083013248449</c:v>
                </c:pt>
                <c:pt idx="6">
                  <c:v>103.74884313423529</c:v>
                </c:pt>
                <c:pt idx="7">
                  <c:v>102.94699872763456</c:v>
                </c:pt>
                <c:pt idx="8">
                  <c:v>103.87667773569783</c:v>
                </c:pt>
                <c:pt idx="9">
                  <c:v>104.6020456526517</c:v>
                </c:pt>
                <c:pt idx="10">
                  <c:v>106.07692802239123</c:v>
                </c:pt>
                <c:pt idx="11">
                  <c:v>108.02965762753931</c:v>
                </c:pt>
                <c:pt idx="12">
                  <c:v>109.5282095678233</c:v>
                </c:pt>
                <c:pt idx="13">
                  <c:v>110.27829697026137</c:v>
                </c:pt>
                <c:pt idx="14">
                  <c:v>111.36197887445324</c:v>
                </c:pt>
              </c:numCache>
            </c:numRef>
          </c:val>
          <c:smooth val="0"/>
        </c:ser>
        <c:ser>
          <c:idx val="1"/>
          <c:order val="1"/>
          <c:tx>
            <c:strRef>
              <c:f>Foglio1!$C$1</c:f>
              <c:strCache>
                <c:ptCount val="1"/>
                <c:pt idx="0">
                  <c:v>Ita</c:v>
                </c:pt>
              </c:strCache>
            </c:strRef>
          </c:tx>
          <c:spPr>
            <a:ln w="34925">
              <a:solidFill>
                <a:srgbClr val="376092"/>
              </a:solidFill>
            </a:ln>
          </c:spPr>
          <c:marker>
            <c:symbol val="none"/>
          </c:marker>
          <c:dLbls>
            <c:dLbl>
              <c:idx val="1"/>
              <c:dLblPos val="b"/>
              <c:showLegendKey val="0"/>
              <c:showVal val="1"/>
              <c:showCatName val="0"/>
              <c:showSerName val="0"/>
              <c:showPercent val="0"/>
              <c:showBubbleSize val="0"/>
            </c:dLbl>
            <c:dLbl>
              <c:idx val="4"/>
              <c:delete val="1"/>
            </c:dLbl>
            <c:dLbl>
              <c:idx val="8"/>
              <c:delete val="1"/>
            </c:dLbl>
            <c:dLbl>
              <c:idx val="12"/>
              <c:delete val="1"/>
            </c:dLbl>
            <c:dLbl>
              <c:idx val="13"/>
              <c:dLblPos val="t"/>
              <c:showLegendKey val="0"/>
              <c:showVal val="1"/>
              <c:showCatName val="0"/>
              <c:showSerName val="0"/>
              <c:showPercent val="0"/>
              <c:showBubbleSize val="0"/>
            </c:dLbl>
            <c:dLbl>
              <c:idx val="14"/>
              <c:delete val="1"/>
            </c:dLbl>
            <c:numFmt formatCode="#,##0.0" sourceLinked="0"/>
            <c:txPr>
              <a:bodyPr/>
              <a:lstStyle/>
              <a:p>
                <a:pPr>
                  <a:defRPr>
                    <a:solidFill>
                      <a:srgbClr val="0070C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Foglio1!$C$2:$C$16</c:f>
              <c:numCache>
                <c:formatCode>0.0</c:formatCode>
                <c:ptCount val="15"/>
                <c:pt idx="0">
                  <c:v>106.88419087513041</c:v>
                </c:pt>
                <c:pt idx="1">
                  <c:v>108.45952334574694</c:v>
                </c:pt>
                <c:pt idx="2">
                  <c:v>107.3202614379085</c:v>
                </c:pt>
                <c:pt idx="3">
                  <c:v>101.43690563665223</c:v>
                </c:pt>
                <c:pt idx="4">
                  <c:v>103.14766278958389</c:v>
                </c:pt>
                <c:pt idx="5">
                  <c:v>103.74243595999103</c:v>
                </c:pt>
                <c:pt idx="6">
                  <c:v>100.81792239534416</c:v>
                </c:pt>
                <c:pt idx="7">
                  <c:v>99.0756265786207</c:v>
                </c:pt>
                <c:pt idx="8">
                  <c:v>99.188249051300787</c:v>
                </c:pt>
                <c:pt idx="9">
                  <c:v>100.10474102102728</c:v>
                </c:pt>
                <c:pt idx="10">
                  <c:v>101.25145366497145</c:v>
                </c:pt>
                <c:pt idx="11">
                  <c:v>102.84288332558688</c:v>
                </c:pt>
                <c:pt idx="12">
                  <c:v>103.80506997326114</c:v>
                </c:pt>
                <c:pt idx="13">
                  <c:v>104.30944495819979</c:v>
                </c:pt>
                <c:pt idx="14">
                  <c:v>105.08181430605357</c:v>
                </c:pt>
              </c:numCache>
            </c:numRef>
          </c:val>
          <c:smooth val="0"/>
        </c:ser>
        <c:dLbls>
          <c:showLegendKey val="0"/>
          <c:showVal val="0"/>
          <c:showCatName val="0"/>
          <c:showSerName val="0"/>
          <c:showPercent val="0"/>
          <c:showBubbleSize val="0"/>
        </c:dLbls>
        <c:marker val="1"/>
        <c:smooth val="0"/>
        <c:axId val="118586880"/>
        <c:axId val="203828608"/>
      </c:lineChart>
      <c:catAx>
        <c:axId val="118586880"/>
        <c:scaling>
          <c:orientation val="minMax"/>
        </c:scaling>
        <c:delete val="0"/>
        <c:axPos val="b"/>
        <c:numFmt formatCode="General" sourceLinked="1"/>
        <c:majorTickMark val="out"/>
        <c:minorTickMark val="none"/>
        <c:tickLblPos val="nextTo"/>
        <c:crossAx val="203828608"/>
        <c:crosses val="autoZero"/>
        <c:auto val="1"/>
        <c:lblAlgn val="ctr"/>
        <c:lblOffset val="100"/>
        <c:noMultiLvlLbl val="0"/>
      </c:catAx>
      <c:valAx>
        <c:axId val="203828608"/>
        <c:scaling>
          <c:orientation val="minMax"/>
          <c:min val="98"/>
        </c:scaling>
        <c:delete val="0"/>
        <c:axPos val="l"/>
        <c:majorGridlines>
          <c:spPr>
            <a:ln w="9525">
              <a:prstDash val="dash"/>
            </a:ln>
          </c:spPr>
        </c:majorGridlines>
        <c:numFmt formatCode="0" sourceLinked="0"/>
        <c:majorTickMark val="out"/>
        <c:minorTickMark val="none"/>
        <c:tickLblPos val="nextTo"/>
        <c:crossAx val="118586880"/>
        <c:crosses val="autoZero"/>
        <c:crossBetween val="between"/>
        <c:majorUnit val="2"/>
      </c:valAx>
      <c:valAx>
        <c:axId val="203828032"/>
        <c:scaling>
          <c:orientation val="minMax"/>
          <c:max val="4"/>
          <c:min val="-8"/>
        </c:scaling>
        <c:delete val="0"/>
        <c:axPos val="r"/>
        <c:numFmt formatCode="0.0" sourceLinked="1"/>
        <c:majorTickMark val="out"/>
        <c:minorTickMark val="none"/>
        <c:tickLblPos val="nextTo"/>
        <c:crossAx val="119866880"/>
        <c:crosses val="max"/>
        <c:crossBetween val="between"/>
        <c:majorUnit val="4"/>
      </c:valAx>
      <c:catAx>
        <c:axId val="119866880"/>
        <c:scaling>
          <c:orientation val="minMax"/>
        </c:scaling>
        <c:delete val="0"/>
        <c:axPos val="b"/>
        <c:numFmt formatCode="General" sourceLinked="1"/>
        <c:majorTickMark val="none"/>
        <c:minorTickMark val="none"/>
        <c:tickLblPos val="none"/>
        <c:crossAx val="203828032"/>
        <c:crossesAt val="0"/>
        <c:auto val="1"/>
        <c:lblAlgn val="ctr"/>
        <c:lblOffset val="100"/>
        <c:noMultiLvlLbl val="0"/>
      </c:catAx>
    </c:plotArea>
    <c:legend>
      <c:legendPos val="r"/>
      <c:legendEntry>
        <c:idx val="2"/>
        <c:delete val="1"/>
      </c:legendEntry>
      <c:legendEntry>
        <c:idx val="3"/>
        <c:delete val="1"/>
      </c:legendEntry>
      <c:layout>
        <c:manualLayout>
          <c:xMode val="edge"/>
          <c:yMode val="edge"/>
          <c:x val="8.7552209621311855E-2"/>
          <c:y val="0.70768747529353959"/>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Foglio1!$E$2:$E$16</c:f>
              <c:numCache>
                <c:formatCode>0.0</c:formatCode>
                <c:ptCount val="15"/>
                <c:pt idx="0">
                  <c:v>6.3881033987985836</c:v>
                </c:pt>
                <c:pt idx="1">
                  <c:v>4.1891068673833631</c:v>
                </c:pt>
                <c:pt idx="2">
                  <c:v>-2.1328027506523295</c:v>
                </c:pt>
                <c:pt idx="3">
                  <c:v>-19.456903290621529</c:v>
                </c:pt>
                <c:pt idx="4">
                  <c:v>13.21462838585874</c:v>
                </c:pt>
                <c:pt idx="5">
                  <c:v>5.1393628845884276</c:v>
                </c:pt>
                <c:pt idx="6">
                  <c:v>-3.1355795582782564</c:v>
                </c:pt>
                <c:pt idx="7">
                  <c:v>0.70957169650687213</c:v>
                </c:pt>
                <c:pt idx="8">
                  <c:v>1.7876494872226756</c:v>
                </c:pt>
                <c:pt idx="9">
                  <c:v>2.4378364201770752</c:v>
                </c:pt>
                <c:pt idx="10">
                  <c:v>2.2960023408068464</c:v>
                </c:pt>
                <c:pt idx="11">
                  <c:v>3.4750093109869651</c:v>
                </c:pt>
                <c:pt idx="12">
                  <c:v>1.3893302516485129</c:v>
                </c:pt>
                <c:pt idx="13">
                  <c:v>0.55228194576686374</c:v>
                </c:pt>
                <c:pt idx="14">
                  <c:v>1.2262447863280235</c:v>
                </c:pt>
              </c:numCache>
            </c:numRef>
          </c:val>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Foglio1!$F$2:$F$16</c:f>
              <c:numCache>
                <c:formatCode>0.0</c:formatCode>
                <c:ptCount val="15"/>
                <c:pt idx="0">
                  <c:v>4.4386518386786422</c:v>
                </c:pt>
                <c:pt idx="1">
                  <c:v>0.60414504146206749</c:v>
                </c:pt>
                <c:pt idx="2">
                  <c:v>-5.5715925294751774</c:v>
                </c:pt>
                <c:pt idx="3">
                  <c:v>-7.4681104440597608</c:v>
                </c:pt>
                <c:pt idx="4">
                  <c:v>-7.9846092609791697</c:v>
                </c:pt>
                <c:pt idx="5">
                  <c:v>-7.5888222401661043</c:v>
                </c:pt>
                <c:pt idx="6">
                  <c:v>-7.1416311691554046</c:v>
                </c:pt>
                <c:pt idx="7">
                  <c:v>-2.7859927409597973</c:v>
                </c:pt>
                <c:pt idx="8">
                  <c:v>-8.4004563210841035</c:v>
                </c:pt>
                <c:pt idx="9">
                  <c:v>-1.6567913348681018</c:v>
                </c:pt>
                <c:pt idx="10">
                  <c:v>2.7899301558062639</c:v>
                </c:pt>
                <c:pt idx="11">
                  <c:v>1.0957625536681004</c:v>
                </c:pt>
                <c:pt idx="12">
                  <c:v>2.3929459021077903</c:v>
                </c:pt>
                <c:pt idx="13">
                  <c:v>1.6077503795012937</c:v>
                </c:pt>
                <c:pt idx="14">
                  <c:v>2.6314693392633481</c:v>
                </c:pt>
              </c:numCache>
            </c:numRef>
          </c:val>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Foglio1!$G$2:$G$16</c:f>
              <c:numCache>
                <c:formatCode>0.0</c:formatCode>
                <c:ptCount val="15"/>
                <c:pt idx="0">
                  <c:v>2.4956162815221061</c:v>
                </c:pt>
                <c:pt idx="1">
                  <c:v>1.9719382985903477</c:v>
                </c:pt>
                <c:pt idx="2">
                  <c:v>0.17734135558900022</c:v>
                </c:pt>
                <c:pt idx="3">
                  <c:v>-2.5230434902715482</c:v>
                </c:pt>
                <c:pt idx="4">
                  <c:v>-0.43867314068714025</c:v>
                </c:pt>
                <c:pt idx="5">
                  <c:v>2.2789350026151789</c:v>
                </c:pt>
                <c:pt idx="6">
                  <c:v>-1.5405184769449853</c:v>
                </c:pt>
                <c:pt idx="7">
                  <c:v>-0.68002454401020485</c:v>
                </c:pt>
                <c:pt idx="8">
                  <c:v>1.31220555120104</c:v>
                </c:pt>
                <c:pt idx="9">
                  <c:v>0.15941403054147152</c:v>
                </c:pt>
                <c:pt idx="10">
                  <c:v>0.8233799712763501</c:v>
                </c:pt>
                <c:pt idx="11">
                  <c:v>1.431639558778719</c:v>
                </c:pt>
                <c:pt idx="12">
                  <c:v>1.2161584417355709</c:v>
                </c:pt>
                <c:pt idx="13">
                  <c:v>0.76862279651450649</c:v>
                </c:pt>
                <c:pt idx="14">
                  <c:v>0.88186164966934655</c:v>
                </c:pt>
              </c:numCache>
            </c:numRef>
          </c:val>
        </c:ser>
        <c:dLbls>
          <c:showLegendKey val="0"/>
          <c:showVal val="0"/>
          <c:showCatName val="0"/>
          <c:showSerName val="0"/>
          <c:showPercent val="0"/>
          <c:showBubbleSize val="0"/>
        </c:dLbls>
        <c:gapWidth val="100"/>
        <c:axId val="118583808"/>
        <c:axId val="203830912"/>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1"/>
              <c:layout>
                <c:manualLayout>
                  <c:x val="-3.7659107098742303E-2"/>
                  <c:y val="-0.13346902921050294"/>
                </c:manualLayout>
              </c:layout>
              <c:dLblPos val="r"/>
              <c:showLegendKey val="0"/>
              <c:showVal val="1"/>
              <c:showCatName val="0"/>
              <c:showSerName val="0"/>
              <c:showPercent val="0"/>
              <c:showBubbleSize val="0"/>
            </c:dLbl>
            <c:dLbl>
              <c:idx val="2"/>
              <c:delete val="1"/>
            </c:dLbl>
            <c:dLbl>
              <c:idx val="13"/>
              <c:dLblPos val="t"/>
              <c:showLegendKey val="0"/>
              <c:showVal val="1"/>
              <c:showCatName val="0"/>
              <c:showSerName val="0"/>
              <c:showPercent val="0"/>
              <c:showBubbleSize val="0"/>
            </c:dLbl>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Foglio1!$B$2:$B$16</c:f>
              <c:numCache>
                <c:formatCode>0.0</c:formatCode>
                <c:ptCount val="15"/>
                <c:pt idx="0">
                  <c:v>109.78970485475659</c:v>
                </c:pt>
                <c:pt idx="1">
                  <c:v>114.38891292050712</c:v>
                </c:pt>
                <c:pt idx="2">
                  <c:v>111.94922303929724</c:v>
                </c:pt>
                <c:pt idx="3">
                  <c:v>90.167370977938972</c:v>
                </c:pt>
                <c:pt idx="4">
                  <c:v>102.08265397797224</c:v>
                </c:pt>
                <c:pt idx="5">
                  <c:v>107.32905200811899</c:v>
                </c:pt>
                <c:pt idx="6">
                  <c:v>103.96366419325858</c:v>
                </c:pt>
                <c:pt idx="7">
                  <c:v>104.70136092902538</c:v>
                </c:pt>
                <c:pt idx="8">
                  <c:v>106.57305427078828</c:v>
                </c:pt>
                <c:pt idx="9">
                  <c:v>109.17113100189664</c:v>
                </c:pt>
                <c:pt idx="10">
                  <c:v>111.67770272518551</c:v>
                </c:pt>
                <c:pt idx="11">
                  <c:v>115.55851329318206</c:v>
                </c:pt>
                <c:pt idx="12">
                  <c:v>117.16400267671949</c:v>
                </c:pt>
                <c:pt idx="13">
                  <c:v>117.81107831044082</c:v>
                </c:pt>
                <c:pt idx="14">
                  <c:v>119.25573051593945</c:v>
                </c:pt>
              </c:numCache>
            </c:numRef>
          </c:val>
          <c:smooth val="0"/>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1"/>
              <c:dLblPos val="t"/>
              <c:showLegendKey val="0"/>
              <c:showVal val="1"/>
              <c:showCatName val="0"/>
              <c:showSerName val="0"/>
              <c:showPercent val="0"/>
              <c:showBubbleSize val="0"/>
            </c:dLbl>
            <c:dLbl>
              <c:idx val="13"/>
              <c:numFmt formatCode="0.0" sourceLinked="0"/>
              <c:spPr/>
              <c:txPr>
                <a:bodyPr/>
                <a:lstStyle/>
                <a:p>
                  <a:pPr>
                    <a:defRPr>
                      <a:solidFill>
                        <a:schemeClr val="tx1">
                          <a:lumMod val="50000"/>
                          <a:lumOff val="50000"/>
                        </a:schemeClr>
                      </a:solidFill>
                    </a:defRPr>
                  </a:pPr>
                  <a:endParaRPr lang="it-IT"/>
                </a:p>
              </c:txPr>
              <c:dLblPos val="t"/>
              <c:showLegendKey val="0"/>
              <c:showVal val="1"/>
              <c:showCatName val="0"/>
              <c:showSerName val="0"/>
              <c:showPercent val="0"/>
              <c:showBubbleSize val="0"/>
            </c:dLbl>
            <c:dLbl>
              <c:idx val="18"/>
              <c:dLblPos val="t"/>
              <c:showLegendKey val="0"/>
              <c:showVal val="1"/>
              <c:showCatName val="0"/>
              <c:showSerName val="0"/>
              <c:showPercent val="0"/>
              <c:showBubbleSize val="0"/>
            </c:dLbl>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Foglio1!$C$2:$C$16</c:f>
              <c:numCache>
                <c:formatCode>0.0</c:formatCode>
                <c:ptCount val="15"/>
                <c:pt idx="0">
                  <c:v>136.68914502526823</c:v>
                </c:pt>
                <c:pt idx="1">
                  <c:v>137.51494571715529</c:v>
                </c:pt>
                <c:pt idx="2">
                  <c:v>129.8531732746664</c:v>
                </c:pt>
                <c:pt idx="3">
                  <c:v>120.15559487939802</c:v>
                </c:pt>
                <c:pt idx="4">
                  <c:v>110.561640123073</c:v>
                </c:pt>
                <c:pt idx="5">
                  <c:v>102.17131378832082</c:v>
                </c:pt>
                <c:pt idx="6">
                  <c:v>94.874615396878539</c:v>
                </c:pt>
                <c:pt idx="7">
                  <c:v>92.231415498907964</c:v>
                </c:pt>
                <c:pt idx="8">
                  <c:v>84.483555725604603</c:v>
                </c:pt>
                <c:pt idx="9">
                  <c:v>83.083839494954333</c:v>
                </c:pt>
                <c:pt idx="10">
                  <c:v>85.40182058762575</c:v>
                </c:pt>
                <c:pt idx="11">
                  <c:v>86.337621757775764</c:v>
                </c:pt>
                <c:pt idx="12">
                  <c:v>88.403634339605773</c:v>
                </c:pt>
                <c:pt idx="13">
                  <c:v>89.824944106193726</c:v>
                </c:pt>
                <c:pt idx="14">
                  <c:v>92.188659969358653</c:v>
                </c:pt>
              </c:numCache>
            </c:numRef>
          </c:val>
          <c:smooth val="0"/>
        </c:ser>
        <c:ser>
          <c:idx val="2"/>
          <c:order val="2"/>
          <c:tx>
            <c:strRef>
              <c:f>Foglio1!$D$1</c:f>
              <c:strCache>
                <c:ptCount val="1"/>
                <c:pt idx="0">
                  <c:v>Servizi-i</c:v>
                </c:pt>
              </c:strCache>
            </c:strRef>
          </c:tx>
          <c:spPr>
            <a:ln w="34925">
              <a:solidFill>
                <a:srgbClr val="99CCFF"/>
              </a:solidFill>
            </a:ln>
          </c:spPr>
          <c:marker>
            <c:symbol val="none"/>
          </c:marker>
          <c:dLbls>
            <c:dLbl>
              <c:idx val="2"/>
              <c:layout>
                <c:manualLayout>
                  <c:x val="-3.9809517649367604E-2"/>
                  <c:y val="7.9208195757538374E-2"/>
                </c:manualLayout>
              </c:layout>
              <c:spPr/>
              <c:txPr>
                <a:bodyPr/>
                <a:lstStyle/>
                <a:p>
                  <a:pPr>
                    <a:defRPr>
                      <a:solidFill>
                        <a:srgbClr val="0070C0"/>
                      </a:solidFill>
                    </a:defRPr>
                  </a:pPr>
                  <a:endParaRPr lang="it-IT"/>
                </a:p>
              </c:txPr>
              <c:dLblPos val="r"/>
              <c:showLegendKey val="0"/>
              <c:showVal val="1"/>
              <c:showCatName val="0"/>
              <c:showSerName val="0"/>
              <c:showPercent val="0"/>
              <c:showBubbleSize val="0"/>
            </c:dLbl>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dLbl>
            <c:dLblPos val="b"/>
            <c:showLegendKey val="0"/>
            <c:showVal val="0"/>
            <c:showCatName val="0"/>
            <c:showSerName val="0"/>
            <c:showPercent val="0"/>
            <c:showBubbleSize val="0"/>
          </c:dLbls>
          <c:cat>
            <c:numRef>
              <c:f>Foglio1!$A$2:$A$16</c:f>
              <c:numCache>
                <c:formatCode>General</c:formatCode>
                <c:ptCount val="15"/>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numCache>
            </c:numRef>
          </c:cat>
          <c:val>
            <c:numRef>
              <c:f>Foglio1!$D$2:$D$16</c:f>
              <c:numCache>
                <c:formatCode>0.0</c:formatCode>
                <c:ptCount val="15"/>
                <c:pt idx="0">
                  <c:v>105.82661508578909</c:v>
                </c:pt>
                <c:pt idx="1">
                  <c:v>107.91345063876754</c:v>
                </c:pt>
                <c:pt idx="2">
                  <c:v>108.10482581499322</c:v>
                </c:pt>
                <c:pt idx="3">
                  <c:v>105.37729404459863</c:v>
                </c:pt>
                <c:pt idx="4">
                  <c:v>104.91503215924207</c:v>
                </c:pt>
                <c:pt idx="5">
                  <c:v>107.305977550124</c:v>
                </c:pt>
                <c:pt idx="6">
                  <c:v>105.6529091390979</c:v>
                </c:pt>
                <c:pt idx="7">
                  <c:v>104.93444342549122</c:v>
                </c:pt>
                <c:pt idx="8">
                  <c:v>106.31139901724244</c:v>
                </c:pt>
                <c:pt idx="9">
                  <c:v>106.48087430334085</c:v>
                </c:pt>
                <c:pt idx="10">
                  <c:v>107.35761649559451</c:v>
                </c:pt>
                <c:pt idx="11">
                  <c:v>108.89459060270738</c:v>
                </c:pt>
                <c:pt idx="12">
                  <c:v>110.21892135891561</c:v>
                </c:pt>
                <c:pt idx="13">
                  <c:v>111.06608911455263</c:v>
                </c:pt>
                <c:pt idx="14">
                  <c:v>112.04553836024145</c:v>
                </c:pt>
              </c:numCache>
            </c:numRef>
          </c:val>
          <c:smooth val="0"/>
        </c:ser>
        <c:dLbls>
          <c:showLegendKey val="0"/>
          <c:showVal val="0"/>
          <c:showCatName val="0"/>
          <c:showSerName val="0"/>
          <c:showPercent val="0"/>
          <c:showBubbleSize val="0"/>
        </c:dLbls>
        <c:marker val="1"/>
        <c:smooth val="0"/>
        <c:axId val="118557696"/>
        <c:axId val="203830336"/>
      </c:lineChart>
      <c:catAx>
        <c:axId val="118557696"/>
        <c:scaling>
          <c:orientation val="minMax"/>
        </c:scaling>
        <c:delete val="0"/>
        <c:axPos val="b"/>
        <c:majorGridlines/>
        <c:numFmt formatCode="0" sourceLinked="0"/>
        <c:majorTickMark val="out"/>
        <c:minorTickMark val="none"/>
        <c:tickLblPos val="low"/>
        <c:spPr>
          <a:ln w="3175">
            <a:solidFill>
              <a:schemeClr val="tx1"/>
            </a:solidFill>
          </a:ln>
        </c:spPr>
        <c:crossAx val="203830336"/>
        <c:crossesAt val="100"/>
        <c:auto val="1"/>
        <c:lblAlgn val="ctr"/>
        <c:lblOffset val="100"/>
        <c:noMultiLvlLbl val="0"/>
      </c:catAx>
      <c:valAx>
        <c:axId val="203830336"/>
        <c:scaling>
          <c:orientation val="minMax"/>
          <c:max val="140"/>
          <c:min val="80"/>
        </c:scaling>
        <c:delete val="0"/>
        <c:axPos val="l"/>
        <c:numFmt formatCode="0" sourceLinked="0"/>
        <c:majorTickMark val="out"/>
        <c:minorTickMark val="none"/>
        <c:tickLblPos val="nextTo"/>
        <c:crossAx val="118557696"/>
        <c:crossesAt val="1"/>
        <c:crossBetween val="between"/>
        <c:majorUnit val="10"/>
        <c:minorUnit val="5"/>
      </c:valAx>
      <c:valAx>
        <c:axId val="203830912"/>
        <c:scaling>
          <c:orientation val="minMax"/>
          <c:min val="-20"/>
        </c:scaling>
        <c:delete val="0"/>
        <c:axPos val="r"/>
        <c:numFmt formatCode="0_ ;[Red]\-0\ " sourceLinked="0"/>
        <c:majorTickMark val="out"/>
        <c:minorTickMark val="none"/>
        <c:tickLblPos val="nextTo"/>
        <c:crossAx val="118583808"/>
        <c:crosses val="max"/>
        <c:crossBetween val="between"/>
      </c:valAx>
      <c:catAx>
        <c:axId val="118583808"/>
        <c:scaling>
          <c:orientation val="minMax"/>
        </c:scaling>
        <c:delete val="0"/>
        <c:axPos val="b"/>
        <c:numFmt formatCode="General" sourceLinked="1"/>
        <c:majorTickMark val="none"/>
        <c:minorTickMark val="none"/>
        <c:tickLblPos val="none"/>
        <c:crossAx val="203830912"/>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56471499691830929"/>
          <c:y val="7.2480261541255767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1D2BFD-C5AD-485C-AFAA-97ABA5A2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5</TotalTime>
  <Pages>7</Pages>
  <Words>3193</Words>
  <Characters>18202</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21353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Guaitoli</dc:creator>
  <cp:lastModifiedBy>Mauro Guaitoli</cp:lastModifiedBy>
  <cp:revision>6</cp:revision>
  <cp:lastPrinted>2012-03-30T09:15:00Z</cp:lastPrinted>
  <dcterms:created xsi:type="dcterms:W3CDTF">2019-03-08T15:16:00Z</dcterms:created>
  <dcterms:modified xsi:type="dcterms:W3CDTF">2019-03-15T10:04:00Z</dcterms:modified>
</cp:coreProperties>
</file>