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B24A5D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B24A5D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B24A5D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3E245C" w:rsidRPr="00BC2A0C" w14:paraId="242322D2" w14:textId="77777777" w:rsidTr="008F2E82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6025C5D3" w14:textId="77777777" w:rsidR="003E245C" w:rsidRPr="00BC2A0C" w:rsidRDefault="003E245C" w:rsidP="008F2E82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3E245C" w:rsidRPr="003234B1" w14:paraId="437C8054" w14:textId="77777777" w:rsidTr="008F2E82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72FB8CBB" w14:textId="77777777" w:rsidR="003E245C" w:rsidRPr="00BC2A0C" w:rsidRDefault="003E245C" w:rsidP="008F2E82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752D5D9" w14:textId="77777777" w:rsidR="003E245C" w:rsidRPr="003234B1" w:rsidRDefault="003E245C" w:rsidP="008F2E82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FE2BFAB" w14:textId="77777777" w:rsidR="003E245C" w:rsidRPr="003234B1" w:rsidRDefault="003E245C" w:rsidP="008F2E82">
            <w:pPr>
              <w:pStyle w:val="TabIntestazioni"/>
            </w:pPr>
            <w:r w:rsidRPr="003234B1">
              <w:t>20</w:t>
            </w:r>
            <w:r>
              <w:t>22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8DFFB28" w14:textId="77777777" w:rsidR="003E245C" w:rsidRPr="003234B1" w:rsidRDefault="003E245C" w:rsidP="008F2E82">
            <w:pPr>
              <w:pStyle w:val="TabIntestazioni"/>
            </w:pPr>
            <w:r w:rsidRPr="003234B1">
              <w:t>20</w:t>
            </w:r>
            <w:r>
              <w:t>23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03B30713" w14:textId="77777777" w:rsidR="003E245C" w:rsidRPr="00BC2A0C" w:rsidRDefault="003E245C" w:rsidP="008F2E82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062319B4" w14:textId="77777777" w:rsidR="003E245C" w:rsidRPr="00BC2A0C" w:rsidRDefault="003E245C" w:rsidP="008F2E82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0B9DD1E8" w14:textId="77777777" w:rsidR="003E245C" w:rsidRPr="003234B1" w:rsidRDefault="003E245C" w:rsidP="008F2E82">
            <w:pPr>
              <w:pStyle w:val="TabIntestazioni"/>
            </w:pPr>
            <w:r w:rsidRPr="003234B1">
              <w:t>20</w:t>
            </w:r>
            <w:r>
              <w:t>21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408A57A5" w14:textId="77777777" w:rsidR="003E245C" w:rsidRPr="003234B1" w:rsidRDefault="003E245C" w:rsidP="008F2E82">
            <w:pPr>
              <w:pStyle w:val="TabIntestazioni"/>
            </w:pPr>
            <w:r w:rsidRPr="003234B1">
              <w:t>20</w:t>
            </w:r>
            <w:r>
              <w:t>22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16512EC9" w14:textId="77777777" w:rsidR="003E245C" w:rsidRPr="003234B1" w:rsidRDefault="003E245C" w:rsidP="008F2E82">
            <w:pPr>
              <w:pStyle w:val="TabIntestazioni"/>
            </w:pPr>
            <w:r w:rsidRPr="003234B1">
              <w:t>20</w:t>
            </w:r>
            <w:r>
              <w:t>23</w:t>
            </w:r>
          </w:p>
        </w:tc>
      </w:tr>
      <w:tr w:rsidR="003E245C" w:rsidRPr="00997C5D" w14:paraId="21276582" w14:textId="77777777" w:rsidTr="008F2E82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1A53EFE8" w14:textId="77777777" w:rsidR="003E245C" w:rsidRPr="00997C5D" w:rsidRDefault="003E245C" w:rsidP="008F2E82">
            <w:pPr>
              <w:pStyle w:val="TabIntestaSup"/>
            </w:pPr>
            <w:r>
              <w:t>Prodotto e commercio mondiale</w:t>
            </w:r>
          </w:p>
        </w:tc>
      </w:tr>
      <w:tr w:rsidR="003E245C" w:rsidRPr="000D66D3" w14:paraId="12B48327" w14:textId="77777777" w:rsidTr="008F2E82">
        <w:trPr>
          <w:cantSplit/>
          <w:trHeight w:val="255"/>
        </w:trPr>
        <w:tc>
          <w:tcPr>
            <w:tcW w:w="3402" w:type="dxa"/>
          </w:tcPr>
          <w:p w14:paraId="7F6DF7FA" w14:textId="77777777" w:rsidR="003E245C" w:rsidRPr="00BC2A0C" w:rsidRDefault="003E245C" w:rsidP="008F2E82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38CF2429" w14:textId="77777777" w:rsidR="003E245C" w:rsidRPr="0040417A" w:rsidRDefault="003E245C" w:rsidP="008F2E82">
            <w:pPr>
              <w:pStyle w:val="TabNumeri"/>
            </w:pPr>
            <w:r w:rsidRPr="00C54D9B">
              <w:t xml:space="preserve">5,9 </w:t>
            </w:r>
          </w:p>
        </w:tc>
        <w:tc>
          <w:tcPr>
            <w:tcW w:w="510" w:type="dxa"/>
          </w:tcPr>
          <w:p w14:paraId="7DAB19EC" w14:textId="77777777" w:rsidR="003E245C" w:rsidRPr="0040417A" w:rsidRDefault="003E245C" w:rsidP="008F2E82">
            <w:pPr>
              <w:pStyle w:val="TabNumeri"/>
            </w:pPr>
            <w:r w:rsidRPr="00C54D9B">
              <w:t xml:space="preserve">4,4 </w:t>
            </w:r>
          </w:p>
        </w:tc>
        <w:tc>
          <w:tcPr>
            <w:tcW w:w="510" w:type="dxa"/>
          </w:tcPr>
          <w:p w14:paraId="280E7B8E" w14:textId="77777777" w:rsidR="003E245C" w:rsidRPr="0040417A" w:rsidRDefault="003E245C" w:rsidP="008F2E82">
            <w:pPr>
              <w:pStyle w:val="TabNumeri"/>
            </w:pPr>
            <w:r w:rsidRPr="00C54D9B">
              <w:t xml:space="preserve">3,8 </w:t>
            </w:r>
          </w:p>
        </w:tc>
        <w:tc>
          <w:tcPr>
            <w:tcW w:w="340" w:type="dxa"/>
          </w:tcPr>
          <w:p w14:paraId="4EA6C423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</w:tcPr>
          <w:p w14:paraId="6EBF4C7A" w14:textId="77777777" w:rsidR="003E245C" w:rsidRPr="00903CBB" w:rsidRDefault="003E245C" w:rsidP="008F2E82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3BE5D563" w14:textId="77777777" w:rsidR="003E245C" w:rsidRPr="000D66D3" w:rsidRDefault="003E245C" w:rsidP="008F2E82">
            <w:pPr>
              <w:pStyle w:val="TabNumeri"/>
            </w:pPr>
            <w:r w:rsidRPr="00D07822">
              <w:t xml:space="preserve">5,6 </w:t>
            </w:r>
          </w:p>
        </w:tc>
        <w:tc>
          <w:tcPr>
            <w:tcW w:w="510" w:type="dxa"/>
          </w:tcPr>
          <w:p w14:paraId="7B38148C" w14:textId="77777777" w:rsidR="003E245C" w:rsidRPr="000D66D3" w:rsidRDefault="003E245C" w:rsidP="008F2E82">
            <w:pPr>
              <w:pStyle w:val="TabNumeri"/>
            </w:pPr>
            <w:r w:rsidRPr="00D07822">
              <w:t xml:space="preserve">4,0 </w:t>
            </w:r>
          </w:p>
        </w:tc>
        <w:tc>
          <w:tcPr>
            <w:tcW w:w="514" w:type="dxa"/>
          </w:tcPr>
          <w:p w14:paraId="31793A0B" w14:textId="77777777" w:rsidR="003E245C" w:rsidRPr="000D66D3" w:rsidRDefault="003E245C" w:rsidP="008F2E82">
            <w:pPr>
              <w:pStyle w:val="TabNumeri"/>
            </w:pPr>
            <w:r w:rsidRPr="00D07822">
              <w:t xml:space="preserve">2,6 </w:t>
            </w:r>
          </w:p>
        </w:tc>
      </w:tr>
      <w:tr w:rsidR="003E245C" w:rsidRPr="000D66D3" w14:paraId="45475B50" w14:textId="77777777" w:rsidTr="008F2E82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321829C3" w14:textId="77777777" w:rsidR="003E245C" w:rsidRPr="00BC2A0C" w:rsidRDefault="003E245C" w:rsidP="008F2E82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406F953" w14:textId="77777777" w:rsidR="003E245C" w:rsidRPr="0040417A" w:rsidRDefault="003E245C" w:rsidP="008F2E82">
            <w:pPr>
              <w:pStyle w:val="TabNumeri"/>
            </w:pPr>
            <w:r w:rsidRPr="00C54D9B">
              <w:t xml:space="preserve">5,0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A97DD09" w14:textId="77777777" w:rsidR="003E245C" w:rsidRPr="0040417A" w:rsidRDefault="003E245C" w:rsidP="008F2E82">
            <w:pPr>
              <w:pStyle w:val="TabNumeri"/>
            </w:pPr>
            <w:r w:rsidRPr="00C54D9B">
              <w:t xml:space="preserve">3,9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F079416" w14:textId="77777777" w:rsidR="003E245C" w:rsidRPr="0040417A" w:rsidRDefault="003E245C" w:rsidP="008F2E82">
            <w:pPr>
              <w:pStyle w:val="TabNumeri"/>
            </w:pPr>
            <w:r w:rsidRPr="00C54D9B">
              <w:t xml:space="preserve">2,6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50C8E689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4640E7BE" w14:textId="77777777" w:rsidR="003E245C" w:rsidRPr="00903CBB" w:rsidRDefault="003E245C" w:rsidP="008F2E82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30732EC" w14:textId="77777777" w:rsidR="003E245C" w:rsidRPr="000D66D3" w:rsidRDefault="003E245C" w:rsidP="008F2E82">
            <w:pPr>
              <w:pStyle w:val="TabNumeri"/>
            </w:pPr>
            <w:r w:rsidRPr="00D07822">
              <w:t xml:space="preserve">8,1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6396BD8" w14:textId="77777777" w:rsidR="003E245C" w:rsidRPr="000D66D3" w:rsidRDefault="003E245C" w:rsidP="008F2E82">
            <w:pPr>
              <w:pStyle w:val="TabNumeri"/>
            </w:pPr>
            <w:r w:rsidRPr="00D07822">
              <w:t xml:space="preserve">4,8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3EAE45B" w14:textId="77777777" w:rsidR="003E245C" w:rsidRPr="000D66D3" w:rsidRDefault="003E245C" w:rsidP="008F2E82">
            <w:pPr>
              <w:pStyle w:val="TabNumeri"/>
            </w:pPr>
            <w:r w:rsidRPr="00D07822">
              <w:t xml:space="preserve">5,2 </w:t>
            </w:r>
          </w:p>
        </w:tc>
      </w:tr>
      <w:tr w:rsidR="003E245C" w:rsidRPr="000D66D3" w14:paraId="341F1F07" w14:textId="77777777" w:rsidTr="008F2E82">
        <w:trPr>
          <w:cantSplit/>
          <w:trHeight w:val="255"/>
        </w:trPr>
        <w:tc>
          <w:tcPr>
            <w:tcW w:w="3402" w:type="dxa"/>
          </w:tcPr>
          <w:p w14:paraId="5D86E740" w14:textId="77777777" w:rsidR="003E245C" w:rsidRPr="00BC2A0C" w:rsidRDefault="003E245C" w:rsidP="008F2E82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1B625E44" w14:textId="77777777" w:rsidR="003E245C" w:rsidRPr="0040417A" w:rsidRDefault="003E245C" w:rsidP="008F2E82">
            <w:pPr>
              <w:pStyle w:val="TabNumeri"/>
            </w:pPr>
            <w:r w:rsidRPr="00C54D9B">
              <w:t xml:space="preserve">6,5 </w:t>
            </w:r>
          </w:p>
        </w:tc>
        <w:tc>
          <w:tcPr>
            <w:tcW w:w="510" w:type="dxa"/>
          </w:tcPr>
          <w:p w14:paraId="27C70C47" w14:textId="77777777" w:rsidR="003E245C" w:rsidRPr="0040417A" w:rsidRDefault="003E245C" w:rsidP="008F2E82">
            <w:pPr>
              <w:pStyle w:val="TabNumeri"/>
            </w:pPr>
            <w:r w:rsidRPr="00C54D9B">
              <w:t xml:space="preserve">4,8 </w:t>
            </w:r>
          </w:p>
        </w:tc>
        <w:tc>
          <w:tcPr>
            <w:tcW w:w="510" w:type="dxa"/>
          </w:tcPr>
          <w:p w14:paraId="1A2ED4C4" w14:textId="77777777" w:rsidR="003E245C" w:rsidRPr="0040417A" w:rsidRDefault="003E245C" w:rsidP="008F2E82">
            <w:pPr>
              <w:pStyle w:val="TabNumeri"/>
            </w:pPr>
            <w:r w:rsidRPr="00C54D9B">
              <w:t xml:space="preserve">4,7 </w:t>
            </w:r>
          </w:p>
        </w:tc>
        <w:tc>
          <w:tcPr>
            <w:tcW w:w="340" w:type="dxa"/>
          </w:tcPr>
          <w:p w14:paraId="11A515EF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</w:tcPr>
          <w:p w14:paraId="0547242E" w14:textId="77777777" w:rsidR="003E245C" w:rsidRPr="00903CBB" w:rsidRDefault="003E245C" w:rsidP="008F2E82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1543AE96" w14:textId="77777777" w:rsidR="003E245C" w:rsidRPr="000D66D3" w:rsidRDefault="003E245C" w:rsidP="008F2E82">
            <w:pPr>
              <w:pStyle w:val="TabNumeri"/>
            </w:pPr>
            <w:r w:rsidRPr="00D07822">
              <w:t xml:space="preserve">1,6 </w:t>
            </w:r>
          </w:p>
        </w:tc>
        <w:tc>
          <w:tcPr>
            <w:tcW w:w="510" w:type="dxa"/>
          </w:tcPr>
          <w:p w14:paraId="608D7AF8" w14:textId="77777777" w:rsidR="003E245C" w:rsidRPr="000D66D3" w:rsidRDefault="003E245C" w:rsidP="008F2E82">
            <w:pPr>
              <w:pStyle w:val="TabNumeri"/>
            </w:pPr>
            <w:r w:rsidRPr="00D07822">
              <w:t xml:space="preserve">3,3 </w:t>
            </w:r>
          </w:p>
        </w:tc>
        <w:tc>
          <w:tcPr>
            <w:tcW w:w="514" w:type="dxa"/>
          </w:tcPr>
          <w:p w14:paraId="2EB36B10" w14:textId="77777777" w:rsidR="003E245C" w:rsidRPr="000D66D3" w:rsidRDefault="003E245C" w:rsidP="008F2E82">
            <w:pPr>
              <w:pStyle w:val="TabNumeri"/>
            </w:pPr>
            <w:r w:rsidRPr="00D07822">
              <w:t xml:space="preserve">1,8 </w:t>
            </w:r>
          </w:p>
        </w:tc>
      </w:tr>
      <w:tr w:rsidR="003E245C" w:rsidRPr="000D66D3" w14:paraId="0DEE8942" w14:textId="77777777" w:rsidTr="008F2E82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8F61DB2" w14:textId="77777777" w:rsidR="003E245C" w:rsidRPr="00C103CD" w:rsidRDefault="003E245C" w:rsidP="008F2E82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4DDFA74" w14:textId="77777777" w:rsidR="003E245C" w:rsidRPr="0040417A" w:rsidRDefault="003E245C" w:rsidP="008F2E82">
            <w:pPr>
              <w:pStyle w:val="TabNumeri"/>
            </w:pPr>
            <w:r w:rsidRPr="00C54D9B">
              <w:t xml:space="preserve">6,5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2DDDDE0" w14:textId="77777777" w:rsidR="003E245C" w:rsidRPr="0040417A" w:rsidRDefault="003E245C" w:rsidP="008F2E82">
            <w:pPr>
              <w:pStyle w:val="TabNumeri"/>
            </w:pPr>
            <w:r w:rsidRPr="00C54D9B">
              <w:t xml:space="preserve">3,5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495BAE2" w14:textId="77777777" w:rsidR="003E245C" w:rsidRPr="0040417A" w:rsidRDefault="003E245C" w:rsidP="008F2E82">
            <w:pPr>
              <w:pStyle w:val="TabNumeri"/>
            </w:pPr>
            <w:r w:rsidRPr="00C54D9B">
              <w:t xml:space="preserve">2,9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F2F4825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3EF7753" w14:textId="77777777" w:rsidR="003E245C" w:rsidRPr="00903CBB" w:rsidRDefault="003E245C" w:rsidP="008F2E82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4C19AB8" w14:textId="77777777" w:rsidR="003E245C" w:rsidRPr="000D66D3" w:rsidRDefault="003E245C" w:rsidP="008F2E82">
            <w:pPr>
              <w:pStyle w:val="TabNumeri"/>
            </w:pPr>
            <w:r w:rsidRPr="00D07822">
              <w:t xml:space="preserve">5,2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2597084" w14:textId="77777777" w:rsidR="003E245C" w:rsidRPr="000D66D3" w:rsidRDefault="003E245C" w:rsidP="008F2E82">
            <w:pPr>
              <w:pStyle w:val="TabNumeri"/>
            </w:pPr>
            <w:r w:rsidRPr="00D07822">
              <w:t xml:space="preserve">3,9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C3E5277" w14:textId="77777777" w:rsidR="003E245C" w:rsidRPr="000D66D3" w:rsidRDefault="003E245C" w:rsidP="008F2E82">
            <w:pPr>
              <w:pStyle w:val="TabNumeri"/>
            </w:pPr>
            <w:r w:rsidRPr="00D07822">
              <w:t xml:space="preserve">2,5 </w:t>
            </w:r>
          </w:p>
        </w:tc>
      </w:tr>
      <w:tr w:rsidR="003E245C" w:rsidRPr="000D66D3" w14:paraId="4462228C" w14:textId="77777777" w:rsidTr="008F2E82">
        <w:trPr>
          <w:cantSplit/>
          <w:trHeight w:val="255"/>
        </w:trPr>
        <w:tc>
          <w:tcPr>
            <w:tcW w:w="3402" w:type="dxa"/>
          </w:tcPr>
          <w:p w14:paraId="13145D48" w14:textId="77777777" w:rsidR="003E245C" w:rsidRPr="00C103CD" w:rsidRDefault="003E245C" w:rsidP="008F2E82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</w:t>
            </w:r>
            <w:proofErr w:type="gramStart"/>
            <w:r>
              <w:t>e</w:t>
            </w:r>
            <w:proofErr w:type="gramEnd"/>
            <w:r>
              <w:t xml:space="preserve"> emergenti</w:t>
            </w:r>
          </w:p>
        </w:tc>
        <w:tc>
          <w:tcPr>
            <w:tcW w:w="510" w:type="dxa"/>
          </w:tcPr>
          <w:p w14:paraId="0F4B3E65" w14:textId="77777777" w:rsidR="003E245C" w:rsidRPr="0040417A" w:rsidRDefault="003E245C" w:rsidP="008F2E82">
            <w:pPr>
              <w:pStyle w:val="TabNumeri"/>
            </w:pPr>
            <w:r w:rsidRPr="00C54D9B">
              <w:t xml:space="preserve">7,2 </w:t>
            </w:r>
          </w:p>
        </w:tc>
        <w:tc>
          <w:tcPr>
            <w:tcW w:w="510" w:type="dxa"/>
          </w:tcPr>
          <w:p w14:paraId="54A554C0" w14:textId="77777777" w:rsidR="003E245C" w:rsidRPr="0040417A" w:rsidRDefault="003E245C" w:rsidP="008F2E82">
            <w:pPr>
              <w:pStyle w:val="TabNumeri"/>
            </w:pPr>
            <w:r w:rsidRPr="00C54D9B">
              <w:t xml:space="preserve">5,9 </w:t>
            </w:r>
          </w:p>
        </w:tc>
        <w:tc>
          <w:tcPr>
            <w:tcW w:w="510" w:type="dxa"/>
          </w:tcPr>
          <w:p w14:paraId="65B11C18" w14:textId="77777777" w:rsidR="003E245C" w:rsidRPr="0040417A" w:rsidRDefault="003E245C" w:rsidP="008F2E82">
            <w:pPr>
              <w:pStyle w:val="TabNumeri"/>
            </w:pPr>
            <w:r w:rsidRPr="00C54D9B">
              <w:t xml:space="preserve">5,8 </w:t>
            </w:r>
          </w:p>
        </w:tc>
        <w:tc>
          <w:tcPr>
            <w:tcW w:w="340" w:type="dxa"/>
          </w:tcPr>
          <w:p w14:paraId="568FB675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</w:tcPr>
          <w:p w14:paraId="62579C5D" w14:textId="77777777" w:rsidR="003E245C" w:rsidRPr="00903CBB" w:rsidRDefault="003E245C" w:rsidP="008F2E82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56169146" w14:textId="77777777" w:rsidR="003E245C" w:rsidRPr="000D66D3" w:rsidRDefault="003E245C" w:rsidP="008F2E82">
            <w:pPr>
              <w:pStyle w:val="TabNumeri"/>
            </w:pPr>
            <w:r w:rsidRPr="00D07822">
              <w:t xml:space="preserve">2,7 </w:t>
            </w:r>
          </w:p>
        </w:tc>
        <w:tc>
          <w:tcPr>
            <w:tcW w:w="510" w:type="dxa"/>
          </w:tcPr>
          <w:p w14:paraId="3ACFFD14" w14:textId="77777777" w:rsidR="003E245C" w:rsidRPr="000D66D3" w:rsidRDefault="003E245C" w:rsidP="008F2E82">
            <w:pPr>
              <w:pStyle w:val="TabNumeri"/>
            </w:pPr>
            <w:r w:rsidRPr="00D07822">
              <w:t xml:space="preserve">3,8 </w:t>
            </w:r>
          </w:p>
        </w:tc>
        <w:tc>
          <w:tcPr>
            <w:tcW w:w="514" w:type="dxa"/>
          </w:tcPr>
          <w:p w14:paraId="582CA927" w14:textId="77777777" w:rsidR="003E245C" w:rsidRPr="000D66D3" w:rsidRDefault="003E245C" w:rsidP="008F2E82">
            <w:pPr>
              <w:pStyle w:val="TabNumeri"/>
            </w:pPr>
            <w:r w:rsidRPr="00D07822">
              <w:t xml:space="preserve">2,5 </w:t>
            </w:r>
          </w:p>
        </w:tc>
      </w:tr>
      <w:tr w:rsidR="003E245C" w:rsidRPr="000D66D3" w14:paraId="10C12E70" w14:textId="77777777" w:rsidTr="008F2E82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03D4257C" w14:textId="77777777" w:rsidR="003E245C" w:rsidRPr="00C103CD" w:rsidRDefault="003E245C" w:rsidP="008F2E82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Afg</w:t>
            </w:r>
            <w:r>
              <w:t>anistan,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CAECA9A" w14:textId="77777777" w:rsidR="003E245C" w:rsidRPr="0040417A" w:rsidRDefault="003E245C" w:rsidP="008F2E82">
            <w:pPr>
              <w:pStyle w:val="TabNumeri"/>
            </w:pPr>
            <w:r w:rsidRPr="00C54D9B">
              <w:t xml:space="preserve">4,2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89F7DDD" w14:textId="77777777" w:rsidR="003E245C" w:rsidRPr="0040417A" w:rsidRDefault="003E245C" w:rsidP="008F2E82">
            <w:pPr>
              <w:pStyle w:val="TabNumeri"/>
            </w:pPr>
            <w:r w:rsidRPr="00C54D9B">
              <w:t xml:space="preserve">4,3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9AC744D" w14:textId="77777777" w:rsidR="003E245C" w:rsidRPr="0040417A" w:rsidRDefault="003E245C" w:rsidP="008F2E82">
            <w:pPr>
              <w:pStyle w:val="TabNumeri"/>
            </w:pPr>
            <w:r w:rsidRPr="00C54D9B">
              <w:t xml:space="preserve">3,6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7F6B930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7F2B5328" w14:textId="77777777" w:rsidR="003E245C" w:rsidRPr="00903CBB" w:rsidRDefault="003E245C" w:rsidP="008F2E82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C2214E0" w14:textId="77777777" w:rsidR="003E245C" w:rsidRPr="000D66D3" w:rsidRDefault="003E245C" w:rsidP="008F2E82">
            <w:pPr>
              <w:pStyle w:val="TabNumeri"/>
            </w:pPr>
            <w:r w:rsidRPr="00D07822">
              <w:t xml:space="preserve">6,7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287AC39" w14:textId="77777777" w:rsidR="003E245C" w:rsidRPr="000D66D3" w:rsidRDefault="003E245C" w:rsidP="008F2E82">
            <w:pPr>
              <w:pStyle w:val="TabNumeri"/>
            </w:pPr>
            <w:r w:rsidRPr="00D07822">
              <w:t xml:space="preserve">3,5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9E6A7D4" w14:textId="77777777" w:rsidR="003E245C" w:rsidRPr="000D66D3" w:rsidRDefault="003E245C" w:rsidP="008F2E82">
            <w:pPr>
              <w:pStyle w:val="TabNumeri"/>
            </w:pPr>
            <w:r w:rsidRPr="00D07822">
              <w:t xml:space="preserve">1,8 </w:t>
            </w:r>
          </w:p>
        </w:tc>
      </w:tr>
      <w:tr w:rsidR="003E245C" w:rsidRPr="000D66D3" w14:paraId="0C4F2C86" w14:textId="77777777" w:rsidTr="008F2E82">
        <w:trPr>
          <w:cantSplit/>
          <w:trHeight w:val="255"/>
        </w:trPr>
        <w:tc>
          <w:tcPr>
            <w:tcW w:w="3402" w:type="dxa"/>
          </w:tcPr>
          <w:p w14:paraId="5E1F2E91" w14:textId="77777777" w:rsidR="003E245C" w:rsidRPr="00C103CD" w:rsidRDefault="003E245C" w:rsidP="008F2E82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</w:tcPr>
          <w:p w14:paraId="6D4A4D23" w14:textId="77777777" w:rsidR="003E245C" w:rsidRPr="0040417A" w:rsidRDefault="003E245C" w:rsidP="008F2E82">
            <w:pPr>
              <w:pStyle w:val="TabNumeri"/>
            </w:pPr>
            <w:r w:rsidRPr="00C54D9B">
              <w:t xml:space="preserve">4,0 </w:t>
            </w:r>
          </w:p>
        </w:tc>
        <w:tc>
          <w:tcPr>
            <w:tcW w:w="510" w:type="dxa"/>
          </w:tcPr>
          <w:p w14:paraId="567E1719" w14:textId="77777777" w:rsidR="003E245C" w:rsidRPr="0040417A" w:rsidRDefault="003E245C" w:rsidP="008F2E82">
            <w:pPr>
              <w:pStyle w:val="TabNumeri"/>
            </w:pPr>
            <w:r w:rsidRPr="00C54D9B">
              <w:t xml:space="preserve">3,7 </w:t>
            </w:r>
          </w:p>
        </w:tc>
        <w:tc>
          <w:tcPr>
            <w:tcW w:w="510" w:type="dxa"/>
          </w:tcPr>
          <w:p w14:paraId="3E48FCC3" w14:textId="77777777" w:rsidR="003E245C" w:rsidRPr="0040417A" w:rsidRDefault="003E245C" w:rsidP="008F2E82">
            <w:pPr>
              <w:pStyle w:val="TabNumeri"/>
            </w:pPr>
            <w:r w:rsidRPr="00C54D9B">
              <w:t xml:space="preserve">4,0 </w:t>
            </w:r>
          </w:p>
        </w:tc>
        <w:tc>
          <w:tcPr>
            <w:tcW w:w="340" w:type="dxa"/>
          </w:tcPr>
          <w:p w14:paraId="1115A726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</w:tcPr>
          <w:p w14:paraId="06BA1C46" w14:textId="77777777" w:rsidR="003E245C" w:rsidRPr="00903CBB" w:rsidRDefault="003E245C" w:rsidP="008F2E82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2CDB5723" w14:textId="77777777" w:rsidR="003E245C" w:rsidRPr="000D66D3" w:rsidRDefault="003E245C" w:rsidP="008F2E82">
            <w:pPr>
              <w:pStyle w:val="TabNumeri"/>
            </w:pPr>
            <w:r w:rsidRPr="00D07822">
              <w:t xml:space="preserve">4,5 </w:t>
            </w:r>
          </w:p>
        </w:tc>
        <w:tc>
          <w:tcPr>
            <w:tcW w:w="510" w:type="dxa"/>
          </w:tcPr>
          <w:p w14:paraId="75AAABE9" w14:textId="77777777" w:rsidR="003E245C" w:rsidRPr="000D66D3" w:rsidRDefault="003E245C" w:rsidP="008F2E82">
            <w:pPr>
              <w:pStyle w:val="TabNumeri"/>
            </w:pPr>
            <w:r w:rsidRPr="00D07822">
              <w:t xml:space="preserve">2,8 </w:t>
            </w:r>
          </w:p>
        </w:tc>
        <w:tc>
          <w:tcPr>
            <w:tcW w:w="514" w:type="dxa"/>
          </w:tcPr>
          <w:p w14:paraId="2F91ED73" w14:textId="77777777" w:rsidR="003E245C" w:rsidRPr="000D66D3" w:rsidRDefault="003E245C" w:rsidP="008F2E82">
            <w:pPr>
              <w:pStyle w:val="TabNumeri"/>
            </w:pPr>
            <w:r w:rsidRPr="00D07822">
              <w:t xml:space="preserve">2,1 </w:t>
            </w:r>
          </w:p>
        </w:tc>
      </w:tr>
      <w:tr w:rsidR="003E245C" w:rsidRPr="000D66D3" w14:paraId="688FA778" w14:textId="77777777" w:rsidTr="008F2E82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546BB8B1" w14:textId="77777777" w:rsidR="003E245C" w:rsidRDefault="003E245C" w:rsidP="008F2E82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39937FD" w14:textId="77777777" w:rsidR="003E245C" w:rsidRPr="0040417A" w:rsidRDefault="003E245C" w:rsidP="008F2E82">
            <w:pPr>
              <w:pStyle w:val="TabNumeri"/>
            </w:pPr>
            <w:r w:rsidRPr="00C54D9B">
              <w:t xml:space="preserve">6,8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805CF02" w14:textId="77777777" w:rsidR="003E245C" w:rsidRPr="0040417A" w:rsidRDefault="003E245C" w:rsidP="008F2E82">
            <w:pPr>
              <w:pStyle w:val="TabNumeri"/>
            </w:pPr>
            <w:r w:rsidRPr="00C54D9B">
              <w:t xml:space="preserve">2,4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1E3615C" w14:textId="77777777" w:rsidR="003E245C" w:rsidRDefault="003E245C" w:rsidP="008F2E82">
            <w:pPr>
              <w:pStyle w:val="TabNumeri"/>
            </w:pPr>
            <w:r w:rsidRPr="00C54D9B">
              <w:t xml:space="preserve">2,6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B1AD3E6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F3FF159" w14:textId="77777777" w:rsidR="003E245C" w:rsidRPr="00903CBB" w:rsidRDefault="003E245C" w:rsidP="008F2E82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31AD885" w14:textId="77777777" w:rsidR="003E245C" w:rsidRPr="000D66D3" w:rsidRDefault="003E245C" w:rsidP="008F2E82">
            <w:pPr>
              <w:pStyle w:val="TabNumeri"/>
            </w:pPr>
            <w:r w:rsidRPr="00D07822">
              <w:t xml:space="preserve">9,0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7F14374" w14:textId="77777777" w:rsidR="003E245C" w:rsidRPr="000D66D3" w:rsidRDefault="003E245C" w:rsidP="008F2E82">
            <w:pPr>
              <w:pStyle w:val="TabNumeri"/>
            </w:pPr>
            <w:r w:rsidRPr="00D07822">
              <w:t xml:space="preserve">9,0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6DB58A83" w14:textId="77777777" w:rsidR="003E245C" w:rsidRPr="000D66D3" w:rsidRDefault="003E245C" w:rsidP="008F2E82">
            <w:pPr>
              <w:pStyle w:val="TabNumeri"/>
            </w:pPr>
            <w:r w:rsidRPr="00D07822">
              <w:t xml:space="preserve">7,1 </w:t>
            </w:r>
          </w:p>
        </w:tc>
      </w:tr>
      <w:tr w:rsidR="003E245C" w:rsidRPr="000D66D3" w14:paraId="5FF3D1D2" w14:textId="77777777" w:rsidTr="008F2E82">
        <w:trPr>
          <w:cantSplit/>
          <w:trHeight w:val="255"/>
        </w:trPr>
        <w:tc>
          <w:tcPr>
            <w:tcW w:w="3402" w:type="dxa"/>
          </w:tcPr>
          <w:p w14:paraId="6A188560" w14:textId="77777777" w:rsidR="003E245C" w:rsidRDefault="003E245C" w:rsidP="008F2E82">
            <w:pPr>
              <w:pStyle w:val="TabEtichette"/>
            </w:pPr>
          </w:p>
        </w:tc>
        <w:tc>
          <w:tcPr>
            <w:tcW w:w="510" w:type="dxa"/>
          </w:tcPr>
          <w:p w14:paraId="49C1AB76" w14:textId="77777777" w:rsidR="003E245C" w:rsidRPr="00310AE2" w:rsidRDefault="003E245C" w:rsidP="008F2E82">
            <w:pPr>
              <w:pStyle w:val="TabNumeri"/>
            </w:pPr>
          </w:p>
        </w:tc>
        <w:tc>
          <w:tcPr>
            <w:tcW w:w="510" w:type="dxa"/>
          </w:tcPr>
          <w:p w14:paraId="25DBA3D0" w14:textId="77777777" w:rsidR="003E245C" w:rsidRPr="00310AE2" w:rsidRDefault="003E245C" w:rsidP="008F2E82">
            <w:pPr>
              <w:pStyle w:val="TabNumeri"/>
            </w:pPr>
          </w:p>
        </w:tc>
        <w:tc>
          <w:tcPr>
            <w:tcW w:w="510" w:type="dxa"/>
          </w:tcPr>
          <w:p w14:paraId="76282326" w14:textId="77777777" w:rsidR="003E245C" w:rsidRDefault="003E245C" w:rsidP="008F2E82">
            <w:pPr>
              <w:pStyle w:val="TabNumeri"/>
            </w:pPr>
          </w:p>
        </w:tc>
        <w:tc>
          <w:tcPr>
            <w:tcW w:w="340" w:type="dxa"/>
          </w:tcPr>
          <w:p w14:paraId="7CD958AB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</w:tcPr>
          <w:p w14:paraId="392B9FAB" w14:textId="77777777" w:rsidR="003E245C" w:rsidRPr="00903CBB" w:rsidRDefault="003E245C" w:rsidP="008F2E82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59992D39" w14:textId="77777777" w:rsidR="003E245C" w:rsidRPr="000D66D3" w:rsidRDefault="003E245C" w:rsidP="008F2E82">
            <w:pPr>
              <w:pStyle w:val="TabNumeri"/>
            </w:pPr>
            <w:r w:rsidRPr="00D07822">
              <w:t xml:space="preserve">4,7 </w:t>
            </w:r>
          </w:p>
        </w:tc>
        <w:tc>
          <w:tcPr>
            <w:tcW w:w="510" w:type="dxa"/>
          </w:tcPr>
          <w:p w14:paraId="6468D632" w14:textId="77777777" w:rsidR="003E245C" w:rsidRPr="000D66D3" w:rsidRDefault="003E245C" w:rsidP="008F2E82">
            <w:pPr>
              <w:pStyle w:val="TabNumeri"/>
            </w:pPr>
            <w:r w:rsidRPr="00D07822">
              <w:t xml:space="preserve">0,3 </w:t>
            </w:r>
          </w:p>
        </w:tc>
        <w:tc>
          <w:tcPr>
            <w:tcW w:w="514" w:type="dxa"/>
          </w:tcPr>
          <w:p w14:paraId="24EE2AFC" w14:textId="77777777" w:rsidR="003E245C" w:rsidRPr="000D66D3" w:rsidRDefault="003E245C" w:rsidP="008F2E82">
            <w:pPr>
              <w:pStyle w:val="TabNumeri"/>
            </w:pPr>
            <w:r w:rsidRPr="00D07822">
              <w:t xml:space="preserve">1,6 </w:t>
            </w:r>
          </w:p>
        </w:tc>
      </w:tr>
      <w:tr w:rsidR="003E245C" w14:paraId="6534B525" w14:textId="77777777" w:rsidTr="008F2E82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7C5620C" w14:textId="77777777" w:rsidR="003E245C" w:rsidRPr="007C2916" w:rsidRDefault="003E245C" w:rsidP="008F2E82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A4F2A65" w14:textId="77777777" w:rsidR="003E245C" w:rsidRPr="003234B1" w:rsidRDefault="003E245C" w:rsidP="008F2E82">
            <w:pPr>
              <w:pStyle w:val="TabNumeri"/>
            </w:pPr>
            <w:r w:rsidRPr="00C54D9B">
              <w:t xml:space="preserve">9,3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A1A3BD6" w14:textId="77777777" w:rsidR="003E245C" w:rsidRPr="003234B1" w:rsidRDefault="003E245C" w:rsidP="008F2E82">
            <w:pPr>
              <w:pStyle w:val="TabNumeri"/>
            </w:pPr>
            <w:r w:rsidRPr="00C54D9B">
              <w:t xml:space="preserve">6,0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B763DBC" w14:textId="77777777" w:rsidR="003E245C" w:rsidRPr="003234B1" w:rsidRDefault="003E245C" w:rsidP="008F2E82">
            <w:pPr>
              <w:pStyle w:val="TabNumeri"/>
            </w:pPr>
            <w:r w:rsidRPr="00C54D9B">
              <w:t xml:space="preserve">4,9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22B2998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CE76CF6" w14:textId="77777777" w:rsidR="003E245C" w:rsidRDefault="003E245C" w:rsidP="008F2E82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54BCA71" w14:textId="77777777" w:rsidR="003E245C" w:rsidRPr="000D66D3" w:rsidRDefault="003E245C" w:rsidP="008F2E82">
            <w:pPr>
              <w:pStyle w:val="TabNumeri"/>
            </w:pPr>
            <w:r w:rsidRPr="00D07822">
              <w:t xml:space="preserve">5,3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7A25047" w14:textId="77777777" w:rsidR="003E245C" w:rsidRPr="000D66D3" w:rsidRDefault="003E245C" w:rsidP="008F2E82">
            <w:pPr>
              <w:pStyle w:val="TabNumeri"/>
            </w:pPr>
            <w:r w:rsidRPr="00D07822">
              <w:t xml:space="preserve">2,8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8EE9E1E" w14:textId="77777777" w:rsidR="003E245C" w:rsidRDefault="003E245C" w:rsidP="008F2E82">
            <w:pPr>
              <w:pStyle w:val="TabNumeri"/>
            </w:pPr>
            <w:r w:rsidRPr="00D07822">
              <w:t xml:space="preserve">2,7 </w:t>
            </w:r>
          </w:p>
        </w:tc>
      </w:tr>
      <w:tr w:rsidR="003E245C" w:rsidRPr="009100D8" w14:paraId="19DDE644" w14:textId="77777777" w:rsidTr="008F2E82">
        <w:trPr>
          <w:cantSplit/>
          <w:trHeight w:val="255"/>
        </w:trPr>
        <w:tc>
          <w:tcPr>
            <w:tcW w:w="9358" w:type="dxa"/>
            <w:gridSpan w:val="9"/>
          </w:tcPr>
          <w:p w14:paraId="32163AE3" w14:textId="77777777" w:rsidR="003E245C" w:rsidRPr="009100D8" w:rsidRDefault="003E245C" w:rsidP="008F2E82">
            <w:pPr>
              <w:pStyle w:val="TabIntestaSup"/>
            </w:pPr>
            <w:r>
              <w:t>Prezzi</w:t>
            </w:r>
          </w:p>
        </w:tc>
      </w:tr>
      <w:tr w:rsidR="003E245C" w:rsidRPr="006129FC" w14:paraId="5A43FB01" w14:textId="77777777" w:rsidTr="008F2E82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0D78356" w14:textId="77777777" w:rsidR="003E245C" w:rsidRPr="00BC2A0C" w:rsidRDefault="003E245C" w:rsidP="008F2E82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6D662C5" w14:textId="77777777" w:rsidR="003E245C" w:rsidRPr="006129FC" w:rsidRDefault="003E245C" w:rsidP="008F2E82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997E207" w14:textId="77777777" w:rsidR="003E245C" w:rsidRPr="006129FC" w:rsidRDefault="003E245C" w:rsidP="008F2E82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2C704CE" w14:textId="77777777" w:rsidR="003E245C" w:rsidRPr="006129FC" w:rsidRDefault="003E245C" w:rsidP="008F2E82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781019A4" w14:textId="77777777" w:rsidR="003E245C" w:rsidRPr="00BC2A0C" w:rsidRDefault="003E245C" w:rsidP="008F2E82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CB49B5F" w14:textId="77777777" w:rsidR="003E245C" w:rsidRPr="00BC2A0C" w:rsidRDefault="003E245C" w:rsidP="008F2E82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7B9497A" w14:textId="77777777" w:rsidR="003E245C" w:rsidRPr="006129FC" w:rsidRDefault="003E245C" w:rsidP="008F2E82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7A44AF79" w14:textId="77777777" w:rsidR="003E245C" w:rsidRPr="006129FC" w:rsidRDefault="003E245C" w:rsidP="008F2E82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380CB336" w14:textId="77777777" w:rsidR="003E245C" w:rsidRPr="006129FC" w:rsidRDefault="003E245C" w:rsidP="008F2E82">
            <w:pPr>
              <w:pStyle w:val="TabNumeri"/>
            </w:pPr>
          </w:p>
        </w:tc>
      </w:tr>
      <w:tr w:rsidR="003E245C" w:rsidRPr="00CB1C0B" w14:paraId="0FB4C0F6" w14:textId="77777777" w:rsidTr="008F2E82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7D012DC6" w14:textId="77777777" w:rsidR="003E245C" w:rsidRPr="00BC2A0C" w:rsidRDefault="003E245C" w:rsidP="008F2E82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auto"/>
          </w:tcPr>
          <w:p w14:paraId="31461205" w14:textId="77777777" w:rsidR="003E245C" w:rsidRPr="0017689A" w:rsidRDefault="003E245C" w:rsidP="008F2E82">
            <w:pPr>
              <w:pStyle w:val="TabNumeri"/>
            </w:pPr>
            <w:r w:rsidRPr="00927901">
              <w:t xml:space="preserve">67,3 </w:t>
            </w:r>
          </w:p>
        </w:tc>
        <w:tc>
          <w:tcPr>
            <w:tcW w:w="510" w:type="dxa"/>
            <w:shd w:val="clear" w:color="auto" w:fill="auto"/>
          </w:tcPr>
          <w:p w14:paraId="682E24DA" w14:textId="77777777" w:rsidR="003E245C" w:rsidRPr="0017689A" w:rsidRDefault="003E245C" w:rsidP="008F2E82">
            <w:pPr>
              <w:pStyle w:val="TabNumeri"/>
            </w:pPr>
            <w:r w:rsidRPr="00927901">
              <w:t xml:space="preserve">11,9 </w:t>
            </w:r>
          </w:p>
        </w:tc>
        <w:tc>
          <w:tcPr>
            <w:tcW w:w="510" w:type="dxa"/>
            <w:shd w:val="clear" w:color="auto" w:fill="auto"/>
          </w:tcPr>
          <w:p w14:paraId="4D48B3A2" w14:textId="77777777" w:rsidR="003E245C" w:rsidRPr="0017689A" w:rsidRDefault="003E245C" w:rsidP="008F2E82">
            <w:pPr>
              <w:pStyle w:val="TabNumeri"/>
            </w:pPr>
            <w:r w:rsidRPr="00927901">
              <w:t xml:space="preserve">-7,8 </w:t>
            </w:r>
          </w:p>
        </w:tc>
        <w:tc>
          <w:tcPr>
            <w:tcW w:w="340" w:type="dxa"/>
            <w:shd w:val="clear" w:color="auto" w:fill="auto"/>
          </w:tcPr>
          <w:p w14:paraId="79203207" w14:textId="77777777" w:rsidR="003E245C" w:rsidRPr="001242A8" w:rsidRDefault="003E245C" w:rsidP="008F2E82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auto"/>
          </w:tcPr>
          <w:p w14:paraId="632C3120" w14:textId="77777777" w:rsidR="003E245C" w:rsidRPr="00BC2A0C" w:rsidRDefault="003E245C" w:rsidP="008F2E82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auto"/>
          </w:tcPr>
          <w:p w14:paraId="316578C2" w14:textId="77777777" w:rsidR="003E245C" w:rsidRPr="00CB1C0B" w:rsidRDefault="003E245C" w:rsidP="008F2E82">
            <w:pPr>
              <w:pStyle w:val="TabNumeri"/>
            </w:pPr>
            <w:r w:rsidRPr="00CF10EA">
              <w:t xml:space="preserve">3,1 </w:t>
            </w:r>
          </w:p>
        </w:tc>
        <w:tc>
          <w:tcPr>
            <w:tcW w:w="510" w:type="dxa"/>
            <w:shd w:val="clear" w:color="auto" w:fill="auto"/>
          </w:tcPr>
          <w:p w14:paraId="1CD6860B" w14:textId="77777777" w:rsidR="003E245C" w:rsidRPr="00CB1C0B" w:rsidRDefault="003E245C" w:rsidP="008F2E82">
            <w:pPr>
              <w:pStyle w:val="TabNumeri"/>
            </w:pPr>
            <w:r w:rsidRPr="00CF10EA">
              <w:t xml:space="preserve">3,9 </w:t>
            </w:r>
          </w:p>
        </w:tc>
        <w:tc>
          <w:tcPr>
            <w:tcW w:w="514" w:type="dxa"/>
            <w:shd w:val="clear" w:color="auto" w:fill="auto"/>
          </w:tcPr>
          <w:p w14:paraId="6CE1061F" w14:textId="77777777" w:rsidR="003E245C" w:rsidRPr="00CB1C0B" w:rsidRDefault="003E245C" w:rsidP="008F2E82">
            <w:pPr>
              <w:pStyle w:val="TabNumeri"/>
            </w:pPr>
            <w:r w:rsidRPr="00CF10EA">
              <w:t xml:space="preserve">2,1 </w:t>
            </w:r>
          </w:p>
        </w:tc>
      </w:tr>
      <w:tr w:rsidR="003E245C" w14:paraId="3FA51B21" w14:textId="77777777" w:rsidTr="008F2E82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45B4DD9" w14:textId="77777777" w:rsidR="003E245C" w:rsidRPr="00BC2A0C" w:rsidRDefault="003E245C" w:rsidP="008F2E82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DC64550" w14:textId="77777777" w:rsidR="003E245C" w:rsidRPr="0017689A" w:rsidRDefault="003E245C" w:rsidP="008F2E82">
            <w:pPr>
              <w:pStyle w:val="TabNumeri"/>
            </w:pPr>
            <w:r w:rsidRPr="00927901">
              <w:t xml:space="preserve">26,7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A5DF2D8" w14:textId="77777777" w:rsidR="003E245C" w:rsidRPr="0017689A" w:rsidRDefault="003E245C" w:rsidP="008F2E82">
            <w:pPr>
              <w:pStyle w:val="TabNumeri"/>
            </w:pPr>
            <w:r w:rsidRPr="00927901">
              <w:t xml:space="preserve">3,1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13A07B6" w14:textId="77777777" w:rsidR="003E245C" w:rsidRDefault="003E245C" w:rsidP="008F2E82">
            <w:pPr>
              <w:pStyle w:val="TabNumeri"/>
            </w:pPr>
            <w:r w:rsidRPr="00927901">
              <w:t xml:space="preserve">-1,9 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A469048" w14:textId="77777777" w:rsidR="003E245C" w:rsidRPr="001242A8" w:rsidRDefault="003E245C" w:rsidP="008F2E82">
            <w:pPr>
              <w:pStyle w:val="TabEtichette"/>
              <w:rPr>
                <w:color w:val="7030A0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019F8B8" w14:textId="77777777" w:rsidR="003E245C" w:rsidRPr="00BC2A0C" w:rsidRDefault="003E245C" w:rsidP="008F2E82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F676729" w14:textId="77777777" w:rsidR="003E245C" w:rsidRPr="00CB1C0B" w:rsidRDefault="003E245C" w:rsidP="008F2E82">
            <w:pPr>
              <w:pStyle w:val="TabNumeri"/>
            </w:pPr>
            <w:r w:rsidRPr="00CF10EA">
              <w:t xml:space="preserve">5,7 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CED7233" w14:textId="77777777" w:rsidR="003E245C" w:rsidRPr="00CB1C0B" w:rsidRDefault="003E245C" w:rsidP="008F2E82">
            <w:pPr>
              <w:pStyle w:val="TabNumeri"/>
            </w:pPr>
            <w:r w:rsidRPr="00CF10EA">
              <w:t xml:space="preserve">5,9 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C42F45B" w14:textId="77777777" w:rsidR="003E245C" w:rsidRDefault="003E245C" w:rsidP="008F2E82">
            <w:pPr>
              <w:pStyle w:val="TabNumeri"/>
            </w:pPr>
            <w:r w:rsidRPr="00CF10EA">
              <w:t xml:space="preserve">4,7 </w:t>
            </w:r>
          </w:p>
        </w:tc>
      </w:tr>
      <w:tr w:rsidR="003E245C" w:rsidRPr="00A50036" w14:paraId="7DB8707A" w14:textId="77777777" w:rsidTr="008F2E82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3C0E932F" w14:textId="77777777" w:rsidR="003E245C" w:rsidRPr="002A4A23" w:rsidRDefault="003E245C" w:rsidP="008F2E82">
            <w:pPr>
              <w:pStyle w:val="TabNoteSuperiori"/>
            </w:pP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Conventions.</w:t>
            </w:r>
            <w:r w:rsidRPr="00BC2A0C">
              <w:t xml:space="preserve"> (b) Tasso di variazione percentuale sul periodo precedente. (c) Beni e servizi in volume. (d) Media dei prezzi spot del petrolio greggio Brent, Dubai e West </w:t>
            </w:r>
            <w:r>
              <w:t>T</w:t>
            </w:r>
            <w:r w:rsidRPr="00BC2A0C">
              <w:t xml:space="preserve">exas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</w:t>
            </w:r>
          </w:p>
          <w:p w14:paraId="163155E2" w14:textId="77777777" w:rsidR="003E245C" w:rsidRPr="00BC2A0C" w:rsidRDefault="003E245C" w:rsidP="008F2E82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Economic </w:t>
            </w:r>
            <w:r w:rsidRPr="003E245C">
              <w:rPr>
                <w:lang w:val="en-GB"/>
              </w:rPr>
              <w:t xml:space="preserve">Outlook Update, 25 </w:t>
            </w:r>
            <w:proofErr w:type="spellStart"/>
            <w:r w:rsidRPr="003E245C">
              <w:rPr>
                <w:lang w:val="en-GB"/>
              </w:rPr>
              <w:t>gennaio</w:t>
            </w:r>
            <w:proofErr w:type="spellEnd"/>
            <w:r w:rsidRPr="003E245C">
              <w:rPr>
                <w:lang w:val="en-GB"/>
              </w:rPr>
              <w:t xml:space="preserve"> </w:t>
            </w:r>
            <w:r w:rsidRPr="003E245C">
              <w:rPr>
                <w:lang w:val="en-US"/>
              </w:rPr>
              <w:t>2022</w:t>
            </w:r>
          </w:p>
        </w:tc>
      </w:tr>
    </w:tbl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p w14:paraId="0AFCF781" w14:textId="77777777" w:rsidR="003A3163" w:rsidRDefault="003A3163" w:rsidP="003A3163">
      <w:bookmarkStart w:id="5" w:name="_Toc448399721"/>
      <w:bookmarkStart w:id="6" w:name="_Toc509407740"/>
      <w:bookmarkEnd w:id="4"/>
    </w:p>
    <w:tbl>
      <w:tblPr>
        <w:tblStyle w:val="Grigliatabella"/>
        <w:tblpPr w:bottomFromText="284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A249F1" w:rsidRPr="002B550F" w14:paraId="6B87C8CB" w14:textId="77777777" w:rsidTr="008F2E82">
        <w:tc>
          <w:tcPr>
            <w:tcW w:w="9356" w:type="dxa"/>
          </w:tcPr>
          <w:p w14:paraId="19018CEB" w14:textId="77777777" w:rsidR="00A249F1" w:rsidRPr="002B550F" w:rsidRDefault="00A249F1" w:rsidP="008F2E82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A249F1" w:rsidRPr="004C3A94" w14:paraId="4D4BA369" w14:textId="77777777" w:rsidTr="008F2E82">
        <w:tc>
          <w:tcPr>
            <w:tcW w:w="9356" w:type="dxa"/>
          </w:tcPr>
          <w:p w14:paraId="532F0124" w14:textId="77777777" w:rsidR="00A249F1" w:rsidRPr="004C3A94" w:rsidRDefault="00A249F1" w:rsidP="008F2E82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387E4774" wp14:editId="5F880435">
                  <wp:extent cx="5904000" cy="1980000"/>
                  <wp:effectExtent l="0" t="0" r="0" b="0"/>
                  <wp:docPr id="10" name="Grafico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  <w:tr w:rsidR="00A249F1" w:rsidRPr="0038435E" w14:paraId="3AF73378" w14:textId="77777777" w:rsidTr="008F2E82">
        <w:tc>
          <w:tcPr>
            <w:tcW w:w="9356" w:type="dxa"/>
          </w:tcPr>
          <w:p w14:paraId="69C8CB1C" w14:textId="77777777" w:rsidR="00A249F1" w:rsidRDefault="00A249F1" w:rsidP="008F2E82">
            <w:pPr>
              <w:pStyle w:val="Fineoggettoword"/>
            </w:pPr>
          </w:p>
          <w:p w14:paraId="5724D473" w14:textId="77777777" w:rsidR="00A249F1" w:rsidRPr="0038435E" w:rsidRDefault="00A249F1" w:rsidP="008F2E82">
            <w:pPr>
              <w:pStyle w:val="TabNoteInferiori"/>
              <w:rPr>
                <w:lang w:val="en-GB"/>
              </w:rPr>
            </w:pPr>
            <w:r w:rsidRPr="0038435E">
              <w:rPr>
                <w:lang w:val="en-GB"/>
              </w:rPr>
              <w:t xml:space="preserve">Fonte: </w:t>
            </w:r>
            <w:proofErr w:type="spellStart"/>
            <w:r w:rsidRPr="0038435E">
              <w:rPr>
                <w:lang w:val="en-GB"/>
              </w:rPr>
              <w:t>Oecd</w:t>
            </w:r>
            <w:proofErr w:type="spellEnd"/>
            <w:r w:rsidRPr="0038435E">
              <w:rPr>
                <w:lang w:val="en-GB"/>
              </w:rPr>
              <w:t>, Economic Outlook</w:t>
            </w:r>
            <w:r w:rsidRPr="00B37059">
              <w:rPr>
                <w:lang w:val="en-GB"/>
              </w:rPr>
              <w:t xml:space="preserve">, 01 </w:t>
            </w:r>
            <w:proofErr w:type="spellStart"/>
            <w:r w:rsidRPr="00B37059">
              <w:rPr>
                <w:lang w:val="en-GB"/>
              </w:rPr>
              <w:t>dicembre</w:t>
            </w:r>
            <w:proofErr w:type="spellEnd"/>
            <w:r w:rsidRPr="00B37059">
              <w:rPr>
                <w:lang w:val="en-GB"/>
              </w:rPr>
              <w:t xml:space="preserve"> 2021</w:t>
            </w:r>
            <w:r w:rsidRPr="007C05D9">
              <w:rPr>
                <w:lang w:val="en-US"/>
              </w:rPr>
              <w:t>.</w:t>
            </w:r>
          </w:p>
        </w:tc>
      </w:tr>
    </w:tbl>
    <w:p w14:paraId="23190F03" w14:textId="1382BF13" w:rsidR="003A3163" w:rsidRDefault="003A3163" w:rsidP="003A3163">
      <w:r w:rsidRPr="002F175C">
        <w:t>Ancora</w:t>
      </w:r>
      <w:r w:rsidR="000D4EBF">
        <w:t xml:space="preserve"> </w:t>
      </w:r>
    </w:p>
    <w:p w14:paraId="1361B00C" w14:textId="77777777" w:rsidR="003A3163" w:rsidRDefault="003A3163" w:rsidP="003A3163"/>
    <w:p w14:paraId="0EE867C7" w14:textId="77777777" w:rsidR="003A3163" w:rsidRPr="002F175C" w:rsidRDefault="003A3163" w:rsidP="003A3163">
      <w:pPr>
        <w:spacing w:line="240" w:lineRule="auto"/>
        <w:ind w:firstLine="0"/>
        <w:jc w:val="left"/>
      </w:pPr>
      <w:r w:rsidRPr="002F175C">
        <w:br w:type="page"/>
      </w:r>
    </w:p>
    <w:p w14:paraId="574823C6" w14:textId="78ABE518" w:rsidR="002A3FE8" w:rsidRDefault="002A3FE8" w:rsidP="002A3FE8"/>
    <w:tbl>
      <w:tblPr>
        <w:tblStyle w:val="Grigliatabella"/>
        <w:tblpPr w:topFromText="284" w:horzAnchor="margin" w:tblpXSpec="center" w:tblpYSpec="bottom"/>
        <w:tblOverlap w:val="nev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</w:tblGrid>
      <w:tr w:rsidR="006052B7" w14:paraId="0E2B71DA" w14:textId="77777777" w:rsidTr="008F2E82">
        <w:trPr>
          <w:cantSplit/>
          <w:trHeight w:val="255"/>
        </w:trPr>
        <w:tc>
          <w:tcPr>
            <w:tcW w:w="9354" w:type="dxa"/>
            <w:gridSpan w:val="9"/>
            <w:tcBorders>
              <w:bottom w:val="single" w:sz="4" w:space="0" w:color="632423" w:themeColor="accent2" w:themeShade="80"/>
            </w:tcBorders>
            <w:noWrap/>
          </w:tcPr>
          <w:p w14:paraId="6B67F4E9" w14:textId="77777777" w:rsidR="006052B7" w:rsidRDefault="006052B7" w:rsidP="008F2E82">
            <w:pPr>
              <w:pStyle w:val="TabTitolo"/>
            </w:pPr>
            <w:r>
              <w:t>Proiezioni macroeconomiche per l’area dell’euro.</w:t>
            </w:r>
          </w:p>
        </w:tc>
      </w:tr>
      <w:tr w:rsidR="006052B7" w:rsidRPr="00DD211F" w14:paraId="32514F77" w14:textId="77777777" w:rsidTr="008F2E82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cantSplit/>
        </w:trPr>
        <w:tc>
          <w:tcPr>
            <w:tcW w:w="2211" w:type="dxa"/>
            <w:noWrap/>
          </w:tcPr>
          <w:p w14:paraId="33BB7E8E" w14:textId="77777777" w:rsidR="006052B7" w:rsidRPr="00DD211F" w:rsidRDefault="006052B7" w:rsidP="008F2E82">
            <w:pPr>
              <w:pStyle w:val="TabIntestazioni"/>
            </w:pPr>
          </w:p>
        </w:tc>
        <w:tc>
          <w:tcPr>
            <w:tcW w:w="737" w:type="dxa"/>
            <w:noWrap/>
          </w:tcPr>
          <w:p w14:paraId="3AF2D691" w14:textId="77777777" w:rsidR="006052B7" w:rsidRPr="00DD211F" w:rsidRDefault="006052B7" w:rsidP="008F2E82">
            <w:pPr>
              <w:pStyle w:val="TabIntestazioni"/>
            </w:pPr>
            <w:r w:rsidRPr="009C013A">
              <w:t>2020</w:t>
            </w:r>
          </w:p>
        </w:tc>
        <w:tc>
          <w:tcPr>
            <w:tcW w:w="737" w:type="dxa"/>
          </w:tcPr>
          <w:p w14:paraId="111E4F5F" w14:textId="77777777" w:rsidR="006052B7" w:rsidRPr="00DD211F" w:rsidRDefault="006052B7" w:rsidP="008F2E82">
            <w:pPr>
              <w:pStyle w:val="TabIntestazioni"/>
            </w:pPr>
            <w:r w:rsidRPr="009C013A">
              <w:t>2021</w:t>
            </w:r>
          </w:p>
        </w:tc>
        <w:tc>
          <w:tcPr>
            <w:tcW w:w="737" w:type="dxa"/>
          </w:tcPr>
          <w:p w14:paraId="52D7A90E" w14:textId="77777777" w:rsidR="006052B7" w:rsidRPr="00DD211F" w:rsidRDefault="006052B7" w:rsidP="008F2E82">
            <w:pPr>
              <w:pStyle w:val="TabIntestazioni"/>
            </w:pPr>
            <w:r w:rsidRPr="009C013A">
              <w:t>2022</w:t>
            </w:r>
          </w:p>
        </w:tc>
        <w:tc>
          <w:tcPr>
            <w:tcW w:w="510" w:type="dxa"/>
            <w:noWrap/>
          </w:tcPr>
          <w:p w14:paraId="367D6B1C" w14:textId="77777777" w:rsidR="006052B7" w:rsidRPr="00DD211F" w:rsidRDefault="006052B7" w:rsidP="008F2E82">
            <w:pPr>
              <w:pStyle w:val="TabIntestazioni"/>
            </w:pPr>
          </w:p>
        </w:tc>
        <w:tc>
          <w:tcPr>
            <w:tcW w:w="2211" w:type="dxa"/>
          </w:tcPr>
          <w:p w14:paraId="0482CFAB" w14:textId="77777777" w:rsidR="006052B7" w:rsidRPr="00DD211F" w:rsidRDefault="006052B7" w:rsidP="008F2E82">
            <w:pPr>
              <w:pStyle w:val="TabIntestazioni"/>
            </w:pPr>
          </w:p>
        </w:tc>
        <w:tc>
          <w:tcPr>
            <w:tcW w:w="737" w:type="dxa"/>
          </w:tcPr>
          <w:p w14:paraId="296572F8" w14:textId="77777777" w:rsidR="006052B7" w:rsidRPr="00DD211F" w:rsidRDefault="006052B7" w:rsidP="008F2E82">
            <w:pPr>
              <w:pStyle w:val="TabIntestazioni"/>
            </w:pPr>
            <w:r w:rsidRPr="00B81BCF">
              <w:t>2020</w:t>
            </w:r>
          </w:p>
        </w:tc>
        <w:tc>
          <w:tcPr>
            <w:tcW w:w="737" w:type="dxa"/>
          </w:tcPr>
          <w:p w14:paraId="33F84F23" w14:textId="77777777" w:rsidR="006052B7" w:rsidRPr="00DD211F" w:rsidRDefault="006052B7" w:rsidP="008F2E82">
            <w:pPr>
              <w:pStyle w:val="TabIntestazioni"/>
            </w:pPr>
            <w:r w:rsidRPr="00B81BCF">
              <w:t>2021</w:t>
            </w:r>
          </w:p>
        </w:tc>
        <w:tc>
          <w:tcPr>
            <w:tcW w:w="737" w:type="dxa"/>
          </w:tcPr>
          <w:p w14:paraId="5800D0A6" w14:textId="77777777" w:rsidR="006052B7" w:rsidRPr="00DD211F" w:rsidRDefault="006052B7" w:rsidP="008F2E82">
            <w:pPr>
              <w:pStyle w:val="TabIntestazioni"/>
            </w:pPr>
            <w:r w:rsidRPr="00B81BCF">
              <w:t>2022</w:t>
            </w:r>
          </w:p>
        </w:tc>
      </w:tr>
      <w:tr w:rsidR="006052B7" w14:paraId="7CA64299" w14:textId="77777777" w:rsidTr="008F2E82">
        <w:trPr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746255EE" w14:textId="77777777" w:rsidR="006052B7" w:rsidRDefault="006052B7" w:rsidP="008F2E82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7B877329" w14:textId="77777777" w:rsidR="006052B7" w:rsidRDefault="006052B7" w:rsidP="008F2E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1659D4B9" w14:textId="77777777" w:rsidR="006052B7" w:rsidRDefault="006052B7" w:rsidP="008F2E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0F42752F" w14:textId="77777777" w:rsidR="006052B7" w:rsidRDefault="006052B7" w:rsidP="008F2E82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0396337E" w14:textId="77777777" w:rsidR="006052B7" w:rsidRDefault="006052B7" w:rsidP="008F2E82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34420AB8" w14:textId="77777777" w:rsidR="006052B7" w:rsidRDefault="006052B7" w:rsidP="008F2E82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64A1F32F" w14:textId="77777777" w:rsidR="006052B7" w:rsidRDefault="006052B7" w:rsidP="008F2E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33FB30B6" w14:textId="77777777" w:rsidR="006052B7" w:rsidRDefault="006052B7" w:rsidP="008F2E82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6887967" w14:textId="77777777" w:rsidR="006052B7" w:rsidRDefault="006052B7" w:rsidP="008F2E82">
            <w:pPr>
              <w:pStyle w:val="TabNumeri"/>
            </w:pPr>
          </w:p>
        </w:tc>
      </w:tr>
      <w:tr w:rsidR="006052B7" w:rsidRPr="008D37A3" w14:paraId="50BDA443" w14:textId="77777777" w:rsidTr="008F2E82">
        <w:trPr>
          <w:cantSplit/>
          <w:trHeight w:val="255"/>
        </w:trPr>
        <w:tc>
          <w:tcPr>
            <w:tcW w:w="2211" w:type="dxa"/>
            <w:noWrap/>
          </w:tcPr>
          <w:p w14:paraId="1155F427" w14:textId="77777777" w:rsidR="006052B7" w:rsidRPr="00233F5C" w:rsidRDefault="006052B7" w:rsidP="008F2E82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2984265B" w14:textId="77777777" w:rsidR="006052B7" w:rsidRPr="00902005" w:rsidRDefault="006052B7" w:rsidP="008F2E82">
            <w:pPr>
              <w:pStyle w:val="TabNumeri"/>
            </w:pPr>
            <w:r>
              <w:t>-6,5</w:t>
            </w:r>
          </w:p>
        </w:tc>
        <w:tc>
          <w:tcPr>
            <w:tcW w:w="737" w:type="dxa"/>
            <w:noWrap/>
          </w:tcPr>
          <w:p w14:paraId="4DC02EA6" w14:textId="77777777" w:rsidR="006052B7" w:rsidRPr="00902005" w:rsidRDefault="006052B7" w:rsidP="008F2E82">
            <w:pPr>
              <w:pStyle w:val="TabNumeri"/>
            </w:pPr>
            <w:r>
              <w:t>5,1</w:t>
            </w:r>
          </w:p>
        </w:tc>
        <w:tc>
          <w:tcPr>
            <w:tcW w:w="737" w:type="dxa"/>
            <w:noWrap/>
          </w:tcPr>
          <w:p w14:paraId="60CA7BFB" w14:textId="77777777" w:rsidR="006052B7" w:rsidRPr="00902005" w:rsidRDefault="006052B7" w:rsidP="008F2E82">
            <w:pPr>
              <w:pStyle w:val="TabNumeri"/>
            </w:pPr>
            <w:r>
              <w:t>4,2</w:t>
            </w:r>
          </w:p>
        </w:tc>
        <w:tc>
          <w:tcPr>
            <w:tcW w:w="510" w:type="dxa"/>
            <w:noWrap/>
          </w:tcPr>
          <w:p w14:paraId="530338AE" w14:textId="77777777" w:rsidR="006052B7" w:rsidRPr="000770A1" w:rsidRDefault="006052B7" w:rsidP="008F2E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3DA245A6" w14:textId="77777777" w:rsidR="006052B7" w:rsidRPr="00233F5C" w:rsidRDefault="006052B7" w:rsidP="008F2E82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1556D45D" w14:textId="77777777" w:rsidR="006052B7" w:rsidRPr="008D37A3" w:rsidRDefault="006052B7" w:rsidP="008F2E82">
            <w:pPr>
              <w:pStyle w:val="TabNumeri"/>
            </w:pPr>
            <w:r>
              <w:t>1,8</w:t>
            </w:r>
          </w:p>
        </w:tc>
        <w:tc>
          <w:tcPr>
            <w:tcW w:w="737" w:type="dxa"/>
          </w:tcPr>
          <w:p w14:paraId="3F1DAC35" w14:textId="77777777" w:rsidR="006052B7" w:rsidRPr="008D37A3" w:rsidRDefault="006052B7" w:rsidP="008F2E82">
            <w:pPr>
              <w:pStyle w:val="TabNumeri"/>
            </w:pPr>
            <w:r w:rsidRPr="00B81BCF">
              <w:t>2,0</w:t>
            </w:r>
          </w:p>
        </w:tc>
        <w:tc>
          <w:tcPr>
            <w:tcW w:w="737" w:type="dxa"/>
            <w:noWrap/>
          </w:tcPr>
          <w:p w14:paraId="70643E79" w14:textId="77777777" w:rsidR="006052B7" w:rsidRPr="008D37A3" w:rsidRDefault="006052B7" w:rsidP="008F2E82">
            <w:pPr>
              <w:pStyle w:val="TabNumeri"/>
            </w:pPr>
            <w:r>
              <w:t>1,8</w:t>
            </w:r>
          </w:p>
        </w:tc>
      </w:tr>
      <w:tr w:rsidR="006052B7" w:rsidRPr="008D37A3" w14:paraId="4E05786C" w14:textId="77777777" w:rsidTr="008F2E82">
        <w:trPr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1653855E" w14:textId="77777777" w:rsidR="006052B7" w:rsidRPr="00233F5C" w:rsidRDefault="006052B7" w:rsidP="008F2E82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D3037A0" w14:textId="77777777" w:rsidR="006052B7" w:rsidRPr="00902005" w:rsidRDefault="006052B7" w:rsidP="008F2E82">
            <w:pPr>
              <w:pStyle w:val="TabNumeri"/>
            </w:pPr>
            <w:r w:rsidRPr="009C013A">
              <w:t>-8,0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DD2ABBF" w14:textId="77777777" w:rsidR="006052B7" w:rsidRPr="00902005" w:rsidRDefault="006052B7" w:rsidP="008F2E82">
            <w:pPr>
              <w:pStyle w:val="TabNumeri"/>
            </w:pPr>
            <w:r>
              <w:t>3,3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613A82F" w14:textId="77777777" w:rsidR="006052B7" w:rsidRPr="00902005" w:rsidRDefault="006052B7" w:rsidP="008F2E82">
            <w:pPr>
              <w:pStyle w:val="TabNumeri"/>
            </w:pPr>
            <w:r w:rsidRPr="009C013A">
              <w:t>5,9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B27FF32" w14:textId="77777777" w:rsidR="006052B7" w:rsidRPr="000770A1" w:rsidRDefault="006052B7" w:rsidP="008F2E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7875FF32" w14:textId="77777777" w:rsidR="006052B7" w:rsidRPr="00233F5C" w:rsidRDefault="006052B7" w:rsidP="008F2E82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1CC1FDE" w14:textId="77777777" w:rsidR="006052B7" w:rsidRPr="008D37A3" w:rsidRDefault="006052B7" w:rsidP="008F2E82">
            <w:pPr>
              <w:pStyle w:val="TabNumeri"/>
            </w:pPr>
            <w:r>
              <w:t>-1,5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6EEF677B" w14:textId="77777777" w:rsidR="006052B7" w:rsidRPr="008D37A3" w:rsidRDefault="006052B7" w:rsidP="008F2E82">
            <w:pPr>
              <w:pStyle w:val="TabNumeri"/>
            </w:pPr>
            <w:r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161BFBC" w14:textId="77777777" w:rsidR="006052B7" w:rsidRPr="008D37A3" w:rsidRDefault="006052B7" w:rsidP="008F2E82">
            <w:pPr>
              <w:pStyle w:val="TabNumeri"/>
            </w:pPr>
            <w:r w:rsidRPr="00B81BCF">
              <w:t>1,3</w:t>
            </w:r>
          </w:p>
        </w:tc>
      </w:tr>
      <w:tr w:rsidR="006052B7" w:rsidRPr="008D37A3" w14:paraId="52365CEB" w14:textId="77777777" w:rsidTr="008F2E82">
        <w:trPr>
          <w:cantSplit/>
          <w:trHeight w:val="255"/>
        </w:trPr>
        <w:tc>
          <w:tcPr>
            <w:tcW w:w="2211" w:type="dxa"/>
            <w:noWrap/>
          </w:tcPr>
          <w:p w14:paraId="42E99B14" w14:textId="77777777" w:rsidR="006052B7" w:rsidRPr="00233F5C" w:rsidRDefault="006052B7" w:rsidP="008F2E82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16EF31EC" w14:textId="77777777" w:rsidR="006052B7" w:rsidRPr="00902005" w:rsidRDefault="006052B7" w:rsidP="008F2E82">
            <w:pPr>
              <w:pStyle w:val="TabNumeri"/>
            </w:pPr>
            <w:r w:rsidRPr="009C013A">
              <w:t>1,</w:t>
            </w:r>
            <w:r>
              <w:t>2</w:t>
            </w:r>
          </w:p>
        </w:tc>
        <w:tc>
          <w:tcPr>
            <w:tcW w:w="737" w:type="dxa"/>
            <w:noWrap/>
          </w:tcPr>
          <w:p w14:paraId="715AF489" w14:textId="77777777" w:rsidR="006052B7" w:rsidRPr="00902005" w:rsidRDefault="006052B7" w:rsidP="008F2E82">
            <w:pPr>
              <w:pStyle w:val="TabNumeri"/>
            </w:pPr>
            <w:r>
              <w:t>3,9</w:t>
            </w:r>
          </w:p>
        </w:tc>
        <w:tc>
          <w:tcPr>
            <w:tcW w:w="737" w:type="dxa"/>
            <w:noWrap/>
          </w:tcPr>
          <w:p w14:paraId="496428C0" w14:textId="77777777" w:rsidR="006052B7" w:rsidRPr="00902005" w:rsidRDefault="006052B7" w:rsidP="008F2E82">
            <w:pPr>
              <w:pStyle w:val="TabNumeri"/>
            </w:pPr>
            <w:r>
              <w:t>0,2</w:t>
            </w:r>
          </w:p>
        </w:tc>
        <w:tc>
          <w:tcPr>
            <w:tcW w:w="510" w:type="dxa"/>
            <w:noWrap/>
          </w:tcPr>
          <w:p w14:paraId="227C26B1" w14:textId="77777777" w:rsidR="006052B7" w:rsidRPr="000770A1" w:rsidRDefault="006052B7" w:rsidP="008F2E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0FE51F15" w14:textId="77777777" w:rsidR="006052B7" w:rsidRPr="00233F5C" w:rsidRDefault="006052B7" w:rsidP="008F2E82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63E626BE" w14:textId="77777777" w:rsidR="006052B7" w:rsidRPr="008D37A3" w:rsidRDefault="006052B7" w:rsidP="008F2E82">
            <w:pPr>
              <w:pStyle w:val="TabNumeri"/>
            </w:pPr>
            <w:r>
              <w:t>7,9</w:t>
            </w:r>
          </w:p>
        </w:tc>
        <w:tc>
          <w:tcPr>
            <w:tcW w:w="737" w:type="dxa"/>
          </w:tcPr>
          <w:p w14:paraId="0F69371F" w14:textId="77777777" w:rsidR="006052B7" w:rsidRPr="008D37A3" w:rsidRDefault="006052B7" w:rsidP="008F2E82">
            <w:pPr>
              <w:pStyle w:val="TabNumeri"/>
            </w:pPr>
            <w:r>
              <w:t>7,7</w:t>
            </w:r>
          </w:p>
        </w:tc>
        <w:tc>
          <w:tcPr>
            <w:tcW w:w="737" w:type="dxa"/>
            <w:noWrap/>
          </w:tcPr>
          <w:p w14:paraId="5274498C" w14:textId="77777777" w:rsidR="006052B7" w:rsidRPr="008D37A3" w:rsidRDefault="006052B7" w:rsidP="008F2E82">
            <w:pPr>
              <w:pStyle w:val="TabNumeri"/>
            </w:pPr>
            <w:r>
              <w:t>7,3</w:t>
            </w:r>
          </w:p>
        </w:tc>
      </w:tr>
      <w:tr w:rsidR="006052B7" w:rsidRPr="008D37A3" w14:paraId="775C0D7D" w14:textId="77777777" w:rsidTr="008F2E82">
        <w:trPr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0A979424" w14:textId="77777777" w:rsidR="006052B7" w:rsidRPr="00233F5C" w:rsidRDefault="006052B7" w:rsidP="008F2E82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41AEAB6" w14:textId="77777777" w:rsidR="006052B7" w:rsidRPr="00902005" w:rsidRDefault="006052B7" w:rsidP="008F2E82">
            <w:pPr>
              <w:pStyle w:val="TabNumeri"/>
            </w:pPr>
            <w:r>
              <w:t>-7,4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7AB4CD1" w14:textId="77777777" w:rsidR="006052B7" w:rsidRPr="00902005" w:rsidRDefault="006052B7" w:rsidP="008F2E82">
            <w:pPr>
              <w:pStyle w:val="TabNumeri"/>
            </w:pPr>
            <w:r>
              <w:t>3,7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1AEBBC8" w14:textId="77777777" w:rsidR="006052B7" w:rsidRPr="00902005" w:rsidRDefault="006052B7" w:rsidP="008F2E82">
            <w:pPr>
              <w:pStyle w:val="TabNumeri"/>
            </w:pPr>
            <w:r>
              <w:t>3,9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77669090" w14:textId="77777777" w:rsidR="006052B7" w:rsidRPr="000770A1" w:rsidRDefault="006052B7" w:rsidP="008F2E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34C4EB42" w14:textId="77777777" w:rsidR="006052B7" w:rsidRPr="00233F5C" w:rsidRDefault="006052B7" w:rsidP="008F2E82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01822211" w14:textId="77777777" w:rsidR="006052B7" w:rsidRPr="008D37A3" w:rsidRDefault="006052B7" w:rsidP="008F2E82">
            <w:pPr>
              <w:pStyle w:val="TabNumeri"/>
            </w:pPr>
            <w:r w:rsidRPr="00B81BCF">
              <w:t>0,3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7861868B" w14:textId="77777777" w:rsidR="006052B7" w:rsidRPr="008D37A3" w:rsidRDefault="006052B7" w:rsidP="008F2E82">
            <w:pPr>
              <w:pStyle w:val="TabNumeri"/>
            </w:pPr>
            <w:r>
              <w:t>2,6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0736E52" w14:textId="77777777" w:rsidR="006052B7" w:rsidRPr="008D37A3" w:rsidRDefault="006052B7" w:rsidP="008F2E82">
            <w:pPr>
              <w:pStyle w:val="TabNumeri"/>
            </w:pPr>
            <w:r>
              <w:t>3,2</w:t>
            </w:r>
          </w:p>
        </w:tc>
      </w:tr>
      <w:tr w:rsidR="006052B7" w:rsidRPr="008D37A3" w14:paraId="41239E14" w14:textId="77777777" w:rsidTr="008F2E82">
        <w:trPr>
          <w:cantSplit/>
          <w:trHeight w:val="255"/>
        </w:trPr>
        <w:tc>
          <w:tcPr>
            <w:tcW w:w="2211" w:type="dxa"/>
            <w:noWrap/>
          </w:tcPr>
          <w:p w14:paraId="217E5C1D" w14:textId="77777777" w:rsidR="006052B7" w:rsidRPr="00233F5C" w:rsidRDefault="006052B7" w:rsidP="008F2E82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07A08700" w14:textId="77777777" w:rsidR="006052B7" w:rsidRPr="00902005" w:rsidRDefault="006052B7" w:rsidP="008F2E82">
            <w:pPr>
              <w:pStyle w:val="TabNumeri"/>
            </w:pPr>
            <w:r>
              <w:t>-9,5</w:t>
            </w:r>
          </w:p>
        </w:tc>
        <w:tc>
          <w:tcPr>
            <w:tcW w:w="737" w:type="dxa"/>
            <w:noWrap/>
          </w:tcPr>
          <w:p w14:paraId="3467C2E6" w14:textId="77777777" w:rsidR="006052B7" w:rsidRPr="00902005" w:rsidRDefault="006052B7" w:rsidP="008F2E82">
            <w:pPr>
              <w:pStyle w:val="TabNumeri"/>
            </w:pPr>
            <w:r>
              <w:t>9,3</w:t>
            </w:r>
          </w:p>
        </w:tc>
        <w:tc>
          <w:tcPr>
            <w:tcW w:w="737" w:type="dxa"/>
            <w:noWrap/>
          </w:tcPr>
          <w:p w14:paraId="0BACB85E" w14:textId="77777777" w:rsidR="006052B7" w:rsidRPr="00902005" w:rsidRDefault="006052B7" w:rsidP="008F2E82">
            <w:pPr>
              <w:pStyle w:val="TabNumeri"/>
            </w:pPr>
            <w:r>
              <w:t>6,4</w:t>
            </w:r>
          </w:p>
        </w:tc>
        <w:tc>
          <w:tcPr>
            <w:tcW w:w="510" w:type="dxa"/>
            <w:noWrap/>
          </w:tcPr>
          <w:p w14:paraId="7C299435" w14:textId="77777777" w:rsidR="006052B7" w:rsidRPr="000770A1" w:rsidRDefault="006052B7" w:rsidP="008F2E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6227BFF2" w14:textId="77777777" w:rsidR="006052B7" w:rsidRPr="00233F5C" w:rsidRDefault="006052B7" w:rsidP="008F2E82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29FB8926" w14:textId="77777777" w:rsidR="006052B7" w:rsidRPr="008D37A3" w:rsidRDefault="006052B7" w:rsidP="008F2E82">
            <w:pPr>
              <w:pStyle w:val="TabNumeri"/>
            </w:pPr>
            <w:r>
              <w:t>7,2</w:t>
            </w:r>
          </w:p>
        </w:tc>
        <w:tc>
          <w:tcPr>
            <w:tcW w:w="737" w:type="dxa"/>
          </w:tcPr>
          <w:p w14:paraId="31C92F4D" w14:textId="77777777" w:rsidR="006052B7" w:rsidRPr="008D37A3" w:rsidRDefault="006052B7" w:rsidP="008F2E82">
            <w:pPr>
              <w:pStyle w:val="TabNumeri"/>
            </w:pPr>
            <w:r>
              <w:t>5,9</w:t>
            </w:r>
          </w:p>
        </w:tc>
        <w:tc>
          <w:tcPr>
            <w:tcW w:w="737" w:type="dxa"/>
            <w:noWrap/>
          </w:tcPr>
          <w:p w14:paraId="0E28752B" w14:textId="77777777" w:rsidR="006052B7" w:rsidRPr="008D37A3" w:rsidRDefault="006052B7" w:rsidP="008F2E82">
            <w:pPr>
              <w:pStyle w:val="TabNumeri"/>
            </w:pPr>
            <w:r>
              <w:t>3,2</w:t>
            </w:r>
          </w:p>
        </w:tc>
      </w:tr>
      <w:tr w:rsidR="006052B7" w14:paraId="064DF270" w14:textId="77777777" w:rsidTr="008F2E82">
        <w:trPr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E744C98" w14:textId="77777777" w:rsidR="006052B7" w:rsidRDefault="006052B7" w:rsidP="008F2E82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EAB2934" w14:textId="77777777" w:rsidR="006052B7" w:rsidRPr="00902005" w:rsidRDefault="006052B7" w:rsidP="008F2E82">
            <w:pPr>
              <w:pStyle w:val="TabNumeri"/>
            </w:pPr>
            <w:r>
              <w:t>-9,4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7587C65" w14:textId="77777777" w:rsidR="006052B7" w:rsidRPr="00902005" w:rsidRDefault="006052B7" w:rsidP="008F2E82">
            <w:pPr>
              <w:pStyle w:val="TabNumeri"/>
            </w:pPr>
            <w:r>
              <w:t>7,0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8A8F3A1" w14:textId="77777777" w:rsidR="006052B7" w:rsidRDefault="006052B7" w:rsidP="008F2E82">
            <w:pPr>
              <w:pStyle w:val="TabNumeri"/>
            </w:pPr>
            <w:r>
              <w:t>6,1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4971F29" w14:textId="77777777" w:rsidR="006052B7" w:rsidRPr="000770A1" w:rsidRDefault="006052B7" w:rsidP="008F2E82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44934029" w14:textId="77777777" w:rsidR="006052B7" w:rsidRDefault="006052B7" w:rsidP="008F2E82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0113DAF" w14:textId="77777777" w:rsidR="006052B7" w:rsidRPr="008D37A3" w:rsidRDefault="006052B7" w:rsidP="008F2E82">
            <w:pPr>
              <w:pStyle w:val="TabNumeri"/>
            </w:pPr>
            <w:r>
              <w:t>97,3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107845C8" w14:textId="77777777" w:rsidR="006052B7" w:rsidRPr="008D37A3" w:rsidRDefault="006052B7" w:rsidP="008F2E82">
            <w:pPr>
              <w:pStyle w:val="TabNumeri"/>
            </w:pPr>
            <w:r>
              <w:t>96,6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119D003" w14:textId="77777777" w:rsidR="006052B7" w:rsidRDefault="006052B7" w:rsidP="008F2E82">
            <w:pPr>
              <w:pStyle w:val="TabNumeri"/>
            </w:pPr>
            <w:r>
              <w:t>93,2</w:t>
            </w:r>
          </w:p>
        </w:tc>
      </w:tr>
      <w:tr w:rsidR="006052B7" w:rsidRPr="00A249F1" w14:paraId="19913A60" w14:textId="77777777" w:rsidTr="008F2E82">
        <w:trPr>
          <w:cantSplit/>
          <w:trHeight w:val="255"/>
        </w:trPr>
        <w:tc>
          <w:tcPr>
            <w:tcW w:w="9354" w:type="dxa"/>
            <w:gridSpan w:val="9"/>
            <w:tcBorders>
              <w:top w:val="single" w:sz="4" w:space="0" w:color="632423" w:themeColor="accent2" w:themeShade="80"/>
            </w:tcBorders>
            <w:noWrap/>
          </w:tcPr>
          <w:p w14:paraId="775A632A" w14:textId="77777777" w:rsidR="006052B7" w:rsidRPr="00D76DB6" w:rsidRDefault="006052B7" w:rsidP="008F2E82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619B301A" w14:textId="77777777" w:rsidR="006052B7" w:rsidRPr="00A249F1" w:rsidRDefault="006052B7" w:rsidP="008F2E82">
            <w:pPr>
              <w:pStyle w:val="TabNoteInferiori"/>
            </w:pPr>
            <w:r w:rsidRPr="00A249F1">
              <w:t xml:space="preserve">Fonte: </w:t>
            </w:r>
            <w:proofErr w:type="spellStart"/>
            <w:r w:rsidRPr="00A249F1">
              <w:t>Eurosystem</w:t>
            </w:r>
            <w:proofErr w:type="spellEnd"/>
            <w:r w:rsidRPr="00A249F1">
              <w:t xml:space="preserve"> staff </w:t>
            </w:r>
            <w:proofErr w:type="spellStart"/>
            <w:r w:rsidRPr="00A249F1">
              <w:t>macroeconomic</w:t>
            </w:r>
            <w:proofErr w:type="spellEnd"/>
            <w:r w:rsidRPr="00A249F1">
              <w:t xml:space="preserve"> </w:t>
            </w:r>
            <w:proofErr w:type="spellStart"/>
            <w:r w:rsidRPr="00A249F1">
              <w:t>projections</w:t>
            </w:r>
            <w:proofErr w:type="spellEnd"/>
            <w:r w:rsidRPr="00A249F1">
              <w:t xml:space="preserve"> for the euro area, 16 dicembre 2021</w:t>
            </w:r>
          </w:p>
        </w:tc>
      </w:tr>
    </w:tbl>
    <w:p w14:paraId="7580C9FE" w14:textId="00469FEB" w:rsidR="007C4E48" w:rsidRDefault="007C4E48" w:rsidP="002A3FE8">
      <w:r>
        <w:t>ancora</w:t>
      </w:r>
    </w:p>
    <w:p w14:paraId="5E60BD22" w14:textId="4FE5BDC9" w:rsidR="007C4E48" w:rsidRDefault="007C4E48" w:rsidP="002A3FE8"/>
    <w:p w14:paraId="3BAE9D10" w14:textId="2FCF65D2" w:rsidR="00EE0D4D" w:rsidRDefault="00EE0D4D" w:rsidP="002A3FE8">
      <w:r>
        <w:br w:type="page"/>
      </w:r>
    </w:p>
    <w:p w14:paraId="428206A6" w14:textId="77777777" w:rsidR="00EE0D4D" w:rsidRDefault="00EE0D4D" w:rsidP="002A3FE8"/>
    <w:tbl>
      <w:tblPr>
        <w:tblStyle w:val="Grigliatabella"/>
        <w:tblpPr w:bottomFromText="284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E0D4D" w:rsidRPr="002B550F" w14:paraId="49647ACA" w14:textId="77777777" w:rsidTr="006052B7">
        <w:tc>
          <w:tcPr>
            <w:tcW w:w="9356" w:type="dxa"/>
          </w:tcPr>
          <w:p w14:paraId="5388FD26" w14:textId="5265FADE" w:rsidR="00EE0D4D" w:rsidRPr="002B550F" w:rsidRDefault="00EE0D4D" w:rsidP="006052B7">
            <w:pPr>
              <w:pStyle w:val="FigTitolo"/>
            </w:pPr>
            <w:bookmarkStart w:id="7" w:name="_Hlk95832964"/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 per l’area dell’euro, l’Unione europea e alcuni paesi delle due aree</w:t>
            </w:r>
          </w:p>
        </w:tc>
      </w:tr>
      <w:tr w:rsidR="00EE0D4D" w:rsidRPr="002B550F" w14:paraId="327ADE76" w14:textId="77777777" w:rsidTr="006052B7">
        <w:tc>
          <w:tcPr>
            <w:tcW w:w="9356" w:type="dxa"/>
          </w:tcPr>
          <w:p w14:paraId="2EC76503" w14:textId="77777777" w:rsidR="00EE0D4D" w:rsidRPr="00222962" w:rsidRDefault="00EE0D4D" w:rsidP="006052B7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2EC8C15" wp14:editId="77C70905">
                  <wp:extent cx="5904000" cy="1980000"/>
                  <wp:effectExtent l="0" t="0" r="0" b="0"/>
                  <wp:docPr id="4" name="Grafico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EE0D4D" w:rsidRPr="007862B1" w14:paraId="74EAE8A9" w14:textId="77777777" w:rsidTr="006052B7">
        <w:tc>
          <w:tcPr>
            <w:tcW w:w="9356" w:type="dxa"/>
          </w:tcPr>
          <w:p w14:paraId="2EB51B73" w14:textId="16468CAE" w:rsidR="00EE0D4D" w:rsidRPr="00860890" w:rsidRDefault="00EE0D4D" w:rsidP="006052B7">
            <w:pPr>
              <w:pStyle w:val="TabNoteSuperiori"/>
            </w:pPr>
            <w:r w:rsidRPr="00B77704">
              <w:t xml:space="preserve">Fonte: </w:t>
            </w:r>
            <w:r w:rsidRPr="00860890">
              <w:t xml:space="preserve">Commissione europea,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r w:rsidR="00F930CE" w:rsidRPr="00F930CE">
              <w:t>forecasts, 10 febbraio 2022</w:t>
            </w:r>
          </w:p>
        </w:tc>
      </w:tr>
    </w:tbl>
    <w:bookmarkEnd w:id="7"/>
    <w:p w14:paraId="1CFA959C" w14:textId="2CB141AE" w:rsidR="00EE0D4D" w:rsidRDefault="00EE0D4D" w:rsidP="002A3FE8">
      <w:r>
        <w:t>ancora</w:t>
      </w:r>
    </w:p>
    <w:p w14:paraId="3E501FB1" w14:textId="77777777" w:rsidR="00EE0D4D" w:rsidRDefault="00EE0D4D" w:rsidP="002A3FE8"/>
    <w:p w14:paraId="42C817D1" w14:textId="1318FBAA" w:rsidR="007C4E48" w:rsidRDefault="007C4E48" w:rsidP="002A3FE8">
      <w:r>
        <w:br w:type="page"/>
      </w:r>
    </w:p>
    <w:p w14:paraId="11CC253D" w14:textId="77777777"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5"/>
      <w:bookmarkEnd w:id="6"/>
    </w:p>
    <w:p w14:paraId="5FBD4B8E" w14:textId="77777777" w:rsidR="002958B5" w:rsidRDefault="002958B5" w:rsidP="002958B5"/>
    <w:tbl>
      <w:tblPr>
        <w:tblpPr w:bottomFromText="284" w:horzAnchor="margin" w:tblpXSpec="center" w:tblpYSpec="top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A3DE5" w14:paraId="24868FA3" w14:textId="77777777" w:rsidTr="00F930CE">
        <w:tc>
          <w:tcPr>
            <w:tcW w:w="9356" w:type="dxa"/>
          </w:tcPr>
          <w:p w14:paraId="65024E66" w14:textId="77777777" w:rsidR="006A3DE5" w:rsidRDefault="006A3DE5" w:rsidP="00F930CE">
            <w:pPr>
              <w:pStyle w:val="FigTitolo"/>
            </w:pPr>
            <w:bookmarkStart w:id="8" w:name="_Hlk52805805"/>
            <w:r>
              <w:t>Prodotto interno lordo, valori concatenati (anno di riferimento 2015), dati destagionalizzati e corretti.</w:t>
            </w:r>
            <w:r>
              <w:br/>
              <w:t>Numero indice (2019=100) e tasso di variazione sul trimestre precedente.</w:t>
            </w:r>
          </w:p>
        </w:tc>
      </w:tr>
      <w:tr w:rsidR="006A3DE5" w14:paraId="3301836D" w14:textId="77777777" w:rsidTr="00F930CE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594123A6" w14:textId="2172E4F6" w:rsidR="006A3DE5" w:rsidRPr="00064064" w:rsidRDefault="007B2FC6" w:rsidP="00F930CE">
            <w:pPr>
              <w:pStyle w:val="Figure"/>
            </w:pPr>
            <w:r w:rsidRPr="007B2FC6">
              <w:rPr>
                <w:noProof/>
              </w:rPr>
              <w:drawing>
                <wp:inline distT="0" distB="0" distL="0" distR="0" wp14:anchorId="5D4434C9" wp14:editId="61EB784C">
                  <wp:extent cx="5905500" cy="2162175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DE5" w14:paraId="3136A13F" w14:textId="77777777" w:rsidTr="00F930CE">
        <w:tc>
          <w:tcPr>
            <w:tcW w:w="9356" w:type="dxa"/>
          </w:tcPr>
          <w:p w14:paraId="5C1BCA8E" w14:textId="77777777" w:rsidR="006A3DE5" w:rsidRDefault="006A3DE5" w:rsidP="00F930CE">
            <w:pPr>
              <w:pStyle w:val="TabNoteSuperiori"/>
            </w:pPr>
            <w:r>
              <w:t>Fonte Istat</w:t>
            </w:r>
          </w:p>
        </w:tc>
      </w:tr>
    </w:tbl>
    <w:bookmarkEnd w:id="8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p w14:paraId="6DB6F60F" w14:textId="77777777" w:rsidR="00250494" w:rsidRDefault="00250494" w:rsidP="00250494"/>
    <w:p w14:paraId="7BAC2590" w14:textId="77777777" w:rsidR="00A13F9E" w:rsidRDefault="00A13F9E" w:rsidP="00A13F9E"/>
    <w:tbl>
      <w:tblPr>
        <w:tblStyle w:val="Grigliatabella"/>
        <w:tblpPr w:topFromText="284" w:horzAnchor="margin" w:tblpXSpec="center" w:tblpYSpec="bottom"/>
        <w:tblOverlap w:val="never"/>
        <w:tblW w:w="9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680"/>
        <w:gridCol w:w="228"/>
        <w:gridCol w:w="680"/>
        <w:gridCol w:w="228"/>
        <w:gridCol w:w="510"/>
        <w:gridCol w:w="397"/>
        <w:gridCol w:w="680"/>
        <w:gridCol w:w="228"/>
        <w:gridCol w:w="113"/>
        <w:gridCol w:w="680"/>
        <w:gridCol w:w="228"/>
        <w:gridCol w:w="680"/>
        <w:gridCol w:w="228"/>
        <w:gridCol w:w="510"/>
        <w:gridCol w:w="397"/>
        <w:gridCol w:w="680"/>
        <w:gridCol w:w="227"/>
      </w:tblGrid>
      <w:tr w:rsidR="006421AE" w14:paraId="69D145C0" w14:textId="77777777" w:rsidTr="006421AE">
        <w:trPr>
          <w:cantSplit/>
          <w:trHeight w:val="255"/>
        </w:trPr>
        <w:tc>
          <w:tcPr>
            <w:tcW w:w="9359" w:type="dxa"/>
            <w:gridSpan w:val="18"/>
            <w:tcBorders>
              <w:bottom w:val="single" w:sz="4" w:space="0" w:color="632423" w:themeColor="accent2" w:themeShade="80"/>
            </w:tcBorders>
            <w:noWrap/>
          </w:tcPr>
          <w:p w14:paraId="5F696840" w14:textId="77777777" w:rsidR="006421AE" w:rsidRDefault="006421AE" w:rsidP="006421AE">
            <w:pPr>
              <w:pStyle w:val="TabTitolo"/>
            </w:pPr>
            <w:bookmarkStart w:id="9" w:name="_Hlk95821701"/>
            <w:r>
              <w:t>L'economia italiana. Consuntivo e previsioni recenti, variazioni percentuali annue a prezzi costanti salvo diversa indicazione.</w:t>
            </w:r>
          </w:p>
        </w:tc>
      </w:tr>
      <w:tr w:rsidR="006421AE" w:rsidRPr="00C744DD" w14:paraId="6A1EDE7C" w14:textId="77777777" w:rsidTr="006421AE">
        <w:trPr>
          <w:cantSplit/>
          <w:trHeight w:val="255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14:paraId="1C6DC32C" w14:textId="77777777" w:rsidR="006421AE" w:rsidRPr="00C744DD" w:rsidRDefault="006421AE" w:rsidP="006421AE">
            <w:pPr>
              <w:pStyle w:val="TabIntestaSup"/>
            </w:pPr>
          </w:p>
        </w:tc>
        <w:tc>
          <w:tcPr>
            <w:tcW w:w="3631" w:type="dxa"/>
            <w:gridSpan w:val="8"/>
            <w:tcBorders>
              <w:top w:val="single" w:sz="4" w:space="0" w:color="632423" w:themeColor="accent2" w:themeShade="80"/>
            </w:tcBorders>
            <w:noWrap/>
          </w:tcPr>
          <w:p w14:paraId="39E54275" w14:textId="076DD1C5" w:rsidR="006421AE" w:rsidRPr="00C744DD" w:rsidRDefault="006421AE" w:rsidP="006421AE">
            <w:pPr>
              <w:pStyle w:val="TabIntestaSupBordo"/>
            </w:pPr>
            <w:r>
              <w:t xml:space="preserve">Stima </w:t>
            </w:r>
            <w:r w:rsidRPr="00C744DD">
              <w:t>20</w:t>
            </w:r>
            <w:r>
              <w:t>21</w:t>
            </w: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14:paraId="2B334352" w14:textId="77777777" w:rsidR="006421AE" w:rsidRPr="00C744DD" w:rsidRDefault="006421AE" w:rsidP="006421AE">
            <w:pPr>
              <w:pStyle w:val="TabIntestaSup"/>
            </w:pPr>
          </w:p>
        </w:tc>
        <w:tc>
          <w:tcPr>
            <w:tcW w:w="3630" w:type="dxa"/>
            <w:gridSpan w:val="8"/>
            <w:tcBorders>
              <w:top w:val="single" w:sz="4" w:space="0" w:color="632423" w:themeColor="accent2" w:themeShade="80"/>
            </w:tcBorders>
          </w:tcPr>
          <w:p w14:paraId="68AA58D5" w14:textId="16B1968A" w:rsidR="006421AE" w:rsidRPr="00C744DD" w:rsidRDefault="006421AE" w:rsidP="006421AE">
            <w:pPr>
              <w:pStyle w:val="TabIntestaSupBordo"/>
            </w:pPr>
            <w:r>
              <w:t>Previsioni 2022</w:t>
            </w:r>
          </w:p>
        </w:tc>
      </w:tr>
      <w:tr w:rsidR="006421AE" w:rsidRPr="00C744DD" w14:paraId="23619D21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3D4A2598" w14:textId="77777777" w:rsidR="006421AE" w:rsidRPr="00C744DD" w:rsidRDefault="006421AE" w:rsidP="006421AE">
            <w:pPr>
              <w:pStyle w:val="TabIntestaSup"/>
            </w:pPr>
          </w:p>
        </w:tc>
        <w:tc>
          <w:tcPr>
            <w:tcW w:w="908" w:type="dxa"/>
            <w:gridSpan w:val="2"/>
            <w:noWrap/>
          </w:tcPr>
          <w:p w14:paraId="60911D4C" w14:textId="482D16AA" w:rsidR="006421AE" w:rsidRPr="00C744DD" w:rsidRDefault="006421AE" w:rsidP="006421AE">
            <w:pPr>
              <w:pStyle w:val="TabIntestaSup"/>
            </w:pPr>
            <w:r w:rsidRPr="00080D72">
              <w:t>Ue</w:t>
            </w:r>
          </w:p>
        </w:tc>
        <w:tc>
          <w:tcPr>
            <w:tcW w:w="908" w:type="dxa"/>
            <w:gridSpan w:val="2"/>
            <w:noWrap/>
          </w:tcPr>
          <w:p w14:paraId="3A1DC7B9" w14:textId="05963CD0" w:rsidR="006421AE" w:rsidRPr="00C744DD" w:rsidRDefault="006421AE" w:rsidP="006421AE">
            <w:pPr>
              <w:pStyle w:val="TabIntestaSup"/>
            </w:pPr>
            <w:r w:rsidRPr="00080D72">
              <w:t>Ocse</w:t>
            </w:r>
          </w:p>
        </w:tc>
        <w:tc>
          <w:tcPr>
            <w:tcW w:w="907" w:type="dxa"/>
            <w:gridSpan w:val="2"/>
            <w:noWrap/>
          </w:tcPr>
          <w:p w14:paraId="2383D941" w14:textId="0CD841A3" w:rsidR="006421AE" w:rsidRPr="00C744DD" w:rsidRDefault="006421AE" w:rsidP="006421AE">
            <w:pPr>
              <w:pStyle w:val="TabIntestaSup"/>
            </w:pPr>
            <w:r w:rsidRPr="00080D72">
              <w:t>Prometeia</w:t>
            </w:r>
          </w:p>
        </w:tc>
        <w:tc>
          <w:tcPr>
            <w:tcW w:w="908" w:type="dxa"/>
            <w:gridSpan w:val="2"/>
            <w:noWrap/>
          </w:tcPr>
          <w:p w14:paraId="14324C50" w14:textId="77777777" w:rsidR="006421AE" w:rsidRPr="00C744DD" w:rsidRDefault="006421AE" w:rsidP="006421AE">
            <w:pPr>
              <w:pStyle w:val="TabIntestaSup"/>
            </w:pPr>
            <w:r>
              <w:t>Banca d’Italia</w:t>
            </w:r>
          </w:p>
        </w:tc>
        <w:tc>
          <w:tcPr>
            <w:tcW w:w="113" w:type="dxa"/>
            <w:noWrap/>
          </w:tcPr>
          <w:p w14:paraId="68A6474B" w14:textId="77777777" w:rsidR="006421AE" w:rsidRPr="00C744DD" w:rsidRDefault="006421AE" w:rsidP="006421AE">
            <w:pPr>
              <w:pStyle w:val="TabIntestaSup"/>
            </w:pPr>
          </w:p>
        </w:tc>
        <w:tc>
          <w:tcPr>
            <w:tcW w:w="908" w:type="dxa"/>
            <w:gridSpan w:val="2"/>
          </w:tcPr>
          <w:p w14:paraId="4E09E4DB" w14:textId="5C8C52DB" w:rsidR="006421AE" w:rsidRPr="00C744DD" w:rsidRDefault="006421AE" w:rsidP="006421AE">
            <w:pPr>
              <w:pStyle w:val="TabIntestaSup"/>
            </w:pPr>
            <w:r w:rsidRPr="00080D72">
              <w:t>Ue</w:t>
            </w:r>
          </w:p>
        </w:tc>
        <w:tc>
          <w:tcPr>
            <w:tcW w:w="908" w:type="dxa"/>
            <w:gridSpan w:val="2"/>
            <w:noWrap/>
          </w:tcPr>
          <w:p w14:paraId="6C9D92E0" w14:textId="377D25AB" w:rsidR="006421AE" w:rsidRPr="00C744DD" w:rsidRDefault="006421AE" w:rsidP="006421AE">
            <w:pPr>
              <w:pStyle w:val="TabIntestaSup"/>
            </w:pPr>
            <w:r w:rsidRPr="00080D72">
              <w:t>Ocse</w:t>
            </w:r>
          </w:p>
        </w:tc>
        <w:tc>
          <w:tcPr>
            <w:tcW w:w="907" w:type="dxa"/>
            <w:gridSpan w:val="2"/>
            <w:noWrap/>
          </w:tcPr>
          <w:p w14:paraId="74189C19" w14:textId="3F332B59" w:rsidR="006421AE" w:rsidRPr="00C744DD" w:rsidRDefault="006421AE" w:rsidP="006421AE">
            <w:pPr>
              <w:pStyle w:val="TabIntestaSup"/>
            </w:pPr>
            <w:r w:rsidRPr="00080D72">
              <w:t>Prometeia</w:t>
            </w:r>
          </w:p>
        </w:tc>
        <w:tc>
          <w:tcPr>
            <w:tcW w:w="907" w:type="dxa"/>
            <w:gridSpan w:val="2"/>
            <w:noWrap/>
          </w:tcPr>
          <w:p w14:paraId="6F296DAE" w14:textId="77777777" w:rsidR="006421AE" w:rsidRPr="00C744DD" w:rsidRDefault="006421AE" w:rsidP="006421AE">
            <w:pPr>
              <w:pStyle w:val="TabIntestaSup"/>
            </w:pPr>
            <w:r>
              <w:t>Banca d’Italia</w:t>
            </w:r>
          </w:p>
        </w:tc>
      </w:tr>
      <w:tr w:rsidR="006421AE" w14:paraId="36AF548D" w14:textId="77777777" w:rsidTr="006421AE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noWrap/>
          </w:tcPr>
          <w:p w14:paraId="72D5CAA2" w14:textId="77777777" w:rsidR="006421AE" w:rsidRDefault="006421AE" w:rsidP="006421AE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0ECBAC47" w14:textId="395F67A0" w:rsidR="006421AE" w:rsidRDefault="006421AE" w:rsidP="006421AE">
            <w:pPr>
              <w:pStyle w:val="TabIntestaInf"/>
            </w:pPr>
            <w:r w:rsidRPr="00080D72">
              <w:t>nov-21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369CEA59" w14:textId="42759FCD" w:rsidR="006421AE" w:rsidRDefault="006421AE" w:rsidP="006421AE">
            <w:pPr>
              <w:pStyle w:val="TabIntestaInf"/>
            </w:pPr>
            <w:r w:rsidRPr="00080D72">
              <w:t>dic-21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3CD727E8" w14:textId="1544C789" w:rsidR="006421AE" w:rsidRDefault="006421AE" w:rsidP="006421AE">
            <w:pPr>
              <w:pStyle w:val="TabIntestaInf"/>
            </w:pPr>
            <w:r w:rsidRPr="00080D72">
              <w:t>dic-21 [1]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2522C560" w14:textId="729E43B5" w:rsidR="006421AE" w:rsidRDefault="006421AE" w:rsidP="006421AE">
            <w:pPr>
              <w:pStyle w:val="TabIntestaInf"/>
            </w:pPr>
            <w:r>
              <w:t>gen-22 [1]</w:t>
            </w: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noWrap/>
          </w:tcPr>
          <w:p w14:paraId="41FAC266" w14:textId="77777777" w:rsidR="006421AE" w:rsidRDefault="006421AE" w:rsidP="006421AE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</w:tcPr>
          <w:p w14:paraId="4C00AAAE" w14:textId="5323CB53" w:rsidR="006421AE" w:rsidRDefault="006421AE" w:rsidP="006421AE">
            <w:pPr>
              <w:pStyle w:val="TabIntestaInf"/>
            </w:pPr>
            <w:r w:rsidRPr="00080D72">
              <w:t>nov-21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50A0B711" w14:textId="609BA2A1" w:rsidR="006421AE" w:rsidRDefault="006421AE" w:rsidP="006421AE">
            <w:pPr>
              <w:pStyle w:val="TabIntestaInf"/>
            </w:pPr>
            <w:r w:rsidRPr="00080D72">
              <w:t>dic-21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409BE98F" w14:textId="15591634" w:rsidR="006421AE" w:rsidRDefault="006421AE" w:rsidP="006421AE">
            <w:pPr>
              <w:pStyle w:val="TabIntestaInf"/>
            </w:pPr>
            <w:r w:rsidRPr="00080D72">
              <w:t>dic-21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14:paraId="385BD962" w14:textId="4040A4F1" w:rsidR="006421AE" w:rsidRDefault="006421AE" w:rsidP="006421AE">
            <w:pPr>
              <w:pStyle w:val="TabIntestaInf"/>
            </w:pPr>
            <w:r>
              <w:t>gen-22 [1]</w:t>
            </w:r>
          </w:p>
        </w:tc>
      </w:tr>
      <w:tr w:rsidR="006421AE" w14:paraId="7A5F02BD" w14:textId="77777777" w:rsidTr="006421AE">
        <w:trPr>
          <w:cantSplit/>
          <w:trHeight w:hRule="exact" w:val="113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14:paraId="7F4B77CA" w14:textId="77777777" w:rsidR="006421AE" w:rsidRDefault="006421AE" w:rsidP="006421AE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0D3F8708" w14:textId="77777777" w:rsidR="006421AE" w:rsidRDefault="006421AE" w:rsidP="006421A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592C011E" w14:textId="77777777" w:rsidR="006421AE" w:rsidRDefault="006421AE" w:rsidP="006421AE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0833B31E" w14:textId="77777777" w:rsidR="006421AE" w:rsidRDefault="006421AE" w:rsidP="006421A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426B49DC" w14:textId="77777777" w:rsidR="006421AE" w:rsidRDefault="006421AE" w:rsidP="006421AE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28FD4D19" w14:textId="77777777" w:rsidR="006421AE" w:rsidRDefault="006421AE" w:rsidP="006421AE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14:paraId="18837933" w14:textId="77777777" w:rsidR="006421AE" w:rsidRDefault="006421AE" w:rsidP="006421AE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06CD4716" w14:textId="77777777" w:rsidR="006421AE" w:rsidRDefault="006421AE" w:rsidP="006421A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</w:tcPr>
          <w:p w14:paraId="0C2CDB41" w14:textId="77777777" w:rsidR="006421AE" w:rsidRPr="00B64650" w:rsidRDefault="006421AE" w:rsidP="006421AE">
            <w:pPr>
              <w:pStyle w:val="TabNumeri"/>
            </w:pP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14:paraId="2FE4124C" w14:textId="77777777" w:rsidR="006421AE" w:rsidRDefault="006421AE" w:rsidP="006421AE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</w:tcPr>
          <w:p w14:paraId="5B9EC49A" w14:textId="77777777" w:rsidR="006421AE" w:rsidRDefault="006421AE" w:rsidP="006421A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74E91D5C" w14:textId="77777777" w:rsidR="006421AE" w:rsidRDefault="006421AE" w:rsidP="006421AE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2E185553" w14:textId="77777777" w:rsidR="006421AE" w:rsidRDefault="006421AE" w:rsidP="006421AE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14:paraId="768E1137" w14:textId="77777777" w:rsidR="006421AE" w:rsidRDefault="006421AE" w:rsidP="006421AE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4337506F" w14:textId="77777777" w:rsidR="006421AE" w:rsidRDefault="006421AE" w:rsidP="006421AE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14:paraId="3C158A11" w14:textId="77777777" w:rsidR="006421AE" w:rsidRDefault="006421AE" w:rsidP="006421AE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14:paraId="215E7C8E" w14:textId="77777777" w:rsidR="006421AE" w:rsidRDefault="006421AE" w:rsidP="006421AE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</w:tcBorders>
            <w:noWrap/>
          </w:tcPr>
          <w:p w14:paraId="40DD06E9" w14:textId="77777777" w:rsidR="006421AE" w:rsidRDefault="006421AE" w:rsidP="006421AE">
            <w:pPr>
              <w:pStyle w:val="TabNumeri"/>
            </w:pPr>
          </w:p>
        </w:tc>
      </w:tr>
      <w:tr w:rsidR="006421AE" w14:paraId="4AC27711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29F914A8" w14:textId="77777777" w:rsidR="006421AE" w:rsidRPr="00233F5C" w:rsidRDefault="006421AE" w:rsidP="006421AE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680" w:type="dxa"/>
            <w:noWrap/>
          </w:tcPr>
          <w:p w14:paraId="539A3E95" w14:textId="4163B7EE" w:rsidR="006421AE" w:rsidRPr="00F86988" w:rsidRDefault="006421AE" w:rsidP="006421AE">
            <w:pPr>
              <w:pStyle w:val="TabNumeri"/>
            </w:pPr>
            <w:r w:rsidRPr="00080D72">
              <w:t>6,2</w:t>
            </w:r>
          </w:p>
        </w:tc>
        <w:tc>
          <w:tcPr>
            <w:tcW w:w="228" w:type="dxa"/>
            <w:noWrap/>
          </w:tcPr>
          <w:p w14:paraId="5F5FB3E4" w14:textId="77777777" w:rsidR="006421AE" w:rsidRPr="00B64650" w:rsidRDefault="006421AE" w:rsidP="006421AE">
            <w:pPr>
              <w:pStyle w:val="TabNumeri"/>
            </w:pPr>
          </w:p>
        </w:tc>
        <w:tc>
          <w:tcPr>
            <w:tcW w:w="680" w:type="dxa"/>
            <w:noWrap/>
          </w:tcPr>
          <w:p w14:paraId="758522E4" w14:textId="2C3A8FB8" w:rsidR="006421AE" w:rsidRPr="00D65A6F" w:rsidRDefault="006421AE" w:rsidP="006421AE">
            <w:pPr>
              <w:pStyle w:val="TabNumeri"/>
            </w:pPr>
            <w:r w:rsidRPr="00080D72">
              <w:t>6,3</w:t>
            </w:r>
          </w:p>
        </w:tc>
        <w:tc>
          <w:tcPr>
            <w:tcW w:w="228" w:type="dxa"/>
            <w:noWrap/>
          </w:tcPr>
          <w:p w14:paraId="0F9888B5" w14:textId="77777777" w:rsidR="006421AE" w:rsidRPr="00C32B54" w:rsidRDefault="006421AE" w:rsidP="006421AE">
            <w:pPr>
              <w:pStyle w:val="TabNumeri"/>
            </w:pPr>
          </w:p>
        </w:tc>
        <w:tc>
          <w:tcPr>
            <w:tcW w:w="510" w:type="dxa"/>
            <w:noWrap/>
          </w:tcPr>
          <w:p w14:paraId="69C12F3D" w14:textId="1AA30557" w:rsidR="006421AE" w:rsidRPr="00904DA8" w:rsidRDefault="006421AE" w:rsidP="006421AE">
            <w:pPr>
              <w:pStyle w:val="TabNumeri"/>
            </w:pPr>
            <w:r w:rsidRPr="00080D72">
              <w:t>6,3</w:t>
            </w:r>
          </w:p>
        </w:tc>
        <w:tc>
          <w:tcPr>
            <w:tcW w:w="397" w:type="dxa"/>
            <w:noWrap/>
          </w:tcPr>
          <w:p w14:paraId="333E2CCC" w14:textId="7B10AADA" w:rsidR="006421AE" w:rsidRPr="00904DA8" w:rsidRDefault="006421AE" w:rsidP="006421AE">
            <w:pPr>
              <w:pStyle w:val="TabNumeri"/>
            </w:pPr>
          </w:p>
        </w:tc>
        <w:tc>
          <w:tcPr>
            <w:tcW w:w="680" w:type="dxa"/>
            <w:noWrap/>
          </w:tcPr>
          <w:p w14:paraId="73496EB0" w14:textId="2705244E" w:rsidR="006421AE" w:rsidRPr="003C782D" w:rsidRDefault="00BC5249" w:rsidP="006421AE">
            <w:pPr>
              <w:pStyle w:val="TabNumeri"/>
            </w:pPr>
            <w:r>
              <w:t>6,3</w:t>
            </w:r>
          </w:p>
        </w:tc>
        <w:tc>
          <w:tcPr>
            <w:tcW w:w="228" w:type="dxa"/>
          </w:tcPr>
          <w:p w14:paraId="63285B4F" w14:textId="77777777" w:rsidR="006421AE" w:rsidRPr="00AA375C" w:rsidRDefault="006421AE" w:rsidP="006421AE">
            <w:pPr>
              <w:pStyle w:val="TabNumeri"/>
            </w:pPr>
          </w:p>
        </w:tc>
        <w:tc>
          <w:tcPr>
            <w:tcW w:w="113" w:type="dxa"/>
            <w:noWrap/>
          </w:tcPr>
          <w:p w14:paraId="1E43CBD4" w14:textId="77777777" w:rsidR="006421AE" w:rsidRPr="00B64650" w:rsidRDefault="006421AE" w:rsidP="006421AE">
            <w:pPr>
              <w:pStyle w:val="TabNumeri"/>
            </w:pPr>
          </w:p>
        </w:tc>
        <w:tc>
          <w:tcPr>
            <w:tcW w:w="680" w:type="dxa"/>
          </w:tcPr>
          <w:p w14:paraId="29EF4D99" w14:textId="4049FE28" w:rsidR="006421AE" w:rsidRPr="009E61ED" w:rsidRDefault="006421AE" w:rsidP="006421AE">
            <w:pPr>
              <w:pStyle w:val="TabNumeri"/>
            </w:pPr>
            <w:r w:rsidRPr="00080D72">
              <w:t>4,3</w:t>
            </w:r>
          </w:p>
        </w:tc>
        <w:tc>
          <w:tcPr>
            <w:tcW w:w="228" w:type="dxa"/>
            <w:noWrap/>
          </w:tcPr>
          <w:p w14:paraId="5C80A84B" w14:textId="77777777" w:rsidR="006421AE" w:rsidRPr="00811B57" w:rsidRDefault="006421AE" w:rsidP="006421AE">
            <w:pPr>
              <w:pStyle w:val="TabNumeri"/>
            </w:pPr>
          </w:p>
        </w:tc>
        <w:tc>
          <w:tcPr>
            <w:tcW w:w="680" w:type="dxa"/>
            <w:noWrap/>
          </w:tcPr>
          <w:p w14:paraId="4EC52A8C" w14:textId="58A21FB1" w:rsidR="006421AE" w:rsidRPr="00A27A0A" w:rsidRDefault="006421AE" w:rsidP="006421AE">
            <w:pPr>
              <w:pStyle w:val="TabNumeri"/>
            </w:pPr>
            <w:r w:rsidRPr="00080D72">
              <w:t>4,6</w:t>
            </w:r>
          </w:p>
        </w:tc>
        <w:tc>
          <w:tcPr>
            <w:tcW w:w="228" w:type="dxa"/>
            <w:noWrap/>
          </w:tcPr>
          <w:p w14:paraId="7CFE2CE0" w14:textId="77777777" w:rsidR="006421AE" w:rsidRPr="00DC6642" w:rsidRDefault="006421AE" w:rsidP="006421AE">
            <w:pPr>
              <w:pStyle w:val="TabNumeri"/>
            </w:pPr>
          </w:p>
        </w:tc>
        <w:tc>
          <w:tcPr>
            <w:tcW w:w="510" w:type="dxa"/>
            <w:noWrap/>
          </w:tcPr>
          <w:p w14:paraId="3E0C7C6B" w14:textId="3CF80948" w:rsidR="006421AE" w:rsidRPr="00986A4F" w:rsidRDefault="006421AE" w:rsidP="006421AE">
            <w:pPr>
              <w:pStyle w:val="TabNumeri"/>
            </w:pPr>
            <w:r w:rsidRPr="00080D72">
              <w:t>4,0</w:t>
            </w:r>
          </w:p>
        </w:tc>
        <w:tc>
          <w:tcPr>
            <w:tcW w:w="397" w:type="dxa"/>
            <w:noWrap/>
          </w:tcPr>
          <w:p w14:paraId="000DF635" w14:textId="1288DD4F" w:rsidR="006421AE" w:rsidRPr="00986A4F" w:rsidRDefault="006421AE" w:rsidP="006421AE">
            <w:pPr>
              <w:pStyle w:val="TabNumeri"/>
            </w:pPr>
          </w:p>
        </w:tc>
        <w:tc>
          <w:tcPr>
            <w:tcW w:w="680" w:type="dxa"/>
            <w:noWrap/>
          </w:tcPr>
          <w:p w14:paraId="32AB00DC" w14:textId="0CEC39BC" w:rsidR="006421AE" w:rsidRPr="00413582" w:rsidRDefault="003241E2" w:rsidP="006421AE">
            <w:pPr>
              <w:pStyle w:val="TabNumeri"/>
            </w:pPr>
            <w:r>
              <w:t>3,8</w:t>
            </w:r>
          </w:p>
        </w:tc>
        <w:tc>
          <w:tcPr>
            <w:tcW w:w="227" w:type="dxa"/>
            <w:noWrap/>
          </w:tcPr>
          <w:p w14:paraId="654CB4D7" w14:textId="77777777" w:rsidR="006421AE" w:rsidRPr="00A319C0" w:rsidRDefault="006421AE" w:rsidP="006421AE">
            <w:pPr>
              <w:pStyle w:val="TabNumeri"/>
            </w:pPr>
          </w:p>
        </w:tc>
      </w:tr>
      <w:tr w:rsidR="006421AE" w14:paraId="4D5A4CF3" w14:textId="77777777" w:rsidTr="006421AE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215EB4A6" w14:textId="77777777" w:rsidR="006421AE" w:rsidRPr="00233F5C" w:rsidRDefault="006421AE" w:rsidP="006421AE">
            <w:pPr>
              <w:pStyle w:val="TabEtichette"/>
            </w:pPr>
            <w:r w:rsidRPr="00233F5C">
              <w:t>Importazioni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945063E" w14:textId="03037288" w:rsidR="006421AE" w:rsidRPr="00F86988" w:rsidRDefault="006421AE" w:rsidP="006421AE">
            <w:pPr>
              <w:pStyle w:val="TabNumeri"/>
            </w:pPr>
            <w:r w:rsidRPr="00080D72">
              <w:t>13,7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80D4C5D" w14:textId="77777777" w:rsidR="006421AE" w:rsidRPr="00B64650" w:rsidRDefault="006421AE" w:rsidP="006421AE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13795CE" w14:textId="54F2A252" w:rsidR="006421AE" w:rsidRPr="00D65A6F" w:rsidRDefault="006421AE" w:rsidP="006421AE">
            <w:pPr>
              <w:pStyle w:val="TabNumeri"/>
            </w:pPr>
            <w:r w:rsidRPr="00080D72">
              <w:t>13,9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C7AC9CA" w14:textId="77777777" w:rsidR="006421AE" w:rsidRPr="00C32B54" w:rsidRDefault="006421AE" w:rsidP="006421AE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D9C2EF0" w14:textId="609F5AA4" w:rsidR="006421AE" w:rsidRPr="00904DA8" w:rsidRDefault="006421AE" w:rsidP="006421AE">
            <w:pPr>
              <w:pStyle w:val="TabNumeri"/>
            </w:pPr>
            <w:r w:rsidRPr="00080D72">
              <w:t>13,5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7BC17DE2" w14:textId="5C6534FF" w:rsidR="006421AE" w:rsidRPr="00904DA8" w:rsidRDefault="006421AE" w:rsidP="006421AE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90738FE" w14:textId="41922078" w:rsidR="006421AE" w:rsidRPr="003C782D" w:rsidRDefault="00BC5249" w:rsidP="006421AE">
            <w:pPr>
              <w:pStyle w:val="TabNumeri"/>
            </w:pPr>
            <w:r>
              <w:t>12,7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352245B6" w14:textId="77777777" w:rsidR="006421AE" w:rsidRPr="00AA375C" w:rsidRDefault="006421AE" w:rsidP="006421AE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7ED91DFF" w14:textId="77777777" w:rsidR="006421AE" w:rsidRPr="00B64650" w:rsidRDefault="006421AE" w:rsidP="006421AE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6A60B965" w14:textId="15B03926" w:rsidR="006421AE" w:rsidRPr="009E61ED" w:rsidRDefault="006421AE" w:rsidP="006421AE">
            <w:pPr>
              <w:pStyle w:val="TabNumeri"/>
            </w:pPr>
            <w:r w:rsidRPr="00080D72">
              <w:t>8,5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BB537FA" w14:textId="77777777" w:rsidR="006421AE" w:rsidRPr="00811B57" w:rsidRDefault="006421AE" w:rsidP="006421AE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23134F6" w14:textId="5535E251" w:rsidR="006421AE" w:rsidRPr="00A27A0A" w:rsidRDefault="006421AE" w:rsidP="006421AE">
            <w:pPr>
              <w:pStyle w:val="TabNumeri"/>
            </w:pPr>
            <w:r w:rsidRPr="00080D72">
              <w:t>6,4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4C96B42" w14:textId="77777777" w:rsidR="006421AE" w:rsidRPr="00DC6642" w:rsidRDefault="006421AE" w:rsidP="006421AE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E2464B2" w14:textId="7856E10D" w:rsidR="006421AE" w:rsidRPr="00986A4F" w:rsidRDefault="006421AE" w:rsidP="006421AE">
            <w:pPr>
              <w:pStyle w:val="TabNumeri"/>
            </w:pPr>
            <w:r w:rsidRPr="00080D72">
              <w:t>9,3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1537D077" w14:textId="38049B52" w:rsidR="006421AE" w:rsidRPr="00986A4F" w:rsidRDefault="006421AE" w:rsidP="006421AE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94529DE" w14:textId="5D7F2D44" w:rsidR="006421AE" w:rsidRPr="00413582" w:rsidRDefault="003241E2" w:rsidP="006421AE">
            <w:pPr>
              <w:pStyle w:val="TabNumeri"/>
            </w:pPr>
            <w:r>
              <w:t>5,1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D63EBD0" w14:textId="77777777" w:rsidR="006421AE" w:rsidRPr="00A319C0" w:rsidRDefault="006421AE" w:rsidP="006421AE">
            <w:pPr>
              <w:pStyle w:val="TabNumeri"/>
            </w:pPr>
          </w:p>
        </w:tc>
      </w:tr>
      <w:tr w:rsidR="00BC5249" w14:paraId="6299EB68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1C46DD92" w14:textId="77777777" w:rsidR="00BC5249" w:rsidRPr="00233F5C" w:rsidRDefault="00BC5249" w:rsidP="00BC5249">
            <w:pPr>
              <w:pStyle w:val="TabEtichette"/>
            </w:pPr>
            <w:r w:rsidRPr="00233F5C">
              <w:t>Esportazioni</w:t>
            </w:r>
          </w:p>
        </w:tc>
        <w:tc>
          <w:tcPr>
            <w:tcW w:w="680" w:type="dxa"/>
            <w:noWrap/>
          </w:tcPr>
          <w:p w14:paraId="65AEF4F7" w14:textId="20785766" w:rsidR="00BC5249" w:rsidRPr="00F86988" w:rsidRDefault="00BC5249" w:rsidP="00BC5249">
            <w:pPr>
              <w:pStyle w:val="TabNumeri"/>
            </w:pPr>
            <w:r w:rsidRPr="00080D72">
              <w:t>12,8</w:t>
            </w:r>
          </w:p>
        </w:tc>
        <w:tc>
          <w:tcPr>
            <w:tcW w:w="228" w:type="dxa"/>
            <w:noWrap/>
          </w:tcPr>
          <w:p w14:paraId="03F89A26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733E654A" w14:textId="5E594C53" w:rsidR="00BC5249" w:rsidRPr="00D65A6F" w:rsidRDefault="00BC5249" w:rsidP="00BC5249">
            <w:pPr>
              <w:pStyle w:val="TabNumeri"/>
            </w:pPr>
            <w:r w:rsidRPr="00080D72">
              <w:t>12,7</w:t>
            </w:r>
          </w:p>
        </w:tc>
        <w:tc>
          <w:tcPr>
            <w:tcW w:w="228" w:type="dxa"/>
            <w:noWrap/>
          </w:tcPr>
          <w:p w14:paraId="3BC0BEA5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6C5E9608" w14:textId="6929362D" w:rsidR="00BC5249" w:rsidRPr="00904DA8" w:rsidRDefault="00BC5249" w:rsidP="00BC5249">
            <w:pPr>
              <w:pStyle w:val="TabNumeri"/>
            </w:pPr>
            <w:r w:rsidRPr="00080D72">
              <w:t>12,7</w:t>
            </w:r>
          </w:p>
        </w:tc>
        <w:tc>
          <w:tcPr>
            <w:tcW w:w="397" w:type="dxa"/>
            <w:noWrap/>
          </w:tcPr>
          <w:p w14:paraId="03AEA5CC" w14:textId="6D105009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5E1B445F" w14:textId="1D5D2613" w:rsidR="00BC5249" w:rsidRPr="003C782D" w:rsidRDefault="00BC5249" w:rsidP="00BC5249">
            <w:pPr>
              <w:pStyle w:val="TabNumeri"/>
            </w:pPr>
            <w:r>
              <w:t>12,4</w:t>
            </w:r>
          </w:p>
        </w:tc>
        <w:tc>
          <w:tcPr>
            <w:tcW w:w="228" w:type="dxa"/>
          </w:tcPr>
          <w:p w14:paraId="571AD25E" w14:textId="2698C88D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noWrap/>
          </w:tcPr>
          <w:p w14:paraId="3B054288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</w:tcPr>
          <w:p w14:paraId="53D621D7" w14:textId="3493E706" w:rsidR="00BC5249" w:rsidRPr="009E61ED" w:rsidRDefault="00BC5249" w:rsidP="00BC5249">
            <w:pPr>
              <w:pStyle w:val="TabNumeri"/>
            </w:pPr>
            <w:r w:rsidRPr="00080D72">
              <w:t>7,5</w:t>
            </w:r>
          </w:p>
        </w:tc>
        <w:tc>
          <w:tcPr>
            <w:tcW w:w="228" w:type="dxa"/>
            <w:noWrap/>
          </w:tcPr>
          <w:p w14:paraId="58DD050E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3217BCA8" w14:textId="4C48EFB6" w:rsidR="00BC5249" w:rsidRPr="00A27A0A" w:rsidRDefault="00BC5249" w:rsidP="00BC5249">
            <w:pPr>
              <w:pStyle w:val="TabNumeri"/>
            </w:pPr>
            <w:r w:rsidRPr="00080D72">
              <w:t>6,9</w:t>
            </w:r>
          </w:p>
        </w:tc>
        <w:tc>
          <w:tcPr>
            <w:tcW w:w="228" w:type="dxa"/>
            <w:noWrap/>
          </w:tcPr>
          <w:p w14:paraId="53AD5950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3C483B90" w14:textId="7E0F5BE9" w:rsidR="00BC5249" w:rsidRPr="00986A4F" w:rsidRDefault="00BC5249" w:rsidP="00BC5249">
            <w:pPr>
              <w:pStyle w:val="TabNumeri"/>
            </w:pPr>
            <w:r w:rsidRPr="00080D72">
              <w:t>7,6</w:t>
            </w:r>
          </w:p>
        </w:tc>
        <w:tc>
          <w:tcPr>
            <w:tcW w:w="397" w:type="dxa"/>
            <w:noWrap/>
          </w:tcPr>
          <w:p w14:paraId="3A21D390" w14:textId="2E45FCFF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3EBE0365" w14:textId="6B8BF5BD" w:rsidR="00BC5249" w:rsidRPr="00413582" w:rsidRDefault="003241E2" w:rsidP="00BC5249">
            <w:pPr>
              <w:pStyle w:val="TabNumeri"/>
            </w:pPr>
            <w:r>
              <w:t>4,8</w:t>
            </w:r>
          </w:p>
        </w:tc>
        <w:tc>
          <w:tcPr>
            <w:tcW w:w="227" w:type="dxa"/>
            <w:noWrap/>
          </w:tcPr>
          <w:p w14:paraId="1A95097E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14EDF1F0" w14:textId="77777777" w:rsidTr="006421AE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45E8DD4E" w14:textId="77777777" w:rsidR="00BC5249" w:rsidRPr="00233F5C" w:rsidRDefault="00BC5249" w:rsidP="00BC5249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17EE217" w14:textId="6A453CEA" w:rsidR="00BC5249" w:rsidRPr="00F86988" w:rsidRDefault="00BC5249" w:rsidP="00BC5249">
            <w:pPr>
              <w:pStyle w:val="TabNumeri"/>
            </w:pPr>
            <w:r w:rsidRPr="00080D72">
              <w:t>6,2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BB43D49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C9FE472" w14:textId="6B668414" w:rsidR="00BC5249" w:rsidRPr="00D65A6F" w:rsidRDefault="00BC5249" w:rsidP="00BC5249">
            <w:pPr>
              <w:pStyle w:val="TabNumeri"/>
            </w:pPr>
            <w:r w:rsidRPr="00080D72">
              <w:t>6,4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D0BDBD3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4AFD3BDE" w14:textId="4AF9FF89" w:rsidR="00BC5249" w:rsidRPr="00904DA8" w:rsidRDefault="00BC5249" w:rsidP="00BC5249">
            <w:pPr>
              <w:pStyle w:val="TabNumeri"/>
            </w:pPr>
            <w:r w:rsidRPr="00080D72">
              <w:t>6,4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6FEE8432" w14:textId="73CD067B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C52561F" w14:textId="77777777" w:rsidR="00BC5249" w:rsidRPr="003C782D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14:paraId="6DBEA2B9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45758DA4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49C79EED" w14:textId="11B22C89" w:rsidR="00BC5249" w:rsidRPr="009E61ED" w:rsidRDefault="00BC5249" w:rsidP="00BC5249">
            <w:pPr>
              <w:pStyle w:val="TabNumeri"/>
            </w:pPr>
            <w:r w:rsidRPr="00080D72">
              <w:t>4,5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A28B57B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6C6D8D1" w14:textId="284B3D8F" w:rsidR="00BC5249" w:rsidRPr="00A27A0A" w:rsidRDefault="00BC5249" w:rsidP="00BC5249">
            <w:pPr>
              <w:pStyle w:val="TabNumeri"/>
            </w:pPr>
            <w:r w:rsidRPr="00080D72">
              <w:t>4,4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578BF6A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24541828" w14:textId="3F394793" w:rsidR="00BC5249" w:rsidRPr="00986A4F" w:rsidRDefault="00BC5249" w:rsidP="00BC5249">
            <w:pPr>
              <w:pStyle w:val="TabNumeri"/>
            </w:pPr>
            <w:r w:rsidRPr="00080D72">
              <w:t>4,4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492F776B" w14:textId="137B95EA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D052940" w14:textId="77777777" w:rsidR="00BC5249" w:rsidRPr="00413582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A0C4CE0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55C48DCC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07673F62" w14:textId="77777777" w:rsidR="00BC5249" w:rsidRPr="00233F5C" w:rsidRDefault="00BC5249" w:rsidP="00BC5249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680" w:type="dxa"/>
            <w:noWrap/>
          </w:tcPr>
          <w:p w14:paraId="1EF7591D" w14:textId="5F78AEB3" w:rsidR="00BC5249" w:rsidRPr="00F86988" w:rsidRDefault="00BC5249" w:rsidP="00BC5249">
            <w:pPr>
              <w:pStyle w:val="TabNumeri"/>
            </w:pPr>
            <w:r w:rsidRPr="00080D72">
              <w:t>5,3</w:t>
            </w:r>
          </w:p>
        </w:tc>
        <w:tc>
          <w:tcPr>
            <w:tcW w:w="228" w:type="dxa"/>
            <w:noWrap/>
          </w:tcPr>
          <w:p w14:paraId="12225E18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4B8066CE" w14:textId="3D0B482C" w:rsidR="00BC5249" w:rsidRPr="00D65A6F" w:rsidRDefault="00BC5249" w:rsidP="00BC5249">
            <w:pPr>
              <w:pStyle w:val="TabNumeri"/>
            </w:pPr>
            <w:r w:rsidRPr="00080D72">
              <w:t>5,5</w:t>
            </w:r>
          </w:p>
        </w:tc>
        <w:tc>
          <w:tcPr>
            <w:tcW w:w="228" w:type="dxa"/>
            <w:noWrap/>
          </w:tcPr>
          <w:p w14:paraId="17F4CD7F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257C40C1" w14:textId="4F4AD6B6" w:rsidR="00BC5249" w:rsidRPr="00904DA8" w:rsidRDefault="00BC5249" w:rsidP="00BC5249">
            <w:pPr>
              <w:pStyle w:val="TabNumeri"/>
            </w:pPr>
            <w:r w:rsidRPr="00080D72">
              <w:t>5,2</w:t>
            </w:r>
          </w:p>
        </w:tc>
        <w:tc>
          <w:tcPr>
            <w:tcW w:w="397" w:type="dxa"/>
            <w:noWrap/>
          </w:tcPr>
          <w:p w14:paraId="2ACCE7C2" w14:textId="051BD844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11E3C76F" w14:textId="089CB130" w:rsidR="00BC5249" w:rsidRPr="003C782D" w:rsidRDefault="003241E2" w:rsidP="00BC5249">
            <w:pPr>
              <w:pStyle w:val="TabNumeri"/>
            </w:pPr>
            <w:r>
              <w:t>5,1</w:t>
            </w:r>
          </w:p>
        </w:tc>
        <w:tc>
          <w:tcPr>
            <w:tcW w:w="228" w:type="dxa"/>
          </w:tcPr>
          <w:p w14:paraId="6A66AB83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noWrap/>
          </w:tcPr>
          <w:p w14:paraId="7FCEB7A6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</w:tcPr>
          <w:p w14:paraId="38684D32" w14:textId="4A634C23" w:rsidR="00BC5249" w:rsidRPr="009E61ED" w:rsidRDefault="00BC5249" w:rsidP="00BC5249">
            <w:pPr>
              <w:pStyle w:val="TabNumeri"/>
            </w:pPr>
            <w:r w:rsidRPr="00080D72">
              <w:t>4,8</w:t>
            </w:r>
          </w:p>
        </w:tc>
        <w:tc>
          <w:tcPr>
            <w:tcW w:w="228" w:type="dxa"/>
            <w:noWrap/>
          </w:tcPr>
          <w:p w14:paraId="1466549A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34C85ED4" w14:textId="0A1E2B5C" w:rsidR="00BC5249" w:rsidRPr="00A27A0A" w:rsidRDefault="00BC5249" w:rsidP="00BC5249">
            <w:pPr>
              <w:pStyle w:val="TabNumeri"/>
            </w:pPr>
            <w:r w:rsidRPr="00080D72">
              <w:t>4,7</w:t>
            </w:r>
          </w:p>
        </w:tc>
        <w:tc>
          <w:tcPr>
            <w:tcW w:w="228" w:type="dxa"/>
            <w:noWrap/>
          </w:tcPr>
          <w:p w14:paraId="05EABE6A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1997A25B" w14:textId="2CE78C46" w:rsidR="00BC5249" w:rsidRPr="00986A4F" w:rsidRDefault="00BC5249" w:rsidP="00BC5249">
            <w:pPr>
              <w:pStyle w:val="TabNumeri"/>
            </w:pPr>
            <w:r w:rsidRPr="00080D72">
              <w:t>4,3</w:t>
            </w:r>
          </w:p>
        </w:tc>
        <w:tc>
          <w:tcPr>
            <w:tcW w:w="397" w:type="dxa"/>
            <w:noWrap/>
          </w:tcPr>
          <w:p w14:paraId="693C3939" w14:textId="49FD2568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466C3A71" w14:textId="6A1BA169" w:rsidR="00BC5249" w:rsidRPr="00413582" w:rsidRDefault="003241E2" w:rsidP="00BC5249">
            <w:pPr>
              <w:pStyle w:val="TabNumeri"/>
            </w:pPr>
            <w:r>
              <w:t>4,4</w:t>
            </w:r>
          </w:p>
        </w:tc>
        <w:tc>
          <w:tcPr>
            <w:tcW w:w="227" w:type="dxa"/>
            <w:noWrap/>
          </w:tcPr>
          <w:p w14:paraId="410AC8C2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0DFE9C3E" w14:textId="77777777" w:rsidTr="006421AE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7080A459" w14:textId="77777777" w:rsidR="00BC5249" w:rsidRPr="00233F5C" w:rsidRDefault="00BC5249" w:rsidP="00BC5249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122DD0FD" w14:textId="1177438D" w:rsidR="00BC5249" w:rsidRPr="00F86988" w:rsidRDefault="00BC5249" w:rsidP="00BC5249">
            <w:pPr>
              <w:pStyle w:val="TabNumeri"/>
            </w:pPr>
            <w:r w:rsidRPr="00080D72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2B727B2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77A8A77" w14:textId="3BC226AD" w:rsidR="00BC5249" w:rsidRPr="00D65A6F" w:rsidRDefault="00BC5249" w:rsidP="00BC5249">
            <w:pPr>
              <w:pStyle w:val="TabNumeri"/>
            </w:pPr>
            <w:r w:rsidRPr="00080D72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31ED6EB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1127BE21" w14:textId="5202B96F" w:rsidR="00BC5249" w:rsidRPr="00904DA8" w:rsidRDefault="00BC5249" w:rsidP="00BC5249">
            <w:pPr>
              <w:pStyle w:val="TabNumeri"/>
            </w:pPr>
            <w:r w:rsidRPr="00080D72">
              <w:t>1,1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3CB5B9C7" w14:textId="4D90A759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2A4CD34" w14:textId="3698257E" w:rsidR="00BC5249" w:rsidRPr="003C782D" w:rsidRDefault="003241E2" w:rsidP="00BC5249">
            <w:pPr>
              <w:pStyle w:val="TabNumeri"/>
            </w:pPr>
            <w:r>
              <w:t>1,2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2761096D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50B363A7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0D02DB55" w14:textId="45143947" w:rsidR="00BC5249" w:rsidRPr="009E61ED" w:rsidRDefault="00BC5249" w:rsidP="00BC5249">
            <w:pPr>
              <w:pStyle w:val="TabNumeri"/>
            </w:pPr>
            <w:r w:rsidRPr="00080D72">
              <w:t>1,2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1A5014E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22FD45D" w14:textId="209049C5" w:rsidR="00BC5249" w:rsidRPr="00A27A0A" w:rsidRDefault="00BC5249" w:rsidP="00BC5249">
            <w:pPr>
              <w:pStyle w:val="TabNumeri"/>
            </w:pPr>
            <w:r w:rsidRPr="00080D72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FF2FB7B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17A675BA" w14:textId="4C0F3D69" w:rsidR="00BC5249" w:rsidRPr="00986A4F" w:rsidRDefault="00BC5249" w:rsidP="00BC5249">
            <w:pPr>
              <w:pStyle w:val="TabNumeri"/>
            </w:pPr>
            <w:r w:rsidRPr="00080D72">
              <w:t>0,6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67FF2474" w14:textId="7FB3B64A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22665B6" w14:textId="74217765" w:rsidR="00BC5249" w:rsidRPr="00413582" w:rsidRDefault="003241E2" w:rsidP="00BC5249">
            <w:pPr>
              <w:pStyle w:val="TabNumeri"/>
            </w:pPr>
            <w:r>
              <w:t>1,2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618BC5A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4B4B1ECC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7BBCBE4D" w14:textId="77777777" w:rsidR="00BC5249" w:rsidRPr="00233F5C" w:rsidRDefault="00BC5249" w:rsidP="00BC5249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680" w:type="dxa"/>
            <w:noWrap/>
          </w:tcPr>
          <w:p w14:paraId="12DD90A1" w14:textId="2189792D" w:rsidR="00BC5249" w:rsidRPr="00F86988" w:rsidRDefault="00BC5249" w:rsidP="00BC5249">
            <w:pPr>
              <w:pStyle w:val="TabNumeri"/>
            </w:pPr>
            <w:r w:rsidRPr="00080D72">
              <w:t>15,8</w:t>
            </w:r>
          </w:p>
        </w:tc>
        <w:tc>
          <w:tcPr>
            <w:tcW w:w="228" w:type="dxa"/>
            <w:noWrap/>
          </w:tcPr>
          <w:p w14:paraId="59021F51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4178546C" w14:textId="70AEA2A5" w:rsidR="00BC5249" w:rsidRPr="00D65A6F" w:rsidRDefault="00BC5249" w:rsidP="00BC5249">
            <w:pPr>
              <w:pStyle w:val="TabNumeri"/>
            </w:pPr>
            <w:r w:rsidRPr="00080D72">
              <w:t>16,5</w:t>
            </w:r>
          </w:p>
        </w:tc>
        <w:tc>
          <w:tcPr>
            <w:tcW w:w="228" w:type="dxa"/>
            <w:noWrap/>
          </w:tcPr>
          <w:p w14:paraId="404B7F96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2B6A7ADB" w14:textId="561A2130" w:rsidR="00BC5249" w:rsidRPr="00904DA8" w:rsidRDefault="00BC5249" w:rsidP="00BC5249">
            <w:pPr>
              <w:pStyle w:val="TabNumeri"/>
            </w:pPr>
            <w:r w:rsidRPr="00080D72">
              <w:t>15,7</w:t>
            </w:r>
          </w:p>
        </w:tc>
        <w:tc>
          <w:tcPr>
            <w:tcW w:w="397" w:type="dxa"/>
            <w:noWrap/>
          </w:tcPr>
          <w:p w14:paraId="2EF7E379" w14:textId="43780EDF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76DE7078" w14:textId="3CC8904F" w:rsidR="00BC5249" w:rsidRPr="003C782D" w:rsidRDefault="003241E2" w:rsidP="00BC5249">
            <w:pPr>
              <w:pStyle w:val="TabNumeri"/>
            </w:pPr>
            <w:r>
              <w:t>15,7</w:t>
            </w:r>
          </w:p>
        </w:tc>
        <w:tc>
          <w:tcPr>
            <w:tcW w:w="228" w:type="dxa"/>
          </w:tcPr>
          <w:p w14:paraId="4E8DB1CA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noWrap/>
          </w:tcPr>
          <w:p w14:paraId="2CEA7883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</w:tcPr>
          <w:p w14:paraId="3A1E032C" w14:textId="40119191" w:rsidR="00BC5249" w:rsidRPr="009E61ED" w:rsidRDefault="00BC5249" w:rsidP="00BC5249">
            <w:pPr>
              <w:pStyle w:val="TabNumeri"/>
            </w:pPr>
            <w:r w:rsidRPr="00080D72">
              <w:t>5,9</w:t>
            </w:r>
          </w:p>
        </w:tc>
        <w:tc>
          <w:tcPr>
            <w:tcW w:w="228" w:type="dxa"/>
            <w:noWrap/>
          </w:tcPr>
          <w:p w14:paraId="2C6C70B3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572C41F7" w14:textId="0D15DB6A" w:rsidR="00BC5249" w:rsidRPr="00A27A0A" w:rsidRDefault="00BC5249" w:rsidP="00BC5249">
            <w:pPr>
              <w:pStyle w:val="TabNumeri"/>
            </w:pPr>
            <w:r w:rsidRPr="00080D72">
              <w:t>7,6</w:t>
            </w:r>
          </w:p>
        </w:tc>
        <w:tc>
          <w:tcPr>
            <w:tcW w:w="228" w:type="dxa"/>
            <w:noWrap/>
          </w:tcPr>
          <w:p w14:paraId="57EB90BF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031CDE6F" w14:textId="0056EB8D" w:rsidR="00BC5249" w:rsidRPr="00986A4F" w:rsidRDefault="00BC5249" w:rsidP="00BC5249">
            <w:pPr>
              <w:pStyle w:val="TabNumeri"/>
            </w:pPr>
            <w:r w:rsidRPr="00080D72">
              <w:t>7,7</w:t>
            </w:r>
          </w:p>
        </w:tc>
        <w:tc>
          <w:tcPr>
            <w:tcW w:w="397" w:type="dxa"/>
            <w:noWrap/>
          </w:tcPr>
          <w:p w14:paraId="058E0326" w14:textId="219730B4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341B6C79" w14:textId="20570C84" w:rsidR="00BC5249" w:rsidRPr="00413582" w:rsidRDefault="003241E2" w:rsidP="00BC5249">
            <w:pPr>
              <w:pStyle w:val="TabNumeri"/>
            </w:pPr>
            <w:r>
              <w:t>5,3</w:t>
            </w:r>
          </w:p>
        </w:tc>
        <w:tc>
          <w:tcPr>
            <w:tcW w:w="227" w:type="dxa"/>
            <w:noWrap/>
          </w:tcPr>
          <w:p w14:paraId="1B1D3A1D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34002E7D" w14:textId="77777777" w:rsidTr="006421AE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1BE95968" w14:textId="77777777" w:rsidR="00BC5249" w:rsidRPr="00233F5C" w:rsidRDefault="00BC5249" w:rsidP="00BC5249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217AC1E" w14:textId="655CDDFF" w:rsidR="00BC5249" w:rsidRPr="00F86988" w:rsidRDefault="00BC5249" w:rsidP="00BC5249">
            <w:pPr>
              <w:pStyle w:val="TabNumeri"/>
            </w:pPr>
            <w:r w:rsidRPr="00080D72">
              <w:t>15,8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132E3B9" w14:textId="1C548A02" w:rsidR="00BC5249" w:rsidRPr="00B64650" w:rsidRDefault="00BC5249" w:rsidP="00BC5249">
            <w:pPr>
              <w:pStyle w:val="TabNumeri"/>
            </w:pPr>
            <w:r w:rsidRPr="00080D72">
              <w:t>[2]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8570E77" w14:textId="7C96E4F9" w:rsidR="00BC5249" w:rsidRPr="00D65A6F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ED2D867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19C4B3D9" w14:textId="458DE202" w:rsidR="00BC5249" w:rsidRPr="00904DA8" w:rsidRDefault="00BC5249" w:rsidP="00BC5249">
            <w:pPr>
              <w:pStyle w:val="TabNumeri"/>
            </w:pPr>
            <w:r w:rsidRPr="00080D72">
              <w:t>11,3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A3449CD" w14:textId="6F2444FC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2FFF944" w14:textId="0627DFF6" w:rsidR="00BC5249" w:rsidRPr="003C782D" w:rsidRDefault="003241E2" w:rsidP="00BC5249">
            <w:pPr>
              <w:pStyle w:val="TabNumeri"/>
            </w:pPr>
            <w:r>
              <w:t>11,4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210A7D99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2A810C88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33CA8EDB" w14:textId="2D43CE2E" w:rsidR="00BC5249" w:rsidRPr="009E61ED" w:rsidRDefault="00BC5249" w:rsidP="00BC5249">
            <w:pPr>
              <w:pStyle w:val="TabNumeri"/>
            </w:pPr>
            <w:r w:rsidRPr="00080D72">
              <w:t>5,4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7CD72C0A" w14:textId="26204D15" w:rsidR="00BC5249" w:rsidRPr="00811B57" w:rsidRDefault="00BC5249" w:rsidP="00BC5249">
            <w:pPr>
              <w:pStyle w:val="TabNumeri"/>
            </w:pPr>
            <w:r w:rsidRPr="00080D72">
              <w:t>[2]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5C17C95" w14:textId="0AFB0566" w:rsidR="00BC5249" w:rsidRPr="00A27A0A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4AD55132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7498C8AC" w14:textId="490885BE" w:rsidR="00BC5249" w:rsidRPr="00986A4F" w:rsidRDefault="00BC5249" w:rsidP="00BC5249">
            <w:pPr>
              <w:pStyle w:val="TabNumeri"/>
            </w:pPr>
            <w:r w:rsidRPr="00080D72">
              <w:t>8,1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45762B3" w14:textId="66FF994C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47723C60" w14:textId="115ABD93" w:rsidR="00BC5249" w:rsidRPr="00413582" w:rsidRDefault="003241E2" w:rsidP="00BC5249">
            <w:pPr>
              <w:pStyle w:val="TabNumeri"/>
            </w:pPr>
            <w:r>
              <w:t>7,2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0483166E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1E2F3066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0604318D" w14:textId="77777777" w:rsidR="00BC5249" w:rsidRPr="00233F5C" w:rsidRDefault="00BC5249" w:rsidP="00BC5249">
            <w:pPr>
              <w:pStyle w:val="TabEtichette"/>
            </w:pPr>
            <w:r w:rsidRPr="00233F5C">
              <w:t>- costruzioni</w:t>
            </w:r>
          </w:p>
        </w:tc>
        <w:tc>
          <w:tcPr>
            <w:tcW w:w="680" w:type="dxa"/>
            <w:noWrap/>
          </w:tcPr>
          <w:p w14:paraId="69EDB447" w14:textId="485FB358" w:rsidR="00BC5249" w:rsidRPr="00F86988" w:rsidRDefault="00BC5249" w:rsidP="00BC5249">
            <w:pPr>
              <w:pStyle w:val="TabNumeri"/>
            </w:pPr>
            <w:r w:rsidRPr="00080D72">
              <w:t>21,4</w:t>
            </w:r>
          </w:p>
        </w:tc>
        <w:tc>
          <w:tcPr>
            <w:tcW w:w="228" w:type="dxa"/>
            <w:noWrap/>
          </w:tcPr>
          <w:p w14:paraId="5F2A01A0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698D3E4D" w14:textId="5ADF68BD" w:rsidR="00BC5249" w:rsidRPr="00D65A6F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noWrap/>
          </w:tcPr>
          <w:p w14:paraId="6A9BEE61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7B14FA58" w14:textId="769146E2" w:rsidR="00BC5249" w:rsidRPr="00904DA8" w:rsidRDefault="00BC5249" w:rsidP="00BC5249">
            <w:pPr>
              <w:pStyle w:val="TabNumeri"/>
            </w:pPr>
            <w:r w:rsidRPr="00080D72">
              <w:t>20,9</w:t>
            </w:r>
          </w:p>
        </w:tc>
        <w:tc>
          <w:tcPr>
            <w:tcW w:w="397" w:type="dxa"/>
            <w:noWrap/>
          </w:tcPr>
          <w:p w14:paraId="6ED4EC84" w14:textId="3E5955AC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7982692E" w14:textId="77777777" w:rsidR="00BC5249" w:rsidRPr="003C782D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</w:tcPr>
          <w:p w14:paraId="1B09F2D7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noWrap/>
          </w:tcPr>
          <w:p w14:paraId="67B5CF96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</w:tcPr>
          <w:p w14:paraId="44E99126" w14:textId="46A10BCF" w:rsidR="00BC5249" w:rsidRPr="009E61ED" w:rsidRDefault="00BC5249" w:rsidP="00BC5249">
            <w:pPr>
              <w:pStyle w:val="TabNumeri"/>
            </w:pPr>
            <w:r w:rsidRPr="00080D72">
              <w:t>6,2</w:t>
            </w:r>
          </w:p>
        </w:tc>
        <w:tc>
          <w:tcPr>
            <w:tcW w:w="228" w:type="dxa"/>
            <w:noWrap/>
          </w:tcPr>
          <w:p w14:paraId="4F72289C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698CBF49" w14:textId="0D806219" w:rsidR="00BC5249" w:rsidRPr="00A27A0A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noWrap/>
          </w:tcPr>
          <w:p w14:paraId="579352D2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49DD336E" w14:textId="6350C30C" w:rsidR="00BC5249" w:rsidRPr="00986A4F" w:rsidRDefault="00BC5249" w:rsidP="00BC5249">
            <w:pPr>
              <w:pStyle w:val="TabNumeri"/>
            </w:pPr>
            <w:r w:rsidRPr="00080D72">
              <w:t>7,3</w:t>
            </w:r>
          </w:p>
        </w:tc>
        <w:tc>
          <w:tcPr>
            <w:tcW w:w="397" w:type="dxa"/>
            <w:noWrap/>
          </w:tcPr>
          <w:p w14:paraId="460AE771" w14:textId="2C579361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2B5DA3C8" w14:textId="77777777" w:rsidR="00BC5249" w:rsidRPr="00413582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noWrap/>
          </w:tcPr>
          <w:p w14:paraId="4260FF4E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2AA4A8E5" w14:textId="77777777" w:rsidTr="006421AE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13608376" w14:textId="77777777" w:rsidR="00BC5249" w:rsidRPr="00233F5C" w:rsidRDefault="00BC5249" w:rsidP="00BC5249">
            <w:pPr>
              <w:pStyle w:val="TabEtichette"/>
            </w:pPr>
            <w:r>
              <w:t>Occupazione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8A00780" w14:textId="03DAC074" w:rsidR="00BC5249" w:rsidRPr="00F86988" w:rsidRDefault="00BC5249" w:rsidP="00BC5249">
            <w:pPr>
              <w:pStyle w:val="TabNumeri"/>
            </w:pPr>
            <w:r w:rsidRPr="00080D72">
              <w:t>5,9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E4CBE33" w14:textId="7A15D2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51297861" w14:textId="2F038C86" w:rsidR="00BC5249" w:rsidRPr="00D65A6F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3EFBF083" w14:textId="5176F131" w:rsidR="00BC5249" w:rsidRPr="00C32B54" w:rsidRDefault="00BC5249" w:rsidP="00BC5249">
            <w:pPr>
              <w:pStyle w:val="TabNumeri"/>
            </w:pPr>
            <w:r w:rsidRPr="00080D72">
              <w:t>[3]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246B22C" w14:textId="0733BE31" w:rsidR="00BC5249" w:rsidRPr="00904DA8" w:rsidRDefault="00BC5249" w:rsidP="00BC5249">
            <w:pPr>
              <w:pStyle w:val="TabNumeri"/>
            </w:pPr>
            <w:r w:rsidRPr="00080D72">
              <w:t>6,1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4D2E20FE" w14:textId="08B3B949" w:rsidR="00BC5249" w:rsidRPr="00904DA8" w:rsidRDefault="00BC5249" w:rsidP="00BC5249">
            <w:pPr>
              <w:pStyle w:val="TabNumeri"/>
            </w:pPr>
            <w:r w:rsidRPr="00080D72">
              <w:t>[4]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DB49666" w14:textId="19FABD0C" w:rsidR="00BC5249" w:rsidRPr="003C782D" w:rsidRDefault="003241E2" w:rsidP="00BC5249">
            <w:pPr>
              <w:pStyle w:val="TabNumeri"/>
            </w:pPr>
            <w:r>
              <w:t>7,0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13FAB700" w14:textId="76A446D0" w:rsidR="00BC5249" w:rsidRPr="00AA375C" w:rsidRDefault="000268B0" w:rsidP="00BC5249">
            <w:pPr>
              <w:pStyle w:val="TabNumeri"/>
            </w:pPr>
            <w:r>
              <w:t>[</w:t>
            </w:r>
            <w:r w:rsidR="00995811">
              <w:t>5</w:t>
            </w:r>
            <w:r>
              <w:t>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144B3CDD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256AB72A" w14:textId="276BF08E" w:rsidR="00BC5249" w:rsidRPr="009E61ED" w:rsidRDefault="00BC5249" w:rsidP="00BC5249">
            <w:pPr>
              <w:pStyle w:val="TabNumeri"/>
            </w:pPr>
            <w:r w:rsidRPr="00080D72">
              <w:t>4,0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A0187AD" w14:textId="72F8419D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7BE9AE9" w14:textId="6C33AD99" w:rsidR="00BC5249" w:rsidRPr="00A27A0A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649DD25" w14:textId="79A68ADE" w:rsidR="00BC5249" w:rsidRPr="00DC6642" w:rsidRDefault="00BC5249" w:rsidP="00BC5249">
            <w:pPr>
              <w:pStyle w:val="TabNumeri"/>
            </w:pPr>
            <w:r w:rsidRPr="00080D72">
              <w:t>[3]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3AB5C210" w14:textId="42EFD69A" w:rsidR="00BC5249" w:rsidRPr="00986A4F" w:rsidRDefault="00BC5249" w:rsidP="00BC5249">
            <w:pPr>
              <w:pStyle w:val="TabNumeri"/>
            </w:pPr>
            <w:r w:rsidRPr="00080D72">
              <w:t>3,3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69E2AFAF" w14:textId="1320CD4F" w:rsidR="00BC5249" w:rsidRPr="00986A4F" w:rsidRDefault="00BC5249" w:rsidP="00BC5249">
            <w:pPr>
              <w:pStyle w:val="TabNumeri"/>
            </w:pPr>
            <w:r w:rsidRPr="00080D72">
              <w:t>[4]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87ABE8A" w14:textId="1995335A" w:rsidR="00BC5249" w:rsidRPr="00413582" w:rsidRDefault="003241E2" w:rsidP="00BC5249">
            <w:pPr>
              <w:pStyle w:val="TabNumeri"/>
            </w:pPr>
            <w:r>
              <w:t>3,4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57EC9889" w14:textId="2EF66055" w:rsidR="00BC5249" w:rsidRPr="00A319C0" w:rsidRDefault="000268B0" w:rsidP="00BC5249">
            <w:pPr>
              <w:pStyle w:val="TabNumeri"/>
            </w:pPr>
            <w:r>
              <w:t>[</w:t>
            </w:r>
            <w:r w:rsidR="00995811">
              <w:t>5</w:t>
            </w:r>
            <w:r>
              <w:t>]</w:t>
            </w:r>
          </w:p>
        </w:tc>
      </w:tr>
      <w:tr w:rsidR="00BC5249" w14:paraId="1D823FAB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09F02CF7" w14:textId="77777777" w:rsidR="00BC5249" w:rsidRPr="00233F5C" w:rsidRDefault="00BC5249" w:rsidP="00BC5249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5DF9B60D" w14:textId="02C04863" w:rsidR="00BC5249" w:rsidRPr="00F86988" w:rsidRDefault="00BC5249" w:rsidP="00BC5249">
            <w:pPr>
              <w:pStyle w:val="TabNumeri"/>
            </w:pPr>
            <w:r w:rsidRPr="00080D72">
              <w:t>9,8</w:t>
            </w:r>
          </w:p>
        </w:tc>
        <w:tc>
          <w:tcPr>
            <w:tcW w:w="228" w:type="dxa"/>
            <w:noWrap/>
          </w:tcPr>
          <w:p w14:paraId="4FCA0503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142F1A56" w14:textId="614185F7" w:rsidR="00BC5249" w:rsidRPr="00D65A6F" w:rsidRDefault="00BC5249" w:rsidP="00BC5249">
            <w:pPr>
              <w:pStyle w:val="TabNumeri"/>
            </w:pPr>
            <w:r w:rsidRPr="00080D72">
              <w:t>9,6</w:t>
            </w:r>
          </w:p>
        </w:tc>
        <w:tc>
          <w:tcPr>
            <w:tcW w:w="228" w:type="dxa"/>
            <w:noWrap/>
          </w:tcPr>
          <w:p w14:paraId="6E120B57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4549E7FD" w14:textId="5A823F45" w:rsidR="00BC5249" w:rsidRPr="00904DA8" w:rsidRDefault="00BC5249" w:rsidP="00BC5249">
            <w:pPr>
              <w:pStyle w:val="TabNumeri"/>
            </w:pPr>
            <w:r w:rsidRPr="00080D72">
              <w:t>9,6</w:t>
            </w:r>
          </w:p>
        </w:tc>
        <w:tc>
          <w:tcPr>
            <w:tcW w:w="397" w:type="dxa"/>
            <w:noWrap/>
          </w:tcPr>
          <w:p w14:paraId="3F55B797" w14:textId="51C21986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5670FE29" w14:textId="0D987FA5" w:rsidR="00BC5249" w:rsidRPr="003C782D" w:rsidRDefault="003241E2" w:rsidP="00BC5249">
            <w:pPr>
              <w:pStyle w:val="TabNumeri"/>
            </w:pPr>
            <w:r>
              <w:t>9,4</w:t>
            </w:r>
          </w:p>
        </w:tc>
        <w:tc>
          <w:tcPr>
            <w:tcW w:w="228" w:type="dxa"/>
          </w:tcPr>
          <w:p w14:paraId="47D350B9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noWrap/>
          </w:tcPr>
          <w:p w14:paraId="10CC9D48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</w:tcPr>
          <w:p w14:paraId="14BA7EFE" w14:textId="49F4E018" w:rsidR="00BC5249" w:rsidRPr="009E61ED" w:rsidRDefault="00BC5249" w:rsidP="00BC5249">
            <w:pPr>
              <w:pStyle w:val="TabNumeri"/>
            </w:pPr>
            <w:r w:rsidRPr="00080D72">
              <w:t>9,3</w:t>
            </w:r>
          </w:p>
        </w:tc>
        <w:tc>
          <w:tcPr>
            <w:tcW w:w="228" w:type="dxa"/>
            <w:noWrap/>
          </w:tcPr>
          <w:p w14:paraId="51A693B7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7E7DAB38" w14:textId="59B1A062" w:rsidR="00BC5249" w:rsidRPr="00A27A0A" w:rsidRDefault="00BC5249" w:rsidP="00BC5249">
            <w:pPr>
              <w:pStyle w:val="TabNumeri"/>
            </w:pPr>
            <w:r w:rsidRPr="00080D72">
              <w:t>8,9</w:t>
            </w:r>
          </w:p>
        </w:tc>
        <w:tc>
          <w:tcPr>
            <w:tcW w:w="228" w:type="dxa"/>
            <w:noWrap/>
          </w:tcPr>
          <w:p w14:paraId="361E7815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49F19778" w14:textId="796FECB4" w:rsidR="00BC5249" w:rsidRPr="00986A4F" w:rsidRDefault="00BC5249" w:rsidP="00BC5249">
            <w:pPr>
              <w:pStyle w:val="TabNumeri"/>
            </w:pPr>
            <w:r w:rsidRPr="00080D72">
              <w:t>9,9</w:t>
            </w:r>
          </w:p>
        </w:tc>
        <w:tc>
          <w:tcPr>
            <w:tcW w:w="397" w:type="dxa"/>
            <w:noWrap/>
          </w:tcPr>
          <w:p w14:paraId="544CA844" w14:textId="55D8AD80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1BE01218" w14:textId="5AA90CF0" w:rsidR="00BC5249" w:rsidRPr="00413582" w:rsidRDefault="003241E2" w:rsidP="00BC5249">
            <w:pPr>
              <w:pStyle w:val="TabNumeri"/>
            </w:pPr>
            <w:r>
              <w:t>9,0</w:t>
            </w:r>
          </w:p>
        </w:tc>
        <w:tc>
          <w:tcPr>
            <w:tcW w:w="227" w:type="dxa"/>
            <w:noWrap/>
          </w:tcPr>
          <w:p w14:paraId="7E22F0F1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727261E7" w14:textId="77777777" w:rsidTr="006421AE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28D14F2D" w14:textId="77777777" w:rsidR="00BC5249" w:rsidRPr="00233F5C" w:rsidRDefault="00BC5249" w:rsidP="00BC5249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00D732D7" w14:textId="00A17BD6" w:rsidR="00BC5249" w:rsidRPr="00F86988" w:rsidRDefault="00BC5249" w:rsidP="00BC5249">
            <w:pPr>
              <w:pStyle w:val="TabNumeri"/>
            </w:pPr>
            <w:r w:rsidRPr="00080D72">
              <w:t>1,8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AC60C24" w14:textId="6A4D7323" w:rsidR="00BC5249" w:rsidRPr="00B64650" w:rsidRDefault="00995811" w:rsidP="00BC5249">
            <w:pPr>
              <w:pStyle w:val="TabNumeri"/>
            </w:pPr>
            <w:r>
              <w:t>[6]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7ACC9718" w14:textId="204791B4" w:rsidR="00BC5249" w:rsidRPr="00D65A6F" w:rsidRDefault="00BC5249" w:rsidP="00BC5249">
            <w:pPr>
              <w:pStyle w:val="TabNumeri"/>
            </w:pPr>
            <w:r w:rsidRPr="00080D72">
              <w:t>1,8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5CD6D1B" w14:textId="17701D69" w:rsidR="00BC5249" w:rsidRPr="00C32B54" w:rsidRDefault="00995811" w:rsidP="00BC5249">
            <w:pPr>
              <w:pStyle w:val="TabNumeri"/>
            </w:pPr>
            <w:r>
              <w:t>[6]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04DF622E" w14:textId="090E9D03" w:rsidR="00BC5249" w:rsidRPr="00904DA8" w:rsidRDefault="00BC5249" w:rsidP="00BC5249">
            <w:pPr>
              <w:pStyle w:val="TabNumeri"/>
            </w:pPr>
            <w:r w:rsidRPr="00080D72">
              <w:t>1,8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08C62920" w14:textId="10AA4034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5245CC2" w14:textId="1115BE91" w:rsidR="00BC5249" w:rsidRPr="003C782D" w:rsidRDefault="003241E2" w:rsidP="00BC5249">
            <w:pPr>
              <w:pStyle w:val="TabNumeri"/>
            </w:pPr>
            <w:r>
              <w:t>1,9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14:paraId="4F0757CA" w14:textId="7B20CBEA" w:rsidR="00BC5249" w:rsidRPr="00AA375C" w:rsidRDefault="00995811" w:rsidP="00BC5249">
            <w:pPr>
              <w:pStyle w:val="TabNumeri"/>
            </w:pPr>
            <w:r>
              <w:t>[6]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67BFCE00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444ECC3D" w14:textId="29C28CE6" w:rsidR="00BC5249" w:rsidRPr="009E61ED" w:rsidRDefault="00BC5249" w:rsidP="00BC5249">
            <w:pPr>
              <w:pStyle w:val="TabNumeri"/>
            </w:pPr>
            <w:r w:rsidRPr="00080D72">
              <w:t>2,1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1DFE0BC4" w14:textId="75CC3811" w:rsidR="00BC5249" w:rsidRPr="00811B57" w:rsidRDefault="00995811" w:rsidP="00BC5249">
            <w:pPr>
              <w:pStyle w:val="TabNumeri"/>
            </w:pPr>
            <w:r>
              <w:t>[6]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6161C3F" w14:textId="7BBE16B7" w:rsidR="00BC5249" w:rsidRPr="00A27A0A" w:rsidRDefault="00BC5249" w:rsidP="00BC5249">
            <w:pPr>
              <w:pStyle w:val="TabNumeri"/>
            </w:pPr>
            <w:r w:rsidRPr="00080D72">
              <w:t>2,2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9465FA7" w14:textId="49C60893" w:rsidR="00BC5249" w:rsidRPr="00DC6642" w:rsidRDefault="00995811" w:rsidP="00BC5249">
            <w:pPr>
              <w:pStyle w:val="TabNumeri"/>
            </w:pPr>
            <w:r>
              <w:t>[6]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6BD03712" w14:textId="5FBD11BA" w:rsidR="00BC5249" w:rsidRPr="00986A4F" w:rsidRDefault="00BC5249" w:rsidP="00BC5249">
            <w:pPr>
              <w:pStyle w:val="TabNumeri"/>
            </w:pPr>
            <w:r w:rsidRPr="00080D72">
              <w:t>2,1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2DDDB097" w14:textId="735E00DB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CCC5EDB" w14:textId="38370262" w:rsidR="00BC5249" w:rsidRPr="00413582" w:rsidRDefault="003241E2" w:rsidP="00BC5249">
            <w:pPr>
              <w:pStyle w:val="TabNumeri"/>
            </w:pPr>
            <w:r>
              <w:t>3,5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375FD4C5" w14:textId="3AF6D36E" w:rsidR="00BC5249" w:rsidRPr="00A319C0" w:rsidRDefault="00995811" w:rsidP="00BC5249">
            <w:pPr>
              <w:pStyle w:val="TabNumeri"/>
            </w:pPr>
            <w:r>
              <w:t>[6]</w:t>
            </w:r>
          </w:p>
        </w:tc>
      </w:tr>
      <w:tr w:rsidR="00BC5249" w14:paraId="5E7B2AC4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2922E10B" w14:textId="31632E9D" w:rsidR="00BC5249" w:rsidRPr="00233F5C" w:rsidRDefault="00BC5249" w:rsidP="00BC5249">
            <w:pPr>
              <w:pStyle w:val="TabEtichette"/>
            </w:pPr>
            <w:r>
              <w:t xml:space="preserve">Saldo c.c.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3A201BDE" w14:textId="03D0C674" w:rsidR="00BC5249" w:rsidRPr="00F86988" w:rsidRDefault="00BC5249" w:rsidP="00BC5249">
            <w:pPr>
              <w:pStyle w:val="TabNumeri"/>
            </w:pPr>
            <w:r w:rsidRPr="00080D72">
              <w:t>3,5</w:t>
            </w:r>
          </w:p>
        </w:tc>
        <w:tc>
          <w:tcPr>
            <w:tcW w:w="228" w:type="dxa"/>
            <w:noWrap/>
          </w:tcPr>
          <w:p w14:paraId="7CD9E850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4EB24F01" w14:textId="46861EDD" w:rsidR="00BC5249" w:rsidRPr="00D65A6F" w:rsidRDefault="00BC5249" w:rsidP="00BC5249">
            <w:pPr>
              <w:pStyle w:val="TabNumeri"/>
            </w:pPr>
            <w:r w:rsidRPr="00080D72">
              <w:t>3,1</w:t>
            </w:r>
          </w:p>
        </w:tc>
        <w:tc>
          <w:tcPr>
            <w:tcW w:w="228" w:type="dxa"/>
            <w:noWrap/>
          </w:tcPr>
          <w:p w14:paraId="298DC2A4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3E70C8EC" w14:textId="14BD2FA4" w:rsidR="00BC5249" w:rsidRPr="00904DA8" w:rsidRDefault="00BC5249" w:rsidP="00BC5249">
            <w:pPr>
              <w:pStyle w:val="TabNumeri"/>
            </w:pPr>
            <w:r w:rsidRPr="00080D72">
              <w:t>2,9</w:t>
            </w:r>
          </w:p>
        </w:tc>
        <w:tc>
          <w:tcPr>
            <w:tcW w:w="397" w:type="dxa"/>
            <w:noWrap/>
          </w:tcPr>
          <w:p w14:paraId="07D8DA2F" w14:textId="761F39A5" w:rsidR="00BC5249" w:rsidRPr="00904DA8" w:rsidRDefault="00BC5249" w:rsidP="00BC5249">
            <w:pPr>
              <w:pStyle w:val="TabNumeri"/>
            </w:pPr>
            <w:r w:rsidRPr="00080D72">
              <w:t>[</w:t>
            </w:r>
            <w:r w:rsidR="00995811">
              <w:t>7</w:t>
            </w:r>
            <w:r w:rsidRPr="00080D72">
              <w:t>]</w:t>
            </w:r>
          </w:p>
        </w:tc>
        <w:tc>
          <w:tcPr>
            <w:tcW w:w="680" w:type="dxa"/>
            <w:noWrap/>
          </w:tcPr>
          <w:p w14:paraId="2536E563" w14:textId="2711BC71" w:rsidR="00BC5249" w:rsidRPr="003C782D" w:rsidRDefault="003241E2" w:rsidP="00BC5249">
            <w:pPr>
              <w:pStyle w:val="TabNumeri"/>
            </w:pPr>
            <w:r>
              <w:t>3,8</w:t>
            </w:r>
          </w:p>
        </w:tc>
        <w:tc>
          <w:tcPr>
            <w:tcW w:w="228" w:type="dxa"/>
          </w:tcPr>
          <w:p w14:paraId="460AD62A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noWrap/>
          </w:tcPr>
          <w:p w14:paraId="28C6E2E0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</w:tcPr>
          <w:p w14:paraId="70FA6824" w14:textId="4218FDCB" w:rsidR="00BC5249" w:rsidRPr="009E61ED" w:rsidRDefault="00BC5249" w:rsidP="00BC5249">
            <w:pPr>
              <w:pStyle w:val="TabNumeri"/>
            </w:pPr>
            <w:r w:rsidRPr="00080D72">
              <w:t>2,7</w:t>
            </w:r>
          </w:p>
        </w:tc>
        <w:tc>
          <w:tcPr>
            <w:tcW w:w="228" w:type="dxa"/>
            <w:noWrap/>
          </w:tcPr>
          <w:p w14:paraId="517A12D4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533142A1" w14:textId="0363EC71" w:rsidR="00BC5249" w:rsidRPr="00A27A0A" w:rsidRDefault="00BC5249" w:rsidP="00BC5249">
            <w:pPr>
              <w:pStyle w:val="TabNumeri"/>
            </w:pPr>
            <w:r w:rsidRPr="00080D72">
              <w:t>3,0</w:t>
            </w:r>
          </w:p>
        </w:tc>
        <w:tc>
          <w:tcPr>
            <w:tcW w:w="228" w:type="dxa"/>
            <w:noWrap/>
          </w:tcPr>
          <w:p w14:paraId="23D5FEBF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639A9A36" w14:textId="5D4AF698" w:rsidR="00BC5249" w:rsidRPr="00986A4F" w:rsidRDefault="00BC5249" w:rsidP="00BC5249">
            <w:pPr>
              <w:pStyle w:val="TabNumeri"/>
            </w:pPr>
            <w:r w:rsidRPr="00080D72">
              <w:t>2,2</w:t>
            </w:r>
          </w:p>
        </w:tc>
        <w:tc>
          <w:tcPr>
            <w:tcW w:w="397" w:type="dxa"/>
            <w:noWrap/>
          </w:tcPr>
          <w:p w14:paraId="3D1AE5A1" w14:textId="374846F1" w:rsidR="00BC5249" w:rsidRPr="00986A4F" w:rsidRDefault="00BC5249" w:rsidP="00BC5249">
            <w:pPr>
              <w:pStyle w:val="TabNumeri"/>
            </w:pPr>
            <w:r w:rsidRPr="00080D72">
              <w:t>[</w:t>
            </w:r>
            <w:r w:rsidR="00F930CE">
              <w:t>7</w:t>
            </w:r>
            <w:r w:rsidRPr="00080D72">
              <w:t>]</w:t>
            </w:r>
          </w:p>
        </w:tc>
        <w:tc>
          <w:tcPr>
            <w:tcW w:w="680" w:type="dxa"/>
            <w:noWrap/>
          </w:tcPr>
          <w:p w14:paraId="4BE82D6D" w14:textId="127CC358" w:rsidR="00BC5249" w:rsidRPr="00413582" w:rsidRDefault="003241E2" w:rsidP="00BC5249">
            <w:pPr>
              <w:pStyle w:val="TabNumeri"/>
            </w:pPr>
            <w:r>
              <w:t>3,1</w:t>
            </w:r>
          </w:p>
        </w:tc>
        <w:tc>
          <w:tcPr>
            <w:tcW w:w="227" w:type="dxa"/>
            <w:noWrap/>
          </w:tcPr>
          <w:p w14:paraId="25238391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608446E0" w14:textId="77777777" w:rsidTr="006421AE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14:paraId="362479EB" w14:textId="77777777" w:rsidR="00BC5249" w:rsidRPr="00233F5C" w:rsidRDefault="00BC5249" w:rsidP="00BC5249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3066089C" w14:textId="7D12D268" w:rsidR="00BC5249" w:rsidRPr="00F86988" w:rsidRDefault="00BC5249" w:rsidP="00BC5249">
            <w:pPr>
              <w:pStyle w:val="TabNumeri"/>
            </w:pPr>
            <w:r w:rsidRPr="00080D72">
              <w:t>-5,9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55651326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19C87C7" w14:textId="7744B228" w:rsidR="00BC5249" w:rsidRPr="00D65A6F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0D119126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75FA0697" w14:textId="6B203D02" w:rsidR="00BC5249" w:rsidRPr="00904DA8" w:rsidRDefault="00BC5249" w:rsidP="00BC5249">
            <w:pPr>
              <w:pStyle w:val="TabNumeri"/>
            </w:pPr>
            <w:r w:rsidRPr="00080D72">
              <w:t>-5,2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13DBBA02" w14:textId="4ED15D94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6F7B889C" w14:textId="77777777" w:rsidR="00BC5249" w:rsidRPr="003C782D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14:paraId="7134B71D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14:paraId="0E61C9DA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14:paraId="58895C7A" w14:textId="1E6EC4CB" w:rsidR="00BC5249" w:rsidRPr="009E61ED" w:rsidRDefault="00BC5249" w:rsidP="00BC5249">
            <w:pPr>
              <w:pStyle w:val="TabNumeri"/>
            </w:pPr>
            <w:r w:rsidRPr="00080D72">
              <w:t>-2,9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28AD9B93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736156B" w14:textId="4C2753C9" w:rsidR="00BC5249" w:rsidRPr="00A27A0A" w:rsidRDefault="00BC5249" w:rsidP="00BC5249">
            <w:pPr>
              <w:pStyle w:val="TabNumeri"/>
            </w:pPr>
            <w:proofErr w:type="spellStart"/>
            <w:r w:rsidRPr="00080D72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14:paraId="60E07A7E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1EC81EB3" w14:textId="1D61AE55" w:rsidR="00BC5249" w:rsidRPr="00986A4F" w:rsidRDefault="00BC5249" w:rsidP="00BC5249">
            <w:pPr>
              <w:pStyle w:val="TabNumeri"/>
            </w:pPr>
            <w:r w:rsidRPr="00080D72">
              <w:t>-2,4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14:paraId="7E4E7438" w14:textId="4769C706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14:paraId="22CD7537" w14:textId="77777777" w:rsidR="00BC5249" w:rsidRPr="00413582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14:paraId="3F1695F9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47632A0C" w14:textId="77777777" w:rsidTr="006421AE">
        <w:trPr>
          <w:cantSplit/>
          <w:trHeight w:val="255"/>
        </w:trPr>
        <w:tc>
          <w:tcPr>
            <w:tcW w:w="1985" w:type="dxa"/>
            <w:noWrap/>
          </w:tcPr>
          <w:p w14:paraId="4D9FDBE9" w14:textId="77777777" w:rsidR="00BC5249" w:rsidRPr="00233F5C" w:rsidRDefault="00BC5249" w:rsidP="00BC5249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14:paraId="08C46000" w14:textId="7F8E2C03" w:rsidR="00BC5249" w:rsidRPr="00F86988" w:rsidRDefault="00BC5249" w:rsidP="00BC5249">
            <w:pPr>
              <w:pStyle w:val="TabNumeri"/>
            </w:pPr>
            <w:r w:rsidRPr="00080D72">
              <w:t>9,4</w:t>
            </w:r>
          </w:p>
        </w:tc>
        <w:tc>
          <w:tcPr>
            <w:tcW w:w="228" w:type="dxa"/>
            <w:noWrap/>
          </w:tcPr>
          <w:p w14:paraId="70A3981E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4F0FB8F9" w14:textId="60EF8D8F" w:rsidR="00BC5249" w:rsidRPr="00D65A6F" w:rsidRDefault="00BC5249" w:rsidP="00BC5249">
            <w:pPr>
              <w:pStyle w:val="TabNumeri"/>
            </w:pPr>
            <w:r w:rsidRPr="00080D72">
              <w:t>-9,4</w:t>
            </w:r>
          </w:p>
        </w:tc>
        <w:tc>
          <w:tcPr>
            <w:tcW w:w="228" w:type="dxa"/>
            <w:noWrap/>
          </w:tcPr>
          <w:p w14:paraId="29380EE3" w14:textId="77777777" w:rsidR="00BC5249" w:rsidRPr="00C32B54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669FD98D" w14:textId="3879E9FE" w:rsidR="00BC5249" w:rsidRPr="00904DA8" w:rsidRDefault="00BC5249" w:rsidP="00BC5249">
            <w:pPr>
              <w:pStyle w:val="TabNumeri"/>
            </w:pPr>
            <w:r w:rsidRPr="00080D72">
              <w:t>8,4</w:t>
            </w:r>
          </w:p>
        </w:tc>
        <w:tc>
          <w:tcPr>
            <w:tcW w:w="397" w:type="dxa"/>
            <w:noWrap/>
          </w:tcPr>
          <w:p w14:paraId="1D69F42E" w14:textId="3812946F" w:rsidR="00BC5249" w:rsidRPr="00904DA8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04C94927" w14:textId="77777777" w:rsidR="00BC5249" w:rsidRPr="003C782D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</w:tcPr>
          <w:p w14:paraId="390818BD" w14:textId="77777777" w:rsidR="00BC5249" w:rsidRPr="00AA375C" w:rsidRDefault="00BC5249" w:rsidP="00BC5249">
            <w:pPr>
              <w:pStyle w:val="TabNumeri"/>
            </w:pPr>
          </w:p>
        </w:tc>
        <w:tc>
          <w:tcPr>
            <w:tcW w:w="113" w:type="dxa"/>
            <w:noWrap/>
          </w:tcPr>
          <w:p w14:paraId="06A9CDA6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</w:tcPr>
          <w:p w14:paraId="3B431B9E" w14:textId="1C6AB1A8" w:rsidR="00BC5249" w:rsidRPr="009E61ED" w:rsidRDefault="00BC5249" w:rsidP="00BC5249">
            <w:pPr>
              <w:pStyle w:val="TabNumeri"/>
            </w:pPr>
            <w:r w:rsidRPr="00080D72">
              <w:t>5,8</w:t>
            </w:r>
          </w:p>
        </w:tc>
        <w:tc>
          <w:tcPr>
            <w:tcW w:w="228" w:type="dxa"/>
            <w:noWrap/>
          </w:tcPr>
          <w:p w14:paraId="18874CB9" w14:textId="77777777" w:rsidR="00BC5249" w:rsidRPr="00811B57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19972442" w14:textId="3A5288E0" w:rsidR="00BC5249" w:rsidRPr="00A27A0A" w:rsidRDefault="00BC5249" w:rsidP="00BC5249">
            <w:pPr>
              <w:pStyle w:val="TabNumeri"/>
            </w:pPr>
            <w:r w:rsidRPr="00080D72">
              <w:t>-5,9</w:t>
            </w:r>
          </w:p>
        </w:tc>
        <w:tc>
          <w:tcPr>
            <w:tcW w:w="228" w:type="dxa"/>
            <w:noWrap/>
          </w:tcPr>
          <w:p w14:paraId="5656C3A7" w14:textId="77777777" w:rsidR="00BC5249" w:rsidRPr="00DC6642" w:rsidRDefault="00BC5249" w:rsidP="00BC5249">
            <w:pPr>
              <w:pStyle w:val="TabNumeri"/>
            </w:pPr>
          </w:p>
        </w:tc>
        <w:tc>
          <w:tcPr>
            <w:tcW w:w="510" w:type="dxa"/>
            <w:noWrap/>
          </w:tcPr>
          <w:p w14:paraId="599CC90A" w14:textId="0CEC7A7B" w:rsidR="00BC5249" w:rsidRPr="00986A4F" w:rsidRDefault="00BC5249" w:rsidP="00BC5249">
            <w:pPr>
              <w:pStyle w:val="TabNumeri"/>
            </w:pPr>
            <w:r w:rsidRPr="00080D72">
              <w:t>5,4</w:t>
            </w:r>
          </w:p>
        </w:tc>
        <w:tc>
          <w:tcPr>
            <w:tcW w:w="397" w:type="dxa"/>
            <w:noWrap/>
          </w:tcPr>
          <w:p w14:paraId="6ED969A2" w14:textId="67236A57" w:rsidR="00BC5249" w:rsidRPr="00986A4F" w:rsidRDefault="00BC5249" w:rsidP="00BC5249">
            <w:pPr>
              <w:pStyle w:val="TabNumeri"/>
            </w:pPr>
          </w:p>
        </w:tc>
        <w:tc>
          <w:tcPr>
            <w:tcW w:w="680" w:type="dxa"/>
            <w:noWrap/>
          </w:tcPr>
          <w:p w14:paraId="25B6665C" w14:textId="77777777" w:rsidR="00BC5249" w:rsidRPr="00413582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noWrap/>
          </w:tcPr>
          <w:p w14:paraId="6181B0A9" w14:textId="77777777" w:rsidR="00BC5249" w:rsidRPr="00A319C0" w:rsidRDefault="00BC5249" w:rsidP="00BC5249">
            <w:pPr>
              <w:pStyle w:val="TabNumeri"/>
            </w:pPr>
          </w:p>
        </w:tc>
      </w:tr>
      <w:tr w:rsidR="00BC5249" w14:paraId="2097777F" w14:textId="77777777" w:rsidTr="006421AE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250E25B" w14:textId="77777777" w:rsidR="00BC5249" w:rsidRDefault="00BC5249" w:rsidP="00BC5249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408884A" w14:textId="7D39B1E1" w:rsidR="00BC5249" w:rsidRDefault="00BC5249" w:rsidP="00BC5249">
            <w:pPr>
              <w:pStyle w:val="TabNumeri"/>
            </w:pPr>
            <w:r w:rsidRPr="00080D72">
              <w:t>154,4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46614072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BF22CC8" w14:textId="5FCB8BA5" w:rsidR="00BC5249" w:rsidRDefault="00BC5249" w:rsidP="00BC5249">
            <w:pPr>
              <w:pStyle w:val="TabNumeri"/>
            </w:pPr>
            <w:r w:rsidRPr="00080D72">
              <w:t>154,6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34ACC68E" w14:textId="77777777" w:rsidR="00BC5249" w:rsidRDefault="00BC5249" w:rsidP="00BC5249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349FD84" w14:textId="410346EF" w:rsidR="00BC5249" w:rsidRPr="00904DA8" w:rsidRDefault="00BC5249" w:rsidP="00BC5249">
            <w:pPr>
              <w:pStyle w:val="TabNumeri"/>
            </w:pPr>
            <w:r w:rsidRPr="00080D72">
              <w:t>152,6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88F992E" w14:textId="35C52387" w:rsidR="00BC5249" w:rsidRDefault="00BC5249" w:rsidP="00BC5249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7F44697" w14:textId="77777777" w:rsidR="00BC5249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6144D044" w14:textId="77777777" w:rsidR="00BC5249" w:rsidRDefault="00BC5249" w:rsidP="00BC5249">
            <w:pPr>
              <w:pStyle w:val="TabNumeri"/>
            </w:pP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7F6B07F" w14:textId="77777777" w:rsidR="00BC5249" w:rsidRPr="00B64650" w:rsidRDefault="00BC5249" w:rsidP="00BC5249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3DDDD247" w14:textId="06FBD664" w:rsidR="00BC5249" w:rsidRDefault="00BC5249" w:rsidP="00BC5249">
            <w:pPr>
              <w:pStyle w:val="TabNumeri"/>
            </w:pPr>
            <w:r w:rsidRPr="00080D72">
              <w:t>151,4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1D8B4FB" w14:textId="77777777" w:rsidR="00BC5249" w:rsidRDefault="00BC5249" w:rsidP="00BC5249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71A3A3B9" w14:textId="25546DD6" w:rsidR="00BC5249" w:rsidRDefault="00BC5249" w:rsidP="00BC5249">
            <w:pPr>
              <w:pStyle w:val="TabNumeri"/>
            </w:pPr>
            <w:r w:rsidRPr="00080D72">
              <w:t>150,4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DCCE64C" w14:textId="77777777" w:rsidR="00BC5249" w:rsidRDefault="00BC5249" w:rsidP="00BC5249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28ABC65B" w14:textId="16595C05" w:rsidR="00BC5249" w:rsidRPr="00986A4F" w:rsidRDefault="00BC5249" w:rsidP="00BC5249">
            <w:pPr>
              <w:pStyle w:val="TabNumeri"/>
            </w:pPr>
            <w:r w:rsidRPr="00080D72">
              <w:t>149,6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0E5553E" w14:textId="7D2BDED7" w:rsidR="00BC5249" w:rsidRDefault="00BC5249" w:rsidP="00BC5249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904109A" w14:textId="77777777" w:rsidR="00BC5249" w:rsidRDefault="00BC5249" w:rsidP="00BC5249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22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BFDBF10" w14:textId="77777777" w:rsidR="00BC5249" w:rsidRDefault="00BC5249" w:rsidP="00BC5249">
            <w:pPr>
              <w:pStyle w:val="TabNumeri"/>
            </w:pPr>
          </w:p>
        </w:tc>
      </w:tr>
      <w:tr w:rsidR="00BC5249" w14:paraId="68266C24" w14:textId="77777777" w:rsidTr="006421AE">
        <w:trPr>
          <w:cantSplit/>
          <w:trHeight w:val="255"/>
        </w:trPr>
        <w:tc>
          <w:tcPr>
            <w:tcW w:w="9359" w:type="dxa"/>
            <w:gridSpan w:val="18"/>
            <w:tcBorders>
              <w:top w:val="single" w:sz="4" w:space="0" w:color="632423" w:themeColor="accent2" w:themeShade="80"/>
            </w:tcBorders>
            <w:noWrap/>
          </w:tcPr>
          <w:p w14:paraId="6DCFFCD4" w14:textId="1C87B3C9" w:rsidR="00BC5249" w:rsidRPr="00CC61C4" w:rsidRDefault="00BC5249" w:rsidP="00BC5249">
            <w:pPr>
              <w:pStyle w:val="TabNoteSuperiori"/>
            </w:pPr>
            <w:r>
              <w:t>[a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>[1] Variazioni del PIL e delle sue componenti stimate su dati trimestrali destagionalizzati e corretti per il numero di giornate.</w:t>
            </w:r>
            <w:r>
              <w:t xml:space="preserve"> </w:t>
            </w:r>
            <w:r w:rsidRPr="00D76DB6">
              <w:t>[</w:t>
            </w:r>
            <w:r>
              <w:t>2</w:t>
            </w:r>
            <w:r w:rsidRPr="00D76DB6">
              <w:t xml:space="preserve">] Investment in </w:t>
            </w:r>
            <w:proofErr w:type="spellStart"/>
            <w:r w:rsidRPr="00D76DB6">
              <w:t>equipment</w:t>
            </w:r>
            <w:proofErr w:type="spellEnd"/>
            <w:r w:rsidRPr="00D76DB6">
              <w:t>. [</w:t>
            </w:r>
            <w:r>
              <w:t>3</w:t>
            </w:r>
            <w:r w:rsidRPr="00D76DB6">
              <w:t xml:space="preserve">] </w:t>
            </w:r>
            <w:r>
              <w:t xml:space="preserve">Persone. [4] </w:t>
            </w:r>
            <w:r w:rsidRPr="00D76DB6">
              <w:t>Unità di lavoro standard.</w:t>
            </w:r>
            <w:r w:rsidR="00995811" w:rsidRPr="00D76DB6">
              <w:t xml:space="preserve"> </w:t>
            </w:r>
            <w:r w:rsidR="00995811">
              <w:t>[5</w:t>
            </w:r>
            <w:r w:rsidR="00995811" w:rsidRPr="00D76DB6">
              <w:t xml:space="preserve">] </w:t>
            </w:r>
            <w:r w:rsidR="00995811">
              <w:t>Ore lavorate</w:t>
            </w:r>
            <w:r w:rsidR="00995811" w:rsidRPr="00D76DB6">
              <w:t>.</w:t>
            </w:r>
            <w:r w:rsidRPr="00D76DB6">
              <w:t xml:space="preserve"> </w:t>
            </w:r>
            <w:r>
              <w:t>[</w:t>
            </w:r>
            <w:r w:rsidR="00995811">
              <w:t>6</w:t>
            </w:r>
            <w:r>
              <w:t xml:space="preserve">] </w:t>
            </w:r>
            <w:r w:rsidRPr="00D76DB6">
              <w:t xml:space="preserve">Tasso di inflazione </w:t>
            </w:r>
            <w:r w:rsidRPr="00CC61C4">
              <w:t>armonizzato Ue. [</w:t>
            </w:r>
            <w:r w:rsidR="00995811" w:rsidRPr="00CC61C4">
              <w:t>7</w:t>
            </w:r>
            <w:r w:rsidRPr="00CC61C4">
              <w:t>] Bilancia commerciale (in % del Pil).</w:t>
            </w:r>
          </w:p>
          <w:p w14:paraId="5F234BF9" w14:textId="77777777" w:rsidR="00BC5249" w:rsidRDefault="00BC5249" w:rsidP="00BC5249">
            <w:pPr>
              <w:pStyle w:val="TabNoteInferiori"/>
            </w:pPr>
            <w:r w:rsidRPr="00D76DB6">
              <w:t>Font</w:t>
            </w:r>
            <w:r>
              <w:t xml:space="preserve">e: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Commission,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Forecast; </w:t>
            </w:r>
            <w:proofErr w:type="spellStart"/>
            <w:r w:rsidRPr="00D76DB6">
              <w:t>Oecd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r w:rsidRPr="006F4A37">
              <w:t>Prometeia, Rapporto di Previsione; Prometeia, Brief.</w:t>
            </w:r>
            <w:r>
              <w:t xml:space="preserve"> Banca d’Italia, Bollettino economico.</w:t>
            </w:r>
          </w:p>
        </w:tc>
      </w:tr>
    </w:tbl>
    <w:bookmarkEnd w:id="9"/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10" w:name="_Toc448399722"/>
      <w:bookmarkStart w:id="11" w:name="_Toc509407741"/>
      <w:r>
        <w:lastRenderedPageBreak/>
        <w:t>X</w:t>
      </w:r>
      <w:r w:rsidR="00F858D8">
        <w:t>.3.</w:t>
      </w:r>
      <w:r w:rsidR="00F858D8">
        <w:tab/>
      </w:r>
      <w:bookmarkStart w:id="12" w:name="OLE_LINK1"/>
      <w:r w:rsidR="00F858D8">
        <w:t>Il quadro regionale</w:t>
      </w:r>
      <w:bookmarkEnd w:id="10"/>
      <w:bookmarkEnd w:id="11"/>
      <w:bookmarkEnd w:id="12"/>
    </w:p>
    <w:p w14:paraId="50E1F694" w14:textId="77777777" w:rsidR="00DF0CEB" w:rsidRDefault="00DF0CEB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6D7C06E6" w:rsidR="000A6AC8" w:rsidRPr="007C570B" w:rsidRDefault="000A6AC8" w:rsidP="00560490">
            <w:pPr>
              <w:pStyle w:val="TabTitolo"/>
              <w:ind w:left="1134" w:hanging="1134"/>
            </w:pPr>
            <w:bookmarkStart w:id="13" w:name="_Hlk95833085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</w:t>
            </w:r>
            <w:r w:rsidR="00504545">
              <w:t>5</w:t>
            </w:r>
          </w:p>
        </w:tc>
      </w:tr>
      <w:tr w:rsidR="00A50036" w14:paraId="75F17E47" w14:textId="77777777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A50036" w:rsidRDefault="00A50036" w:rsidP="00A50036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66D695CF" w:rsidR="00A50036" w:rsidRPr="0085406E" w:rsidRDefault="00A50036" w:rsidP="00A50036">
            <w:pPr>
              <w:pStyle w:val="TabIntestazioni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57F8133A" w:rsidR="00A50036" w:rsidRPr="0085406E" w:rsidRDefault="00A50036" w:rsidP="00A50036">
            <w:pPr>
              <w:pStyle w:val="TabIntestazioni"/>
            </w:pPr>
            <w:r w:rsidRPr="0085406E">
              <w:t>20</w:t>
            </w:r>
            <w:r>
              <w:t>21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0BBF6D20" w:rsidR="00A50036" w:rsidRPr="0085406E" w:rsidRDefault="00A50036" w:rsidP="00A50036">
            <w:pPr>
              <w:pStyle w:val="TabIntestazioni"/>
            </w:pPr>
            <w:r w:rsidRPr="0085406E">
              <w:t>20</w:t>
            </w:r>
            <w:r>
              <w:t>22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6C52C95A" w:rsidR="00A50036" w:rsidRPr="0085406E" w:rsidRDefault="00A50036" w:rsidP="00A50036">
            <w:pPr>
              <w:pStyle w:val="TabIntestazioni"/>
            </w:pPr>
            <w:r w:rsidRPr="0085406E">
              <w:t>20</w:t>
            </w:r>
            <w:r>
              <w:t>23</w:t>
            </w:r>
          </w:p>
        </w:tc>
      </w:tr>
      <w:tr w:rsidR="000A6AC8" w14:paraId="28B0A33A" w14:textId="77777777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560490"/>
        </w:tc>
      </w:tr>
      <w:tr w:rsidR="000A6AC8" w14:paraId="47612E03" w14:textId="77777777" w:rsidTr="00560490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560490">
            <w:pPr>
              <w:pStyle w:val="tabnum"/>
            </w:pPr>
          </w:p>
        </w:tc>
      </w:tr>
      <w:tr w:rsidR="00CB748B" w14:paraId="398855ED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6EA2B648" w:rsidR="00CB748B" w:rsidRPr="00AE376F" w:rsidRDefault="00CB748B" w:rsidP="00CB748B">
            <w:pPr>
              <w:pStyle w:val="TabNumeri"/>
            </w:pPr>
            <w:r w:rsidRPr="001447F9">
              <w:t>-9,3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40BD7B7B" w:rsidR="00CB748B" w:rsidRPr="00AE376F" w:rsidRDefault="00CB748B" w:rsidP="00CB748B">
            <w:pPr>
              <w:pStyle w:val="TabNumeri"/>
            </w:pPr>
            <w:r w:rsidRPr="001447F9">
              <w:t>6,9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19DF090A" w:rsidR="00CB748B" w:rsidRPr="00AE376F" w:rsidRDefault="00CB748B" w:rsidP="00CB748B">
            <w:pPr>
              <w:pStyle w:val="TabNumeri"/>
            </w:pPr>
            <w:r w:rsidRPr="001447F9">
              <w:t>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401DA756" w:rsidR="00CB748B" w:rsidRPr="00AE376F" w:rsidRDefault="00CB748B" w:rsidP="00CB748B">
            <w:pPr>
              <w:pStyle w:val="TabNumeri"/>
            </w:pPr>
            <w:r w:rsidRPr="001447F9">
              <w:t>3,0</w:t>
            </w:r>
          </w:p>
        </w:tc>
      </w:tr>
      <w:tr w:rsidR="00CB748B" w14:paraId="40624A75" w14:textId="77777777" w:rsidTr="00560490">
        <w:trPr>
          <w:cantSplit/>
          <w:trHeight w:val="227"/>
        </w:trPr>
        <w:tc>
          <w:tcPr>
            <w:tcW w:w="4820" w:type="dxa"/>
          </w:tcPr>
          <w:p w14:paraId="3E554455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1C32A679" w:rsidR="00CB748B" w:rsidRPr="00AE376F" w:rsidRDefault="00CB748B" w:rsidP="00CB748B">
            <w:pPr>
              <w:pStyle w:val="TabNumeri"/>
            </w:pPr>
            <w:r w:rsidRPr="001447F9">
              <w:t>-9,2</w:t>
            </w:r>
          </w:p>
        </w:tc>
        <w:tc>
          <w:tcPr>
            <w:tcW w:w="1134" w:type="dxa"/>
          </w:tcPr>
          <w:p w14:paraId="5F17EF70" w14:textId="6D57D2F0" w:rsidR="00CB748B" w:rsidRPr="00AE376F" w:rsidRDefault="00CB748B" w:rsidP="00CB748B">
            <w:pPr>
              <w:pStyle w:val="TabNumeri"/>
            </w:pPr>
            <w:r w:rsidRPr="001447F9">
              <w:t>7,1</w:t>
            </w:r>
          </w:p>
        </w:tc>
        <w:tc>
          <w:tcPr>
            <w:tcW w:w="1134" w:type="dxa"/>
          </w:tcPr>
          <w:p w14:paraId="344984E3" w14:textId="1E98EA8F" w:rsidR="00CB748B" w:rsidRPr="00AE376F" w:rsidRDefault="00CB748B" w:rsidP="00CB748B">
            <w:pPr>
              <w:pStyle w:val="TabNumeri"/>
            </w:pPr>
            <w:r w:rsidRPr="001447F9">
              <w:t>5,3</w:t>
            </w:r>
          </w:p>
        </w:tc>
        <w:tc>
          <w:tcPr>
            <w:tcW w:w="1134" w:type="dxa"/>
          </w:tcPr>
          <w:p w14:paraId="037BD335" w14:textId="0C7C4D42" w:rsidR="00CB748B" w:rsidRPr="00AE376F" w:rsidRDefault="00CB748B" w:rsidP="00CB748B">
            <w:pPr>
              <w:pStyle w:val="TabNumeri"/>
            </w:pPr>
            <w:r w:rsidRPr="001447F9">
              <w:t>4,1</w:t>
            </w:r>
          </w:p>
        </w:tc>
      </w:tr>
      <w:tr w:rsidR="00CB748B" w14:paraId="02BA9AE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53C6B173" w:rsidR="00CB748B" w:rsidRPr="00AE376F" w:rsidRDefault="00CB748B" w:rsidP="00CB748B">
            <w:pPr>
              <w:pStyle w:val="TabNumeri"/>
            </w:pPr>
            <w:r w:rsidRPr="001447F9">
              <w:t>-12,0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71572AA8" w:rsidR="00CB748B" w:rsidRPr="00AE376F" w:rsidRDefault="00CB748B" w:rsidP="00CB748B">
            <w:pPr>
              <w:pStyle w:val="TabNumeri"/>
            </w:pPr>
            <w:r w:rsidRPr="001447F9">
              <w:t>5,0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4DC3FD2F" w:rsidR="00CB748B" w:rsidRPr="00AE376F" w:rsidRDefault="00CB748B" w:rsidP="00CB748B">
            <w:pPr>
              <w:pStyle w:val="TabNumeri"/>
            </w:pPr>
            <w:r w:rsidRPr="001447F9">
              <w:t>5,2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6AA427E4" w:rsidR="00CB748B" w:rsidRPr="00AE376F" w:rsidRDefault="00CB748B" w:rsidP="00CB748B">
            <w:pPr>
              <w:pStyle w:val="TabNumeri"/>
            </w:pPr>
            <w:r w:rsidRPr="001447F9">
              <w:t>4,2</w:t>
            </w:r>
          </w:p>
        </w:tc>
      </w:tr>
      <w:tr w:rsidR="00CB748B" w14:paraId="40A77F76" w14:textId="77777777" w:rsidTr="00560490">
        <w:trPr>
          <w:cantSplit/>
          <w:trHeight w:val="227"/>
        </w:trPr>
        <w:tc>
          <w:tcPr>
            <w:tcW w:w="4820" w:type="dxa"/>
          </w:tcPr>
          <w:p w14:paraId="4BD49D0D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7DB0E010" w:rsidR="00CB748B" w:rsidRPr="00AE376F" w:rsidRDefault="00CB748B" w:rsidP="00CB748B">
            <w:pPr>
              <w:pStyle w:val="TabNumeri"/>
            </w:pPr>
            <w:r w:rsidRPr="001447F9">
              <w:t>1,6</w:t>
            </w:r>
          </w:p>
        </w:tc>
        <w:tc>
          <w:tcPr>
            <w:tcW w:w="1134" w:type="dxa"/>
          </w:tcPr>
          <w:p w14:paraId="49C4D9E8" w14:textId="1B0CBB9A" w:rsidR="00CB748B" w:rsidRPr="00AE376F" w:rsidRDefault="00CB748B" w:rsidP="00CB748B">
            <w:pPr>
              <w:pStyle w:val="TabNumeri"/>
            </w:pPr>
            <w:r w:rsidRPr="001447F9">
              <w:t>1,4</w:t>
            </w:r>
          </w:p>
        </w:tc>
        <w:tc>
          <w:tcPr>
            <w:tcW w:w="1134" w:type="dxa"/>
          </w:tcPr>
          <w:p w14:paraId="1FE86ABB" w14:textId="72FB4DA1" w:rsidR="00CB748B" w:rsidRPr="00AE376F" w:rsidRDefault="00CB748B" w:rsidP="00CB748B">
            <w:pPr>
              <w:pStyle w:val="TabNumeri"/>
            </w:pPr>
            <w:r w:rsidRPr="001447F9">
              <w:t>1,0</w:t>
            </w:r>
          </w:p>
        </w:tc>
        <w:tc>
          <w:tcPr>
            <w:tcW w:w="1134" w:type="dxa"/>
          </w:tcPr>
          <w:p w14:paraId="32534C6B" w14:textId="3CE5891D" w:rsidR="00CB748B" w:rsidRPr="00AE376F" w:rsidRDefault="00CB748B" w:rsidP="00CB748B">
            <w:pPr>
              <w:pStyle w:val="TabNumeri"/>
            </w:pPr>
            <w:r w:rsidRPr="001447F9">
              <w:t>0,3</w:t>
            </w:r>
          </w:p>
        </w:tc>
      </w:tr>
      <w:tr w:rsidR="00CB748B" w14:paraId="41CC19C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7B438E1F" w:rsidR="00CB748B" w:rsidRPr="00AE376F" w:rsidRDefault="00CB748B" w:rsidP="00CB748B">
            <w:pPr>
              <w:pStyle w:val="TabNumeri"/>
            </w:pPr>
            <w:r w:rsidRPr="001447F9">
              <w:t>-9,3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27C982B5" w:rsidR="00CB748B" w:rsidRPr="00AE376F" w:rsidRDefault="00CB748B" w:rsidP="00CB748B">
            <w:pPr>
              <w:pStyle w:val="TabNumeri"/>
            </w:pPr>
            <w:r w:rsidRPr="001447F9">
              <w:t>18,6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65A558D9" w:rsidR="00CB748B" w:rsidRPr="00AE376F" w:rsidRDefault="00CB748B" w:rsidP="00CB748B">
            <w:pPr>
              <w:pStyle w:val="TabNumeri"/>
            </w:pPr>
            <w:r w:rsidRPr="001447F9">
              <w:t>8,8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4387664E" w:rsidR="00CB748B" w:rsidRPr="00AE376F" w:rsidRDefault="00CB748B" w:rsidP="00CB748B">
            <w:pPr>
              <w:pStyle w:val="TabNumeri"/>
            </w:pPr>
            <w:r w:rsidRPr="001447F9">
              <w:t>6,6</w:t>
            </w:r>
          </w:p>
        </w:tc>
      </w:tr>
      <w:tr w:rsidR="00CB748B" w14:paraId="58CF5494" w14:textId="77777777" w:rsidTr="00560490">
        <w:trPr>
          <w:cantSplit/>
          <w:trHeight w:val="227"/>
        </w:trPr>
        <w:tc>
          <w:tcPr>
            <w:tcW w:w="4820" w:type="dxa"/>
          </w:tcPr>
          <w:p w14:paraId="4E0554EF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2E7B37FC" w:rsidR="00CB748B" w:rsidRPr="00AE376F" w:rsidRDefault="00CB748B" w:rsidP="00CB748B">
            <w:pPr>
              <w:pStyle w:val="TabNumeri"/>
            </w:pPr>
            <w:r w:rsidRPr="001447F9">
              <w:t>-4,8</w:t>
            </w:r>
          </w:p>
        </w:tc>
        <w:tc>
          <w:tcPr>
            <w:tcW w:w="1134" w:type="dxa"/>
          </w:tcPr>
          <w:p w14:paraId="15200074" w14:textId="7D3D359E" w:rsidR="00CB748B" w:rsidRPr="00AE376F" w:rsidRDefault="00CB748B" w:rsidP="00CB748B">
            <w:pPr>
              <w:pStyle w:val="TabNumeri"/>
            </w:pPr>
            <w:r w:rsidRPr="001447F9">
              <w:t>14,4</w:t>
            </w:r>
          </w:p>
        </w:tc>
        <w:tc>
          <w:tcPr>
            <w:tcW w:w="1134" w:type="dxa"/>
          </w:tcPr>
          <w:p w14:paraId="07BE2C79" w14:textId="7AC44B23" w:rsidR="00CB748B" w:rsidRPr="00AE376F" w:rsidRDefault="00CB748B" w:rsidP="00CB748B">
            <w:pPr>
              <w:pStyle w:val="TabNumeri"/>
            </w:pPr>
            <w:r w:rsidRPr="001447F9">
              <w:t>9,1</w:t>
            </w:r>
          </w:p>
        </w:tc>
        <w:tc>
          <w:tcPr>
            <w:tcW w:w="1134" w:type="dxa"/>
          </w:tcPr>
          <w:p w14:paraId="25BCD8A1" w14:textId="672CB89A" w:rsidR="00CB748B" w:rsidRPr="00AE376F" w:rsidRDefault="00CB748B" w:rsidP="00CB748B">
            <w:pPr>
              <w:pStyle w:val="TabNumeri"/>
            </w:pPr>
            <w:r w:rsidRPr="001447F9">
              <w:t>6,6</w:t>
            </w:r>
          </w:p>
        </w:tc>
      </w:tr>
      <w:tr w:rsidR="00CB748B" w14:paraId="5B6F7521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1BD310C1" w:rsidR="00CB748B" w:rsidRPr="00AE376F" w:rsidRDefault="00CB748B" w:rsidP="00CB748B">
            <w:pPr>
              <w:pStyle w:val="TabNumeri"/>
            </w:pPr>
            <w:r w:rsidRPr="001447F9">
              <w:t>-7,8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41E82B17" w:rsidR="00CB748B" w:rsidRPr="00AE376F" w:rsidRDefault="00CB748B" w:rsidP="00CB748B">
            <w:pPr>
              <w:pStyle w:val="TabNumeri"/>
            </w:pPr>
            <w:r w:rsidRPr="001447F9">
              <w:t>12,5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150EE8D5" w:rsidR="00CB748B" w:rsidRPr="00AE376F" w:rsidRDefault="00CB748B" w:rsidP="00CB748B">
            <w:pPr>
              <w:pStyle w:val="TabNumeri"/>
            </w:pPr>
            <w:r w:rsidRPr="001447F9">
              <w:t>6,9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3F2901D3" w:rsidR="00CB748B" w:rsidRPr="00AE376F" w:rsidRDefault="00CB748B" w:rsidP="00CB748B">
            <w:pPr>
              <w:pStyle w:val="TabNumeri"/>
            </w:pPr>
            <w:r w:rsidRPr="001447F9">
              <w:t>4,4</w:t>
            </w:r>
          </w:p>
        </w:tc>
      </w:tr>
      <w:tr w:rsidR="00CB748B" w14:paraId="60D3834A" w14:textId="77777777" w:rsidTr="00560490">
        <w:trPr>
          <w:cantSplit/>
          <w:trHeight w:val="227"/>
        </w:trPr>
        <w:tc>
          <w:tcPr>
            <w:tcW w:w="4820" w:type="dxa"/>
          </w:tcPr>
          <w:p w14:paraId="5DED4FD3" w14:textId="77777777" w:rsidR="00CB748B" w:rsidRPr="00EC6592" w:rsidRDefault="00CB748B" w:rsidP="00CB748B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CB748B" w:rsidRPr="00AE376F" w:rsidRDefault="00CB748B" w:rsidP="00CB748B">
            <w:pPr>
              <w:pStyle w:val="TabNumeri"/>
            </w:pPr>
          </w:p>
        </w:tc>
      </w:tr>
      <w:tr w:rsidR="00CB748B" w14:paraId="12671B4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2F2B9E47" w:rsidR="00CB748B" w:rsidRPr="00AE376F" w:rsidRDefault="00CB748B" w:rsidP="00CB748B">
            <w:pPr>
              <w:pStyle w:val="TabNumeri"/>
            </w:pPr>
            <w:r w:rsidRPr="001447F9">
              <w:t>-3,5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094107A8" w:rsidR="00CB748B" w:rsidRPr="00AE376F" w:rsidRDefault="00CB748B" w:rsidP="00CB748B">
            <w:pPr>
              <w:pStyle w:val="TabNumeri"/>
            </w:pPr>
            <w:r w:rsidRPr="001447F9"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141D45C4" w:rsidR="00CB748B" w:rsidRPr="00AE376F" w:rsidRDefault="00CB748B" w:rsidP="00CB748B">
            <w:pPr>
              <w:pStyle w:val="TabNumeri"/>
            </w:pPr>
            <w:r w:rsidRPr="001447F9">
              <w:t>2,9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1CBF3C97" w:rsidR="00CB748B" w:rsidRPr="00AE376F" w:rsidRDefault="00CB748B" w:rsidP="00CB748B">
            <w:pPr>
              <w:pStyle w:val="TabNumeri"/>
            </w:pPr>
            <w:r w:rsidRPr="001447F9">
              <w:t>1,3</w:t>
            </w:r>
          </w:p>
        </w:tc>
      </w:tr>
      <w:tr w:rsidR="00CB748B" w14:paraId="1E53DC3C" w14:textId="77777777" w:rsidTr="00560490">
        <w:trPr>
          <w:cantSplit/>
          <w:trHeight w:val="227"/>
        </w:trPr>
        <w:tc>
          <w:tcPr>
            <w:tcW w:w="4820" w:type="dxa"/>
          </w:tcPr>
          <w:p w14:paraId="188EEC9B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3ACDAF12" w:rsidR="00CB748B" w:rsidRPr="00AE376F" w:rsidRDefault="00CB748B" w:rsidP="00CB748B">
            <w:pPr>
              <w:pStyle w:val="TabNumeri"/>
            </w:pPr>
            <w:r w:rsidRPr="001447F9">
              <w:t>-11,2</w:t>
            </w:r>
          </w:p>
        </w:tc>
        <w:tc>
          <w:tcPr>
            <w:tcW w:w="1134" w:type="dxa"/>
          </w:tcPr>
          <w:p w14:paraId="303D6EA3" w14:textId="51E7C431" w:rsidR="00CB748B" w:rsidRPr="00AE376F" w:rsidRDefault="00CB748B" w:rsidP="00CB748B">
            <w:pPr>
              <w:pStyle w:val="TabNumeri"/>
            </w:pPr>
            <w:r w:rsidRPr="001447F9">
              <w:t>10,8</w:t>
            </w:r>
          </w:p>
        </w:tc>
        <w:tc>
          <w:tcPr>
            <w:tcW w:w="1134" w:type="dxa"/>
          </w:tcPr>
          <w:p w14:paraId="3FCA2BAC" w14:textId="1637A438" w:rsidR="00CB748B" w:rsidRPr="00AE376F" w:rsidRDefault="00CB748B" w:rsidP="00CB748B">
            <w:pPr>
              <w:pStyle w:val="TabNumeri"/>
            </w:pPr>
            <w:r w:rsidRPr="001447F9">
              <w:t>2,4</w:t>
            </w:r>
          </w:p>
        </w:tc>
        <w:tc>
          <w:tcPr>
            <w:tcW w:w="1134" w:type="dxa"/>
          </w:tcPr>
          <w:p w14:paraId="49FA31C3" w14:textId="786781E7" w:rsidR="00CB748B" w:rsidRPr="00AE376F" w:rsidRDefault="00CB748B" w:rsidP="00CB748B">
            <w:pPr>
              <w:pStyle w:val="TabNumeri"/>
            </w:pPr>
            <w:r w:rsidRPr="001447F9">
              <w:t>3,1</w:t>
            </w:r>
          </w:p>
        </w:tc>
      </w:tr>
      <w:tr w:rsidR="00CB748B" w14:paraId="076CB92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3CB84403" w:rsidR="00CB748B" w:rsidRPr="00AE376F" w:rsidRDefault="00CB748B" w:rsidP="00CB748B">
            <w:pPr>
              <w:pStyle w:val="TabNumeri"/>
            </w:pPr>
            <w:r w:rsidRPr="001447F9">
              <w:t>-5,0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5BB5960E" w:rsidR="00CB748B" w:rsidRPr="00AE376F" w:rsidRDefault="00CB748B" w:rsidP="00CB748B">
            <w:pPr>
              <w:pStyle w:val="TabNumeri"/>
            </w:pPr>
            <w:r w:rsidRPr="001447F9">
              <w:t>20,0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2281E9C8" w:rsidR="00CB748B" w:rsidRPr="00AE376F" w:rsidRDefault="00CB748B" w:rsidP="00CB748B">
            <w:pPr>
              <w:pStyle w:val="TabNumeri"/>
            </w:pPr>
            <w:r w:rsidRPr="001447F9">
              <w:t>7,7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28F3E1F2" w:rsidR="00CB748B" w:rsidRPr="00AE376F" w:rsidRDefault="00CB748B" w:rsidP="00CB748B">
            <w:pPr>
              <w:pStyle w:val="TabNumeri"/>
            </w:pPr>
            <w:r w:rsidRPr="001447F9">
              <w:t>6,9</w:t>
            </w:r>
          </w:p>
        </w:tc>
      </w:tr>
      <w:tr w:rsidR="00CB748B" w14:paraId="2C2C23CA" w14:textId="77777777" w:rsidTr="00560490">
        <w:trPr>
          <w:cantSplit/>
          <w:trHeight w:val="227"/>
        </w:trPr>
        <w:tc>
          <w:tcPr>
            <w:tcW w:w="4820" w:type="dxa"/>
          </w:tcPr>
          <w:p w14:paraId="71072637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56EB522F" w:rsidR="00CB748B" w:rsidRPr="00AE376F" w:rsidRDefault="00CB748B" w:rsidP="00CB748B">
            <w:pPr>
              <w:pStyle w:val="TabNumeri"/>
            </w:pPr>
            <w:r w:rsidRPr="001447F9">
              <w:t>-8,7</w:t>
            </w:r>
          </w:p>
        </w:tc>
        <w:tc>
          <w:tcPr>
            <w:tcW w:w="1134" w:type="dxa"/>
          </w:tcPr>
          <w:p w14:paraId="755D1ED7" w14:textId="10CAF370" w:rsidR="00CB748B" w:rsidRPr="00AE376F" w:rsidRDefault="00CB748B" w:rsidP="00CB748B">
            <w:pPr>
              <w:pStyle w:val="TabNumeri"/>
            </w:pPr>
            <w:r w:rsidRPr="001447F9">
              <w:t>4,9</w:t>
            </w:r>
          </w:p>
        </w:tc>
        <w:tc>
          <w:tcPr>
            <w:tcW w:w="1134" w:type="dxa"/>
          </w:tcPr>
          <w:p w14:paraId="107514CC" w14:textId="273BB092" w:rsidR="00CB748B" w:rsidRPr="00AE376F" w:rsidRDefault="00CB748B" w:rsidP="00CB748B">
            <w:pPr>
              <w:pStyle w:val="TabNumeri"/>
            </w:pPr>
            <w:r w:rsidRPr="001447F9">
              <w:t>4,7</w:t>
            </w:r>
          </w:p>
        </w:tc>
        <w:tc>
          <w:tcPr>
            <w:tcW w:w="1134" w:type="dxa"/>
          </w:tcPr>
          <w:p w14:paraId="76AB7ECB" w14:textId="489500B1" w:rsidR="00CB748B" w:rsidRPr="00AE376F" w:rsidRDefault="00CB748B" w:rsidP="00CB748B">
            <w:pPr>
              <w:pStyle w:val="TabNumeri"/>
            </w:pPr>
            <w:r w:rsidRPr="001447F9">
              <w:t>2,7</w:t>
            </w:r>
          </w:p>
        </w:tc>
      </w:tr>
      <w:tr w:rsidR="00CB748B" w14:paraId="2E730199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CB748B" w:rsidRDefault="00CB748B" w:rsidP="00CB748B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50074674" w:rsidR="00CB748B" w:rsidRPr="00AE376F" w:rsidRDefault="00CB748B" w:rsidP="00CB748B">
            <w:pPr>
              <w:pStyle w:val="TabNumeri"/>
            </w:pPr>
            <w:r w:rsidRPr="001447F9">
              <w:t>-9,1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62EEB5DA" w:rsidR="00CB748B" w:rsidRPr="00AE376F" w:rsidRDefault="00CB748B" w:rsidP="00CB748B">
            <w:pPr>
              <w:pStyle w:val="TabNumeri"/>
            </w:pPr>
            <w:r w:rsidRPr="001447F9">
              <w:t>7,0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30C4548C" w:rsidR="00CB748B" w:rsidRPr="00AE376F" w:rsidRDefault="00CB748B" w:rsidP="00CB748B">
            <w:pPr>
              <w:pStyle w:val="TabNumeri"/>
            </w:pPr>
            <w:r w:rsidRPr="001447F9">
              <w:t>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604248AB" w:rsidR="00CB748B" w:rsidRPr="00AE376F" w:rsidRDefault="00CB748B" w:rsidP="00CB748B">
            <w:pPr>
              <w:pStyle w:val="TabNumeri"/>
            </w:pPr>
            <w:r w:rsidRPr="001447F9">
              <w:t>3,0</w:t>
            </w:r>
          </w:p>
        </w:tc>
      </w:tr>
      <w:tr w:rsidR="00CB748B" w14:paraId="5F434ED6" w14:textId="77777777" w:rsidTr="00560490">
        <w:trPr>
          <w:cantSplit/>
          <w:trHeight w:val="227"/>
        </w:trPr>
        <w:tc>
          <w:tcPr>
            <w:tcW w:w="4820" w:type="dxa"/>
          </w:tcPr>
          <w:p w14:paraId="0D111956" w14:textId="77777777" w:rsidR="00CB748B" w:rsidRPr="00EC6592" w:rsidRDefault="00CB748B" w:rsidP="00CB748B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CB748B" w:rsidRPr="00AE376F" w:rsidRDefault="00CB748B" w:rsidP="00CB748B">
            <w:pPr>
              <w:pStyle w:val="TabNumeri"/>
            </w:pPr>
          </w:p>
        </w:tc>
      </w:tr>
      <w:tr w:rsidR="00CB748B" w14:paraId="41625814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CB748B" w:rsidRPr="00983308" w:rsidRDefault="00CB748B" w:rsidP="00CB748B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6C4B09E5" w:rsidR="00CB748B" w:rsidRPr="00AE376F" w:rsidRDefault="00CB748B" w:rsidP="00CB748B">
            <w:pPr>
              <w:pStyle w:val="TabNumeri"/>
            </w:pPr>
            <w:r w:rsidRPr="001447F9">
              <w:t>-2,6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22BF4B03" w:rsidR="00CB748B" w:rsidRPr="00AE376F" w:rsidRDefault="00CB748B" w:rsidP="00CB748B">
            <w:pPr>
              <w:pStyle w:val="TabNumeri"/>
            </w:pPr>
            <w:r w:rsidRPr="001447F9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5D73F6F0" w:rsidR="00CB748B" w:rsidRPr="00AE376F" w:rsidRDefault="00CB748B" w:rsidP="00CB748B">
            <w:pPr>
              <w:pStyle w:val="TabNumeri"/>
            </w:pPr>
            <w:r w:rsidRPr="001447F9">
              <w:t>1,7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41F58BA7" w:rsidR="00CB748B" w:rsidRPr="00AE376F" w:rsidRDefault="00CB748B" w:rsidP="00CB748B">
            <w:pPr>
              <w:pStyle w:val="TabNumeri"/>
            </w:pPr>
            <w:r w:rsidRPr="001447F9">
              <w:t>1,3</w:t>
            </w:r>
          </w:p>
        </w:tc>
      </w:tr>
      <w:tr w:rsidR="00CB748B" w14:paraId="22BDA044" w14:textId="77777777" w:rsidTr="00560490">
        <w:trPr>
          <w:cantSplit/>
          <w:trHeight w:val="227"/>
        </w:trPr>
        <w:tc>
          <w:tcPr>
            <w:tcW w:w="4820" w:type="dxa"/>
          </w:tcPr>
          <w:p w14:paraId="74D9DC44" w14:textId="77777777" w:rsidR="00CB748B" w:rsidRDefault="00CB748B" w:rsidP="00CB748B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5FAB1774" w:rsidR="00CB748B" w:rsidRPr="00AE376F" w:rsidRDefault="00CB748B" w:rsidP="00CB748B">
            <w:pPr>
              <w:pStyle w:val="TabNumeri"/>
            </w:pPr>
            <w:r w:rsidRPr="001447F9">
              <w:t>-2,9</w:t>
            </w:r>
          </w:p>
        </w:tc>
        <w:tc>
          <w:tcPr>
            <w:tcW w:w="1134" w:type="dxa"/>
          </w:tcPr>
          <w:p w14:paraId="1D5B4BDC" w14:textId="0C30DF77" w:rsidR="00CB748B" w:rsidRPr="00AE376F" w:rsidRDefault="00CB748B" w:rsidP="00CB748B">
            <w:pPr>
              <w:pStyle w:val="TabNumeri"/>
            </w:pPr>
            <w:r w:rsidRPr="001447F9">
              <w:t>0,5</w:t>
            </w:r>
          </w:p>
        </w:tc>
        <w:tc>
          <w:tcPr>
            <w:tcW w:w="1134" w:type="dxa"/>
          </w:tcPr>
          <w:p w14:paraId="5279F736" w14:textId="07123DAD" w:rsidR="00CB748B" w:rsidRPr="00AE376F" w:rsidRDefault="00CB748B" w:rsidP="00CB748B">
            <w:pPr>
              <w:pStyle w:val="TabNumeri"/>
            </w:pPr>
            <w:r w:rsidRPr="001447F9">
              <w:t>1,6</w:t>
            </w:r>
          </w:p>
        </w:tc>
        <w:tc>
          <w:tcPr>
            <w:tcW w:w="1134" w:type="dxa"/>
          </w:tcPr>
          <w:p w14:paraId="2C0DA69D" w14:textId="3D9ACB89" w:rsidR="00CB748B" w:rsidRPr="00AE376F" w:rsidRDefault="00CB748B" w:rsidP="00CB748B">
            <w:pPr>
              <w:pStyle w:val="TabNumeri"/>
            </w:pPr>
            <w:r w:rsidRPr="001447F9">
              <w:t>1,5</w:t>
            </w:r>
          </w:p>
        </w:tc>
      </w:tr>
      <w:tr w:rsidR="00CB748B" w14:paraId="4A28A52C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CB748B" w:rsidRPr="007427DC" w:rsidRDefault="00CB748B" w:rsidP="00CB748B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07ED1D02" w:rsidR="00CB748B" w:rsidRPr="00AE376F" w:rsidRDefault="00CB748B" w:rsidP="00CB748B">
            <w:pPr>
              <w:pStyle w:val="TabNumeri"/>
            </w:pPr>
            <w:r w:rsidRPr="001447F9">
              <w:t>47,3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48E94FF9" w:rsidR="00CB748B" w:rsidRPr="00AE376F" w:rsidRDefault="00CB748B" w:rsidP="00CB748B">
            <w:pPr>
              <w:pStyle w:val="TabNumeri"/>
            </w:pPr>
            <w:r w:rsidRPr="001447F9">
              <w:t>47,8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603D2531" w:rsidR="00CB748B" w:rsidRPr="00AE376F" w:rsidRDefault="00CB748B" w:rsidP="00CB748B">
            <w:pPr>
              <w:pStyle w:val="TabNumeri"/>
            </w:pPr>
            <w:r w:rsidRPr="001447F9">
              <w:t>48,6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40EEB56C" w:rsidR="00CB748B" w:rsidRPr="00AE376F" w:rsidRDefault="00CB748B" w:rsidP="00CB748B">
            <w:pPr>
              <w:pStyle w:val="TabNumeri"/>
            </w:pPr>
            <w:r w:rsidRPr="001447F9">
              <w:t>49,2</w:t>
            </w:r>
          </w:p>
        </w:tc>
      </w:tr>
      <w:tr w:rsidR="00CB748B" w14:paraId="3DE420A0" w14:textId="77777777" w:rsidTr="00560490">
        <w:trPr>
          <w:cantSplit/>
          <w:trHeight w:val="227"/>
        </w:trPr>
        <w:tc>
          <w:tcPr>
            <w:tcW w:w="4820" w:type="dxa"/>
          </w:tcPr>
          <w:p w14:paraId="145558C9" w14:textId="77777777" w:rsidR="00CB748B" w:rsidRPr="007427DC" w:rsidRDefault="00CB748B" w:rsidP="00CB748B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04FC5838" w:rsidR="00CB748B" w:rsidRPr="00AE376F" w:rsidRDefault="00CB748B" w:rsidP="00CB748B">
            <w:pPr>
              <w:pStyle w:val="TabNumeri"/>
            </w:pPr>
            <w:r w:rsidRPr="001447F9">
              <w:t>44,5</w:t>
            </w:r>
          </w:p>
        </w:tc>
        <w:tc>
          <w:tcPr>
            <w:tcW w:w="1134" w:type="dxa"/>
          </w:tcPr>
          <w:p w14:paraId="78667E31" w14:textId="705ED3B8" w:rsidR="00CB748B" w:rsidRPr="00AE376F" w:rsidRDefault="00CB748B" w:rsidP="00CB748B">
            <w:pPr>
              <w:pStyle w:val="TabNumeri"/>
            </w:pPr>
            <w:r w:rsidRPr="001447F9">
              <w:t>44,9</w:t>
            </w:r>
          </w:p>
        </w:tc>
        <w:tc>
          <w:tcPr>
            <w:tcW w:w="1134" w:type="dxa"/>
          </w:tcPr>
          <w:p w14:paraId="0F04068E" w14:textId="273D7717" w:rsidR="00CB748B" w:rsidRPr="00AE376F" w:rsidRDefault="00CB748B" w:rsidP="00CB748B">
            <w:pPr>
              <w:pStyle w:val="TabNumeri"/>
            </w:pPr>
            <w:r w:rsidRPr="001447F9">
              <w:t>45,6</w:t>
            </w:r>
          </w:p>
        </w:tc>
        <w:tc>
          <w:tcPr>
            <w:tcW w:w="1134" w:type="dxa"/>
          </w:tcPr>
          <w:p w14:paraId="287C26AA" w14:textId="543A4847" w:rsidR="00CB748B" w:rsidRPr="00AE376F" w:rsidRDefault="00CB748B" w:rsidP="00CB748B">
            <w:pPr>
              <w:pStyle w:val="TabNumeri"/>
            </w:pPr>
            <w:r w:rsidRPr="001447F9">
              <w:t>46,3</w:t>
            </w:r>
          </w:p>
        </w:tc>
      </w:tr>
      <w:tr w:rsidR="00CB748B" w14:paraId="32DB9DFF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CB748B" w:rsidRPr="007427DC" w:rsidRDefault="00CB748B" w:rsidP="00CB748B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500F0A8F" w:rsidR="00CB748B" w:rsidRPr="00AE376F" w:rsidRDefault="00CB748B" w:rsidP="00CB748B">
            <w:pPr>
              <w:pStyle w:val="TabNumeri"/>
            </w:pPr>
            <w:r w:rsidRPr="001447F9">
              <w:t>5,8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78798624" w:rsidR="00CB748B" w:rsidRPr="00AE376F" w:rsidRDefault="00CB748B" w:rsidP="00CB748B">
            <w:pPr>
              <w:pStyle w:val="TabNumeri"/>
            </w:pPr>
            <w:r w:rsidRPr="001447F9"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71792CCD" w:rsidR="00CB748B" w:rsidRPr="00AE376F" w:rsidRDefault="00CB748B" w:rsidP="00CB748B">
            <w:pPr>
              <w:pStyle w:val="TabNumeri"/>
            </w:pPr>
            <w:r w:rsidRPr="001447F9">
              <w:t>6,0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58D2C459" w:rsidR="00CB748B" w:rsidRPr="00AE376F" w:rsidRDefault="00CB748B" w:rsidP="00CB748B">
            <w:pPr>
              <w:pStyle w:val="TabNumeri"/>
            </w:pPr>
            <w:r w:rsidRPr="001447F9">
              <w:t>5,8</w:t>
            </w:r>
          </w:p>
        </w:tc>
      </w:tr>
      <w:tr w:rsidR="00CB748B" w14:paraId="7EB8B1C5" w14:textId="77777777" w:rsidTr="00560490">
        <w:trPr>
          <w:cantSplit/>
          <w:trHeight w:val="227"/>
        </w:trPr>
        <w:tc>
          <w:tcPr>
            <w:tcW w:w="4820" w:type="dxa"/>
          </w:tcPr>
          <w:p w14:paraId="2E49119C" w14:textId="77777777" w:rsidR="00CB748B" w:rsidRPr="00EC6592" w:rsidRDefault="00CB748B" w:rsidP="00CB748B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CB748B" w:rsidRPr="00AE376F" w:rsidRDefault="00CB748B" w:rsidP="00CB748B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CB748B" w:rsidRPr="00AE376F" w:rsidRDefault="00CB748B" w:rsidP="00CB748B">
            <w:pPr>
              <w:pStyle w:val="TabNumeri"/>
            </w:pPr>
          </w:p>
        </w:tc>
      </w:tr>
      <w:tr w:rsidR="00CB748B" w14:paraId="16526FF3" w14:textId="77777777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CB748B" w:rsidRPr="00B130A5" w:rsidRDefault="00CB748B" w:rsidP="00CB748B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6F33AC1F" w:rsidR="00CB748B" w:rsidRPr="00AE376F" w:rsidRDefault="00CB748B" w:rsidP="00CB748B">
            <w:pPr>
              <w:pStyle w:val="TabNumeri"/>
            </w:pPr>
            <w:r w:rsidRPr="001447F9">
              <w:t>-3,7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57B08E1E" w:rsidR="00CB748B" w:rsidRPr="00AE376F" w:rsidRDefault="00CB748B" w:rsidP="00CB748B">
            <w:pPr>
              <w:pStyle w:val="TabNumeri"/>
            </w:pPr>
            <w:r w:rsidRPr="001447F9">
              <w:t>5,4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2AB61AE8" w:rsidR="00CB748B" w:rsidRPr="00AE376F" w:rsidRDefault="00CB748B" w:rsidP="00CB748B">
            <w:pPr>
              <w:pStyle w:val="TabNumeri"/>
            </w:pPr>
            <w:r w:rsidRPr="001447F9">
              <w:t>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6C54AE90" w:rsidR="00CB748B" w:rsidRPr="00AE376F" w:rsidRDefault="00CB748B" w:rsidP="00CB748B">
            <w:pPr>
              <w:pStyle w:val="TabNumeri"/>
            </w:pPr>
            <w:r w:rsidRPr="001447F9">
              <w:t>3,0</w:t>
            </w:r>
          </w:p>
        </w:tc>
      </w:tr>
      <w:tr w:rsidR="00CB748B" w14:paraId="3970B371" w14:textId="77777777" w:rsidTr="00560490">
        <w:trPr>
          <w:cantSplit/>
          <w:trHeight w:val="227"/>
        </w:trPr>
        <w:tc>
          <w:tcPr>
            <w:tcW w:w="4820" w:type="dxa"/>
          </w:tcPr>
          <w:p w14:paraId="739D7505" w14:textId="77777777" w:rsidR="00CB748B" w:rsidRDefault="00CB748B" w:rsidP="00CB748B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79BB4864" w:rsidR="00CB748B" w:rsidRPr="00AE376F" w:rsidRDefault="00CB748B" w:rsidP="00CB748B">
            <w:pPr>
              <w:pStyle w:val="TabNumeri"/>
            </w:pPr>
            <w:r w:rsidRPr="001447F9">
              <w:t>28,8</w:t>
            </w:r>
          </w:p>
        </w:tc>
        <w:tc>
          <w:tcPr>
            <w:tcW w:w="1134" w:type="dxa"/>
          </w:tcPr>
          <w:p w14:paraId="4B5D2540" w14:textId="28860E28" w:rsidR="00CB748B" w:rsidRPr="00AE376F" w:rsidRDefault="00CB748B" w:rsidP="00CB748B">
            <w:pPr>
              <w:pStyle w:val="TabNumeri"/>
            </w:pPr>
            <w:r w:rsidRPr="001447F9">
              <w:t>31,0</w:t>
            </w:r>
          </w:p>
        </w:tc>
        <w:tc>
          <w:tcPr>
            <w:tcW w:w="1134" w:type="dxa"/>
          </w:tcPr>
          <w:p w14:paraId="4F6AF2DF" w14:textId="76CBB901" w:rsidR="00CB748B" w:rsidRPr="00AE376F" w:rsidRDefault="00CB748B" w:rsidP="00CB748B">
            <w:pPr>
              <w:pStyle w:val="TabNumeri"/>
            </w:pPr>
            <w:r w:rsidRPr="001447F9">
              <w:t>32,3</w:t>
            </w:r>
          </w:p>
        </w:tc>
        <w:tc>
          <w:tcPr>
            <w:tcW w:w="1134" w:type="dxa"/>
          </w:tcPr>
          <w:p w14:paraId="54F4410F" w14:textId="12F7AAD0" w:rsidR="00CB748B" w:rsidRDefault="00CB748B" w:rsidP="00CB748B">
            <w:pPr>
              <w:pStyle w:val="TabNumeri"/>
            </w:pPr>
            <w:r w:rsidRPr="001447F9">
              <w:t>33,3</w:t>
            </w:r>
          </w:p>
        </w:tc>
      </w:tr>
      <w:tr w:rsidR="000A6AC8" w14:paraId="3D74B357" w14:textId="77777777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7107B298" w:rsidR="000A6AC8" w:rsidRPr="007C570B" w:rsidRDefault="000A6AC8" w:rsidP="00153771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A50036">
              <w:t>gennaio</w:t>
            </w:r>
            <w:r w:rsidR="009C6AF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A50036">
              <w:rPr>
                <w:noProof/>
              </w:rPr>
              <w:t>2022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3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AF53B8">
        <w:trPr>
          <w:cantSplit/>
        </w:trPr>
        <w:tc>
          <w:tcPr>
            <w:tcW w:w="9356" w:type="dxa"/>
          </w:tcPr>
          <w:p w14:paraId="5A70ECBE" w14:textId="77777777" w:rsidR="00551593" w:rsidRDefault="00F51EF7" w:rsidP="00AF53B8">
            <w:pPr>
              <w:pStyle w:val="FigTitolo"/>
              <w:ind w:left="1134" w:hanging="1134"/>
            </w:pPr>
            <w:bookmarkStart w:id="14" w:name="_Hlk95833094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AF53B8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2A3E39BC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117877FE" w14:textId="1CC88CBF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A50036">
              <w:t xml:space="preserve">gennaio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A50036">
              <w:rPr>
                <w:noProof/>
              </w:rPr>
              <w:t>2022</w:t>
            </w:r>
            <w:r>
              <w:fldChar w:fldCharType="end"/>
            </w:r>
            <w:r w:rsidRPr="00B60C06">
              <w:t>.</w:t>
            </w:r>
          </w:p>
        </w:tc>
      </w:tr>
      <w:bookmarkEnd w:id="14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413019">
        <w:trPr>
          <w:cantSplit/>
        </w:trPr>
        <w:tc>
          <w:tcPr>
            <w:tcW w:w="9356" w:type="dxa"/>
          </w:tcPr>
          <w:p w14:paraId="756DF61E" w14:textId="77777777" w:rsidR="00551593" w:rsidRDefault="00F51EF7" w:rsidP="00092240">
            <w:pPr>
              <w:pStyle w:val="FigTitolo"/>
              <w:ind w:left="1134" w:hanging="1134"/>
            </w:pPr>
            <w:bookmarkStart w:id="15" w:name="_Hlk95833110"/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2D40D3C4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746DE94C" w14:textId="3CE5EFA4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A50036">
              <w:t xml:space="preserve">gennaio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A50036">
              <w:rPr>
                <w:noProof/>
              </w:rPr>
              <w:t>2022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  <w:bookmarkEnd w:id="15"/>
    </w:tbl>
    <w:p w14:paraId="75D49EDC" w14:textId="77777777"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2F29" w14:textId="77777777" w:rsidR="00B24A5D" w:rsidRDefault="00B24A5D">
      <w:r>
        <w:separator/>
      </w:r>
    </w:p>
    <w:p w14:paraId="0F17ECF2" w14:textId="77777777" w:rsidR="00B24A5D" w:rsidRDefault="00B24A5D"/>
  </w:endnote>
  <w:endnote w:type="continuationSeparator" w:id="0">
    <w:p w14:paraId="5B092D2B" w14:textId="77777777" w:rsidR="00B24A5D" w:rsidRDefault="00B24A5D">
      <w:r>
        <w:continuationSeparator/>
      </w:r>
    </w:p>
    <w:p w14:paraId="0A16A0B8" w14:textId="77777777" w:rsidR="00B24A5D" w:rsidRDefault="00B24A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0C49" w14:textId="77777777" w:rsidR="00243439" w:rsidRDefault="00243439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138423D0" w14:textId="77777777" w:rsidR="00243439" w:rsidRDefault="00243439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86D2" w14:textId="77777777" w:rsidR="00243439" w:rsidRDefault="00243439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736B3480" w14:textId="77777777" w:rsidR="00243439" w:rsidRDefault="00243439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B881" w14:textId="77777777" w:rsidR="00B24A5D" w:rsidRDefault="00B24A5D">
      <w:r>
        <w:separator/>
      </w:r>
    </w:p>
    <w:p w14:paraId="047EE643" w14:textId="77777777" w:rsidR="00B24A5D" w:rsidRDefault="00B24A5D"/>
  </w:footnote>
  <w:footnote w:type="continuationSeparator" w:id="0">
    <w:p w14:paraId="24B6998C" w14:textId="77777777" w:rsidR="00B24A5D" w:rsidRDefault="00B24A5D">
      <w:r>
        <w:continuationSeparator/>
      </w:r>
    </w:p>
    <w:p w14:paraId="0C2D5552" w14:textId="77777777" w:rsidR="00B24A5D" w:rsidRDefault="00B24A5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394C"/>
    <w:rsid w:val="00014186"/>
    <w:rsid w:val="00017471"/>
    <w:rsid w:val="00023493"/>
    <w:rsid w:val="000256C1"/>
    <w:rsid w:val="000268B0"/>
    <w:rsid w:val="000355D6"/>
    <w:rsid w:val="00042A50"/>
    <w:rsid w:val="0005477E"/>
    <w:rsid w:val="00055096"/>
    <w:rsid w:val="00055AA0"/>
    <w:rsid w:val="00061D42"/>
    <w:rsid w:val="00072096"/>
    <w:rsid w:val="00073656"/>
    <w:rsid w:val="0008614C"/>
    <w:rsid w:val="00091C7A"/>
    <w:rsid w:val="00092240"/>
    <w:rsid w:val="000929E9"/>
    <w:rsid w:val="000954C7"/>
    <w:rsid w:val="000A136A"/>
    <w:rsid w:val="000A3126"/>
    <w:rsid w:val="000A47C0"/>
    <w:rsid w:val="000A6AC8"/>
    <w:rsid w:val="000A7543"/>
    <w:rsid w:val="000A7ACE"/>
    <w:rsid w:val="000B1312"/>
    <w:rsid w:val="000B4E48"/>
    <w:rsid w:val="000B711D"/>
    <w:rsid w:val="000C35DD"/>
    <w:rsid w:val="000C3780"/>
    <w:rsid w:val="000C731A"/>
    <w:rsid w:val="000D058A"/>
    <w:rsid w:val="000D2AF5"/>
    <w:rsid w:val="000D3408"/>
    <w:rsid w:val="000D4EBF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3771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0714"/>
    <w:rsid w:val="001C7B8A"/>
    <w:rsid w:val="001D3849"/>
    <w:rsid w:val="001D3F9B"/>
    <w:rsid w:val="001D496D"/>
    <w:rsid w:val="001E2EB1"/>
    <w:rsid w:val="001F30A2"/>
    <w:rsid w:val="001F4A61"/>
    <w:rsid w:val="00204CFD"/>
    <w:rsid w:val="002112CA"/>
    <w:rsid w:val="00213B74"/>
    <w:rsid w:val="00215E5B"/>
    <w:rsid w:val="00226FD7"/>
    <w:rsid w:val="0023194D"/>
    <w:rsid w:val="002340F9"/>
    <w:rsid w:val="00243439"/>
    <w:rsid w:val="00245072"/>
    <w:rsid w:val="00250494"/>
    <w:rsid w:val="00253503"/>
    <w:rsid w:val="002624CD"/>
    <w:rsid w:val="002638B0"/>
    <w:rsid w:val="00277B53"/>
    <w:rsid w:val="00290645"/>
    <w:rsid w:val="002917E5"/>
    <w:rsid w:val="00292B3D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41E2"/>
    <w:rsid w:val="00325B0D"/>
    <w:rsid w:val="00326BDD"/>
    <w:rsid w:val="00330763"/>
    <w:rsid w:val="00343BBA"/>
    <w:rsid w:val="00350269"/>
    <w:rsid w:val="0036493F"/>
    <w:rsid w:val="00370DD3"/>
    <w:rsid w:val="00374C2B"/>
    <w:rsid w:val="0037602F"/>
    <w:rsid w:val="003826E3"/>
    <w:rsid w:val="00383B44"/>
    <w:rsid w:val="00386683"/>
    <w:rsid w:val="00392CCA"/>
    <w:rsid w:val="003A3163"/>
    <w:rsid w:val="003A4CBD"/>
    <w:rsid w:val="003A7986"/>
    <w:rsid w:val="003B3B32"/>
    <w:rsid w:val="003C6E43"/>
    <w:rsid w:val="003D4594"/>
    <w:rsid w:val="003D7D2C"/>
    <w:rsid w:val="003E1102"/>
    <w:rsid w:val="003E245C"/>
    <w:rsid w:val="003F1887"/>
    <w:rsid w:val="003F66B1"/>
    <w:rsid w:val="003F7D8E"/>
    <w:rsid w:val="00400B20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451B2"/>
    <w:rsid w:val="00454296"/>
    <w:rsid w:val="00454BFD"/>
    <w:rsid w:val="00455939"/>
    <w:rsid w:val="00463C20"/>
    <w:rsid w:val="004713F6"/>
    <w:rsid w:val="004727C6"/>
    <w:rsid w:val="0047383B"/>
    <w:rsid w:val="00474F23"/>
    <w:rsid w:val="00475E64"/>
    <w:rsid w:val="0048031B"/>
    <w:rsid w:val="004821B2"/>
    <w:rsid w:val="0048538D"/>
    <w:rsid w:val="004878E2"/>
    <w:rsid w:val="004B0C54"/>
    <w:rsid w:val="004B18C5"/>
    <w:rsid w:val="004B6004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4F064C"/>
    <w:rsid w:val="0050153E"/>
    <w:rsid w:val="0050347A"/>
    <w:rsid w:val="00504545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3D85"/>
    <w:rsid w:val="00576C2B"/>
    <w:rsid w:val="00577102"/>
    <w:rsid w:val="005A3111"/>
    <w:rsid w:val="005A35E9"/>
    <w:rsid w:val="005A50E2"/>
    <w:rsid w:val="005B1DC4"/>
    <w:rsid w:val="005B24A0"/>
    <w:rsid w:val="005B36AB"/>
    <w:rsid w:val="005E16BE"/>
    <w:rsid w:val="005E335D"/>
    <w:rsid w:val="005E5662"/>
    <w:rsid w:val="005E7630"/>
    <w:rsid w:val="005F729A"/>
    <w:rsid w:val="006017C5"/>
    <w:rsid w:val="006052B7"/>
    <w:rsid w:val="0061438E"/>
    <w:rsid w:val="006232D9"/>
    <w:rsid w:val="00624FD5"/>
    <w:rsid w:val="00627304"/>
    <w:rsid w:val="0063075B"/>
    <w:rsid w:val="006317B1"/>
    <w:rsid w:val="0063791E"/>
    <w:rsid w:val="006415BF"/>
    <w:rsid w:val="006421AE"/>
    <w:rsid w:val="00646138"/>
    <w:rsid w:val="00652680"/>
    <w:rsid w:val="006648D0"/>
    <w:rsid w:val="006657DD"/>
    <w:rsid w:val="0067025A"/>
    <w:rsid w:val="006716DF"/>
    <w:rsid w:val="00675B59"/>
    <w:rsid w:val="006765D7"/>
    <w:rsid w:val="00676EB4"/>
    <w:rsid w:val="00680B91"/>
    <w:rsid w:val="0068342D"/>
    <w:rsid w:val="00687E65"/>
    <w:rsid w:val="006917BC"/>
    <w:rsid w:val="00693137"/>
    <w:rsid w:val="006A2313"/>
    <w:rsid w:val="006A3DE5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2AB2"/>
    <w:rsid w:val="007279E5"/>
    <w:rsid w:val="00731040"/>
    <w:rsid w:val="00736E99"/>
    <w:rsid w:val="0073726E"/>
    <w:rsid w:val="007413B2"/>
    <w:rsid w:val="00745853"/>
    <w:rsid w:val="00745F38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2FC6"/>
    <w:rsid w:val="007B6006"/>
    <w:rsid w:val="007C32E7"/>
    <w:rsid w:val="007C4E48"/>
    <w:rsid w:val="007D4EF0"/>
    <w:rsid w:val="007E3254"/>
    <w:rsid w:val="007E5C6E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2932"/>
    <w:rsid w:val="00847E0A"/>
    <w:rsid w:val="00853D40"/>
    <w:rsid w:val="00853E52"/>
    <w:rsid w:val="008575CD"/>
    <w:rsid w:val="00860AE6"/>
    <w:rsid w:val="00863834"/>
    <w:rsid w:val="00863D09"/>
    <w:rsid w:val="00865C3E"/>
    <w:rsid w:val="00865D33"/>
    <w:rsid w:val="00872A34"/>
    <w:rsid w:val="00872B5F"/>
    <w:rsid w:val="0087322A"/>
    <w:rsid w:val="008741B6"/>
    <w:rsid w:val="008761FF"/>
    <w:rsid w:val="00885A3D"/>
    <w:rsid w:val="008914AB"/>
    <w:rsid w:val="008917D4"/>
    <w:rsid w:val="00892C7E"/>
    <w:rsid w:val="00895570"/>
    <w:rsid w:val="00897417"/>
    <w:rsid w:val="008A59C8"/>
    <w:rsid w:val="008A6682"/>
    <w:rsid w:val="008C78B1"/>
    <w:rsid w:val="008D2187"/>
    <w:rsid w:val="008D6D1A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5811"/>
    <w:rsid w:val="00996C02"/>
    <w:rsid w:val="00997DEE"/>
    <w:rsid w:val="00997F90"/>
    <w:rsid w:val="009A19E1"/>
    <w:rsid w:val="009A3337"/>
    <w:rsid w:val="009B1D1A"/>
    <w:rsid w:val="009B6044"/>
    <w:rsid w:val="009C6AFC"/>
    <w:rsid w:val="009D0172"/>
    <w:rsid w:val="009D4503"/>
    <w:rsid w:val="009F1A6A"/>
    <w:rsid w:val="009F7EE6"/>
    <w:rsid w:val="00A02841"/>
    <w:rsid w:val="00A04E5E"/>
    <w:rsid w:val="00A06976"/>
    <w:rsid w:val="00A13F9E"/>
    <w:rsid w:val="00A206B3"/>
    <w:rsid w:val="00A226D3"/>
    <w:rsid w:val="00A249F1"/>
    <w:rsid w:val="00A25260"/>
    <w:rsid w:val="00A30C67"/>
    <w:rsid w:val="00A50036"/>
    <w:rsid w:val="00A56554"/>
    <w:rsid w:val="00A62507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E1EC8"/>
    <w:rsid w:val="00AF383C"/>
    <w:rsid w:val="00AF52FB"/>
    <w:rsid w:val="00AF53B8"/>
    <w:rsid w:val="00B0117D"/>
    <w:rsid w:val="00B012FC"/>
    <w:rsid w:val="00B141FF"/>
    <w:rsid w:val="00B1756D"/>
    <w:rsid w:val="00B2138F"/>
    <w:rsid w:val="00B21DBE"/>
    <w:rsid w:val="00B24A5D"/>
    <w:rsid w:val="00B2540E"/>
    <w:rsid w:val="00B268A9"/>
    <w:rsid w:val="00B27432"/>
    <w:rsid w:val="00B300CF"/>
    <w:rsid w:val="00B3596A"/>
    <w:rsid w:val="00B37865"/>
    <w:rsid w:val="00B40CC5"/>
    <w:rsid w:val="00B619AA"/>
    <w:rsid w:val="00B727E5"/>
    <w:rsid w:val="00B74896"/>
    <w:rsid w:val="00B7658C"/>
    <w:rsid w:val="00B87DAA"/>
    <w:rsid w:val="00BA3EF7"/>
    <w:rsid w:val="00BA4E1E"/>
    <w:rsid w:val="00BA6EC0"/>
    <w:rsid w:val="00BB0B6C"/>
    <w:rsid w:val="00BB38CE"/>
    <w:rsid w:val="00BB4979"/>
    <w:rsid w:val="00BB5AA7"/>
    <w:rsid w:val="00BB6F42"/>
    <w:rsid w:val="00BB71D8"/>
    <w:rsid w:val="00BC1241"/>
    <w:rsid w:val="00BC5249"/>
    <w:rsid w:val="00BC5420"/>
    <w:rsid w:val="00BD561C"/>
    <w:rsid w:val="00BD7C77"/>
    <w:rsid w:val="00BD7ED5"/>
    <w:rsid w:val="00BF262A"/>
    <w:rsid w:val="00BF4352"/>
    <w:rsid w:val="00C10760"/>
    <w:rsid w:val="00C2766D"/>
    <w:rsid w:val="00C35C72"/>
    <w:rsid w:val="00C363E0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B748B"/>
    <w:rsid w:val="00CC5909"/>
    <w:rsid w:val="00CC61C4"/>
    <w:rsid w:val="00CD278F"/>
    <w:rsid w:val="00CE165C"/>
    <w:rsid w:val="00CE1907"/>
    <w:rsid w:val="00CE2787"/>
    <w:rsid w:val="00CE5938"/>
    <w:rsid w:val="00CF2079"/>
    <w:rsid w:val="00CF3E16"/>
    <w:rsid w:val="00CF65FA"/>
    <w:rsid w:val="00D011E2"/>
    <w:rsid w:val="00D04D32"/>
    <w:rsid w:val="00D11BF6"/>
    <w:rsid w:val="00D1201C"/>
    <w:rsid w:val="00D12CCD"/>
    <w:rsid w:val="00D171F1"/>
    <w:rsid w:val="00D31C48"/>
    <w:rsid w:val="00D32334"/>
    <w:rsid w:val="00D335A6"/>
    <w:rsid w:val="00D3591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D0CFC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444A"/>
    <w:rsid w:val="00E11A1D"/>
    <w:rsid w:val="00E167FF"/>
    <w:rsid w:val="00E21B65"/>
    <w:rsid w:val="00E3355E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7A7"/>
    <w:rsid w:val="00ED3E7E"/>
    <w:rsid w:val="00EE0D4D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61C97"/>
    <w:rsid w:val="00F661DA"/>
    <w:rsid w:val="00F71F66"/>
    <w:rsid w:val="00F73450"/>
    <w:rsid w:val="00F73CFC"/>
    <w:rsid w:val="00F81090"/>
    <w:rsid w:val="00F81CE8"/>
    <w:rsid w:val="00F82353"/>
    <w:rsid w:val="00F858D8"/>
    <w:rsid w:val="00F90D52"/>
    <w:rsid w:val="00F91DDE"/>
    <w:rsid w:val="00F930CE"/>
    <w:rsid w:val="00F94364"/>
    <w:rsid w:val="00F97B57"/>
    <w:rsid w:val="00FA4C39"/>
    <w:rsid w:val="00FA4F3E"/>
    <w:rsid w:val="00FB0790"/>
    <w:rsid w:val="00FB0872"/>
    <w:rsid w:val="00FB5FA2"/>
    <w:rsid w:val="00FC1708"/>
    <w:rsid w:val="00FC2012"/>
    <w:rsid w:val="00FC22A8"/>
    <w:rsid w:val="00FD256F"/>
    <w:rsid w:val="00FD7576"/>
    <w:rsid w:val="00FE6429"/>
    <w:rsid w:val="00FF03A4"/>
    <w:rsid w:val="00FF1483"/>
    <w:rsid w:val="00FF29BA"/>
    <w:rsid w:val="00FF4238"/>
    <w:rsid w:val="00FF4A16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03F59A"/>
  <w15:docId w15:val="{EF254C11-9693-4703-9318-0AABD27C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373964618059108E-2"/>
          <c:y val="4.7619047619047616E-2"/>
          <c:w val="0.92515015168558479"/>
          <c:h val="0.778662882021081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FFCC"/>
            </a:solidFill>
            <a:ln w="9525"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Japan</c:v>
                </c:pt>
              </c:strCache>
            </c:strRef>
          </c:cat>
          <c:val>
            <c:numRef>
              <c:f>Foglio1!$B$2:$B$11</c:f>
              <c:numCache>
                <c:formatCode>0.0;[Red]\-0.0</c:formatCode>
                <c:ptCount val="10"/>
                <c:pt idx="0">
                  <c:v>-3.4</c:v>
                </c:pt>
                <c:pt idx="1">
                  <c:v>-3.4</c:v>
                </c:pt>
                <c:pt idx="2">
                  <c:v>-4.4000000000000004</c:v>
                </c:pt>
                <c:pt idx="3">
                  <c:v>-8.3000000000000007</c:v>
                </c:pt>
                <c:pt idx="4">
                  <c:v>7.2</c:v>
                </c:pt>
                <c:pt idx="5">
                  <c:v>-2.9512736778162241</c:v>
                </c:pt>
                <c:pt idx="6">
                  <c:v>-7.3</c:v>
                </c:pt>
                <c:pt idx="7">
                  <c:v>-2.1</c:v>
                </c:pt>
                <c:pt idx="8">
                  <c:v>2.2999999999999998</c:v>
                </c:pt>
                <c:pt idx="9">
                  <c:v>-4.5999999999999996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3A3-4398-B725-993A89F626B3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Japan</c:v>
                </c:pt>
              </c:strCache>
            </c:strRef>
          </c:cat>
          <c:val>
            <c:numRef>
              <c:f>Foglio1!$C$2:$C$11</c:f>
              <c:numCache>
                <c:formatCode>0.0;[Red]\-0.0</c:formatCode>
                <c:ptCount val="10"/>
                <c:pt idx="0">
                  <c:v>5.6</c:v>
                </c:pt>
                <c:pt idx="1">
                  <c:v>5.6</c:v>
                </c:pt>
                <c:pt idx="2">
                  <c:v>5</c:v>
                </c:pt>
                <c:pt idx="3">
                  <c:v>5.9</c:v>
                </c:pt>
                <c:pt idx="4">
                  <c:v>8.9</c:v>
                </c:pt>
                <c:pt idx="5">
                  <c:v>4.3346419667363856</c:v>
                </c:pt>
                <c:pt idx="6">
                  <c:v>9.4</c:v>
                </c:pt>
                <c:pt idx="7">
                  <c:v>3.3</c:v>
                </c:pt>
                <c:pt idx="8">
                  <c:v>8.1</c:v>
                </c:pt>
                <c:pt idx="9">
                  <c:v>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3A3-4398-B725-993A89F626B3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Japan</c:v>
                </c:pt>
              </c:strCache>
            </c:strRef>
          </c:cat>
          <c:val>
            <c:numRef>
              <c:f>Foglio1!$D$2:$D$11</c:f>
              <c:numCache>
                <c:formatCode>0.0;[Red]\-0.0</c:formatCode>
                <c:ptCount val="10"/>
                <c:pt idx="0">
                  <c:v>4.5</c:v>
                </c:pt>
                <c:pt idx="1">
                  <c:v>3.7</c:v>
                </c:pt>
                <c:pt idx="2">
                  <c:v>1.4</c:v>
                </c:pt>
                <c:pt idx="3">
                  <c:v>3.3</c:v>
                </c:pt>
                <c:pt idx="4">
                  <c:v>5.0999999999999996</c:v>
                </c:pt>
                <c:pt idx="5">
                  <c:v>2.6940137066825409</c:v>
                </c:pt>
                <c:pt idx="6">
                  <c:v>8.1</c:v>
                </c:pt>
                <c:pt idx="7">
                  <c:v>5.2</c:v>
                </c:pt>
                <c:pt idx="8">
                  <c:v>5.0999999999999996</c:v>
                </c:pt>
                <c:pt idx="9">
                  <c:v>3.4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3A3-4398-B725-993A89F626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31300752"/>
        <c:axId val="731302416"/>
      </c:barChart>
      <c:catAx>
        <c:axId val="731300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9525" cap="flat" cmpd="sng" algn="ctr">
            <a:solidFill>
              <a:srgbClr val="FF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2416"/>
        <c:crosses val="autoZero"/>
        <c:auto val="1"/>
        <c:lblAlgn val="ctr"/>
        <c:lblOffset val="100"/>
        <c:noMultiLvlLbl val="0"/>
      </c:catAx>
      <c:valAx>
        <c:axId val="731302416"/>
        <c:scaling>
          <c:orientation val="minMax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0.0;[Red]\-0.0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0752"/>
        <c:crosses val="autoZero"/>
        <c:crossBetween val="between"/>
        <c:majorUnit val="3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3969566564596092"/>
          <c:y val="0.93315241844769403"/>
          <c:w val="0.20012771878829763"/>
          <c:h val="6.68478178521462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373964618059108E-2"/>
          <c:y val="4.7619047619047616E-2"/>
          <c:w val="0.92515015168558479"/>
          <c:h val="0.778662882021081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 w="9525"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Foglio1!$A$2:$A$12</c:f>
              <c:strCache>
                <c:ptCount val="11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Belgio</c:v>
                </c:pt>
                <c:pt idx="6">
                  <c:v>Euro Area</c:v>
                </c:pt>
                <c:pt idx="7">
                  <c:v>Polonia</c:v>
                </c:pt>
                <c:pt idx="8">
                  <c:v>Romania</c:v>
                </c:pt>
                <c:pt idx="9">
                  <c:v>Svezia</c:v>
                </c:pt>
                <c:pt idx="10">
                  <c:v>U.E.</c:v>
                </c:pt>
              </c:strCache>
            </c:strRef>
          </c:cat>
          <c:val>
            <c:numRef>
              <c:f>Foglio1!$B$2:$B$12</c:f>
              <c:numCache>
                <c:formatCode>0.0;[Red]\-0.0</c:formatCode>
                <c:ptCount val="11"/>
                <c:pt idx="0">
                  <c:v>2.8</c:v>
                </c:pt>
                <c:pt idx="1">
                  <c:v>7</c:v>
                </c:pt>
                <c:pt idx="2">
                  <c:v>6.5</c:v>
                </c:pt>
                <c:pt idx="3">
                  <c:v>5</c:v>
                </c:pt>
                <c:pt idx="4">
                  <c:v>5.9</c:v>
                </c:pt>
                <c:pt idx="5">
                  <c:v>6.1</c:v>
                </c:pt>
                <c:pt idx="6">
                  <c:v>5.3</c:v>
                </c:pt>
                <c:pt idx="7">
                  <c:v>5.7</c:v>
                </c:pt>
                <c:pt idx="8">
                  <c:v>6.3</c:v>
                </c:pt>
                <c:pt idx="9">
                  <c:v>5</c:v>
                </c:pt>
                <c:pt idx="10">
                  <c:v>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8F-4377-9D13-487B89207A8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5AB4"/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Foglio1!$A$2:$A$12</c:f>
              <c:strCache>
                <c:ptCount val="11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Belgio</c:v>
                </c:pt>
                <c:pt idx="6">
                  <c:v>Euro Area</c:v>
                </c:pt>
                <c:pt idx="7">
                  <c:v>Polonia</c:v>
                </c:pt>
                <c:pt idx="8">
                  <c:v>Romania</c:v>
                </c:pt>
                <c:pt idx="9">
                  <c:v>Svezia</c:v>
                </c:pt>
                <c:pt idx="10">
                  <c:v>U.E.</c:v>
                </c:pt>
              </c:strCache>
            </c:strRef>
          </c:cat>
          <c:val>
            <c:numRef>
              <c:f>Foglio1!$C$2:$C$12</c:f>
              <c:numCache>
                <c:formatCode>0.0;[Red]\-0.0</c:formatCode>
                <c:ptCount val="11"/>
                <c:pt idx="0">
                  <c:v>3.6</c:v>
                </c:pt>
                <c:pt idx="1">
                  <c:v>3.6</c:v>
                </c:pt>
                <c:pt idx="2">
                  <c:v>4.0999999999999996</c:v>
                </c:pt>
                <c:pt idx="3">
                  <c:v>5.6</c:v>
                </c:pt>
                <c:pt idx="4">
                  <c:v>6</c:v>
                </c:pt>
                <c:pt idx="5">
                  <c:v>2.7</c:v>
                </c:pt>
                <c:pt idx="6">
                  <c:v>4</c:v>
                </c:pt>
                <c:pt idx="7">
                  <c:v>5.5</c:v>
                </c:pt>
                <c:pt idx="8">
                  <c:v>4.2</c:v>
                </c:pt>
                <c:pt idx="9">
                  <c:v>3.8</c:v>
                </c:pt>
                <c:pt idx="1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E8F-4377-9D13-487B89207A8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Foglio1!$A$2:$A$12</c:f>
              <c:strCache>
                <c:ptCount val="11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Belgio</c:v>
                </c:pt>
                <c:pt idx="6">
                  <c:v>Euro Area</c:v>
                </c:pt>
                <c:pt idx="7">
                  <c:v>Polonia</c:v>
                </c:pt>
                <c:pt idx="8">
                  <c:v>Romania</c:v>
                </c:pt>
                <c:pt idx="9">
                  <c:v>Svezia</c:v>
                </c:pt>
                <c:pt idx="10">
                  <c:v>U.E.</c:v>
                </c:pt>
              </c:strCache>
            </c:strRef>
          </c:cat>
          <c:val>
            <c:numRef>
              <c:f>Foglio1!$D$2:$D$12</c:f>
              <c:numCache>
                <c:formatCode>0.0;[Red]\-0.0</c:formatCode>
                <c:ptCount val="11"/>
                <c:pt idx="0">
                  <c:v>2.6</c:v>
                </c:pt>
                <c:pt idx="1">
                  <c:v>2.1</c:v>
                </c:pt>
                <c:pt idx="2">
                  <c:v>2.2999999999999998</c:v>
                </c:pt>
                <c:pt idx="3">
                  <c:v>4.4000000000000004</c:v>
                </c:pt>
                <c:pt idx="4">
                  <c:v>5</c:v>
                </c:pt>
                <c:pt idx="5">
                  <c:v>2.2000000000000002</c:v>
                </c:pt>
                <c:pt idx="6">
                  <c:v>2.7</c:v>
                </c:pt>
                <c:pt idx="7">
                  <c:v>4.2</c:v>
                </c:pt>
                <c:pt idx="8">
                  <c:v>4.5</c:v>
                </c:pt>
                <c:pt idx="9">
                  <c:v>2</c:v>
                </c:pt>
                <c:pt idx="10">
                  <c:v>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E8F-4377-9D13-487B89207A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31300752"/>
        <c:axId val="731302416"/>
      </c:barChart>
      <c:catAx>
        <c:axId val="731300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9525" cap="flat" cmpd="sng" algn="ctr">
            <a:solidFill>
              <a:srgbClr val="FF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2416"/>
        <c:crosses val="autoZero"/>
        <c:auto val="1"/>
        <c:lblAlgn val="ctr"/>
        <c:lblOffset val="100"/>
        <c:noMultiLvlLbl val="0"/>
      </c:catAx>
      <c:valAx>
        <c:axId val="731302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0.0;[Red]\-0.0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0752"/>
        <c:crosses val="autoZero"/>
        <c:crossBetween val="between"/>
        <c:majorUnit val="3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3969566564596092"/>
          <c:y val="0.93315241844769403"/>
          <c:w val="0.20012771878829763"/>
          <c:h val="6.68478178521462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307-4546-95F6-5DE7B9DFE85E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-6.6972449348851271</c:v>
                </c:pt>
                <c:pt idx="1">
                  <c:v>2.2055064983735218</c:v>
                </c:pt>
                <c:pt idx="2">
                  <c:v>2.6405205145021426</c:v>
                </c:pt>
                <c:pt idx="3">
                  <c:v>-2.8586457435854418</c:v>
                </c:pt>
                <c:pt idx="4">
                  <c:v>-0.73800762952651588</c:v>
                </c:pt>
                <c:pt idx="5">
                  <c:v>1.0096462934914063</c:v>
                </c:pt>
                <c:pt idx="6">
                  <c:v>0.53568021273482369</c:v>
                </c:pt>
                <c:pt idx="7">
                  <c:v>1.6937762975938631</c:v>
                </c:pt>
                <c:pt idx="8">
                  <c:v>2.321015694141626</c:v>
                </c:pt>
                <c:pt idx="9">
                  <c:v>1.4301118167105553</c:v>
                </c:pt>
                <c:pt idx="10">
                  <c:v>-3.7871422707358438E-2</c:v>
                </c:pt>
                <c:pt idx="11">
                  <c:v>-9.3260019705686084</c:v>
                </c:pt>
                <c:pt idx="12">
                  <c:v>6.9187328989909203</c:v>
                </c:pt>
                <c:pt idx="13">
                  <c:v>4.0943542864469773</c:v>
                </c:pt>
                <c:pt idx="14">
                  <c:v>3.0114804339462564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-5.2809372082931016</c:v>
                </c:pt>
                <c:pt idx="1">
                  <c:v>1.7132958391692155</c:v>
                </c:pt>
                <c:pt idx="2">
                  <c:v>0.7073333470344334</c:v>
                </c:pt>
                <c:pt idx="3">
                  <c:v>-2.9809057682377071</c:v>
                </c:pt>
                <c:pt idx="4">
                  <c:v>-1.8410654508824953</c:v>
                </c:pt>
                <c:pt idx="5">
                  <c:v>-4.5475423638197121E-3</c:v>
                </c:pt>
                <c:pt idx="6">
                  <c:v>0.77830435071657433</c:v>
                </c:pt>
                <c:pt idx="7">
                  <c:v>1.293462731559103</c:v>
                </c:pt>
                <c:pt idx="8">
                  <c:v>1.6678590410685645</c:v>
                </c:pt>
                <c:pt idx="9">
                  <c:v>0.92581094101273909</c:v>
                </c:pt>
                <c:pt idx="10">
                  <c:v>0.41027829398299076</c:v>
                </c:pt>
                <c:pt idx="11">
                  <c:v>-8.9385925002344315</c:v>
                </c:pt>
                <c:pt idx="12">
                  <c:v>6.0166626650018706</c:v>
                </c:pt>
                <c:pt idx="13">
                  <c:v>3.8331083702301205</c:v>
                </c:pt>
                <c:pt idx="14">
                  <c:v>2.7939880529687322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1676928"/>
        <c:axId val="33191283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102.00124515674781</c:v>
                </c:pt>
                <c:pt idx="1">
                  <c:v>104.25088924710178</c:v>
                </c:pt>
                <c:pt idx="2">
                  <c:v>107.00365536422241</c:v>
                </c:pt>
                <c:pt idx="3">
                  <c:v>103.94479992467222</c:v>
                </c:pt>
                <c:pt idx="4">
                  <c:v>103.17767937073208</c:v>
                </c:pt>
                <c:pt idx="5">
                  <c:v>104.21940898620912</c:v>
                </c:pt>
                <c:pt idx="6">
                  <c:v>104.77769173797742</c:v>
                </c:pt>
                <c:pt idx="7">
                  <c:v>106.55239144580126</c:v>
                </c:pt>
                <c:pt idx="8">
                  <c:v>109.02548917374155</c:v>
                </c:pt>
                <c:pt idx="9">
                  <c:v>110.58467557764172</c:v>
                </c:pt>
                <c:pt idx="10">
                  <c:v>110.54279558770415</c:v>
                </c:pt>
                <c:pt idx="11">
                  <c:v>100.23357229287322</c:v>
                </c:pt>
                <c:pt idx="12">
                  <c:v>107.16846543493409</c:v>
                </c:pt>
                <c:pt idx="13">
                  <c:v>111.55632209318877</c:v>
                </c:pt>
                <c:pt idx="14">
                  <c:v>114.9158189058552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101.42157701240255</c:v>
                </c:pt>
                <c:pt idx="1">
                  <c:v>103.15922867137584</c:v>
                </c:pt>
                <c:pt idx="2">
                  <c:v>103.888908296312</c:v>
                </c:pt>
                <c:pt idx="3">
                  <c:v>100.79207783634804</c:v>
                </c:pt>
                <c:pt idx="4">
                  <c:v>98.936429714076453</c:v>
                </c:pt>
                <c:pt idx="5">
                  <c:v>98.931930538021959</c:v>
                </c:pt>
                <c:pt idx="6">
                  <c:v>99.70192205764728</c:v>
                </c:pt>
                <c:pt idx="7">
                  <c:v>100.99152926211103</c:v>
                </c:pt>
                <c:pt idx="8">
                  <c:v>102.67592561362257</c:v>
                </c:pt>
                <c:pt idx="9">
                  <c:v>103.62651056673958</c:v>
                </c:pt>
                <c:pt idx="10">
                  <c:v>104.05166764640693</c:v>
                </c:pt>
                <c:pt idx="11">
                  <c:v>94.750913085796341</c:v>
                </c:pt>
                <c:pt idx="12">
                  <c:v>100.45175589817782</c:v>
                </c:pt>
                <c:pt idx="13">
                  <c:v>104.30218056155401</c:v>
                </c:pt>
                <c:pt idx="14">
                  <c:v>107.21637102542969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6416"/>
        <c:axId val="331911104"/>
      </c:lineChart>
      <c:catAx>
        <c:axId val="35167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31911104"/>
        <c:crosses val="autoZero"/>
        <c:auto val="1"/>
        <c:lblAlgn val="ctr"/>
        <c:lblOffset val="100"/>
        <c:noMultiLvlLbl val="0"/>
      </c:catAx>
      <c:valAx>
        <c:axId val="331911104"/>
        <c:scaling>
          <c:orientation val="minMax"/>
          <c:min val="90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51676416"/>
        <c:crosses val="autoZero"/>
        <c:crossBetween val="between"/>
        <c:majorUnit val="5"/>
      </c:valAx>
      <c:valAx>
        <c:axId val="33191283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351676928"/>
        <c:crosses val="max"/>
        <c:crossBetween val="between"/>
        <c:majorUnit val="4"/>
      </c:valAx>
      <c:catAx>
        <c:axId val="35167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191283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23170034529807684"/>
          <c:y val="0.73023130589002017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-20.000824821632314</c:v>
                </c:pt>
                <c:pt idx="1">
                  <c:v>13.716581491499081</c:v>
                </c:pt>
                <c:pt idx="2">
                  <c:v>4.7869318181818166</c:v>
                </c:pt>
                <c:pt idx="3">
                  <c:v>-4.1165900916880886</c:v>
                </c:pt>
                <c:pt idx="4">
                  <c:v>1.2817119171233848</c:v>
                </c:pt>
                <c:pt idx="5">
                  <c:v>1.575850813912405</c:v>
                </c:pt>
                <c:pt idx="6">
                  <c:v>2.2572241406028315</c:v>
                </c:pt>
                <c:pt idx="7">
                  <c:v>3.5364120629165496</c:v>
                </c:pt>
                <c:pt idx="8">
                  <c:v>4.6788050847691887</c:v>
                </c:pt>
                <c:pt idx="9">
                  <c:v>3.6439137512102704</c:v>
                </c:pt>
                <c:pt idx="10">
                  <c:v>-0.37825660867241151</c:v>
                </c:pt>
                <c:pt idx="11">
                  <c:v>-11.219079692055335</c:v>
                </c:pt>
                <c:pt idx="12">
                  <c:v>10.84214455952659</c:v>
                </c:pt>
                <c:pt idx="13">
                  <c:v>2.4379781748820939</c:v>
                </c:pt>
                <c:pt idx="14">
                  <c:v>3.0520486649689094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-8.4926278886583777</c:v>
                </c:pt>
                <c:pt idx="1">
                  <c:v>-9.9221648359642209</c:v>
                </c:pt>
                <c:pt idx="2">
                  <c:v>-6.0472691054940908</c:v>
                </c:pt>
                <c:pt idx="3">
                  <c:v>-9.5609197048921892</c:v>
                </c:pt>
                <c:pt idx="4">
                  <c:v>-4.7773676957437727</c:v>
                </c:pt>
                <c:pt idx="5">
                  <c:v>-10.380104799134992</c:v>
                </c:pt>
                <c:pt idx="6">
                  <c:v>-3.3373549883990772</c:v>
                </c:pt>
                <c:pt idx="7">
                  <c:v>3.1261401386408538</c:v>
                </c:pt>
                <c:pt idx="8">
                  <c:v>1.1972814449306535</c:v>
                </c:pt>
                <c:pt idx="9">
                  <c:v>2.8777507911974531</c:v>
                </c:pt>
                <c:pt idx="10">
                  <c:v>4.2924595793403242E-2</c:v>
                </c:pt>
                <c:pt idx="11">
                  <c:v>-5.0235983981693373</c:v>
                </c:pt>
                <c:pt idx="12">
                  <c:v>19.974789555145289</c:v>
                </c:pt>
                <c:pt idx="13">
                  <c:v>7.7369754939726088</c:v>
                </c:pt>
                <c:pt idx="14">
                  <c:v>6.9008045524917572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-2.0110402683450768</c:v>
                </c:pt>
                <c:pt idx="1">
                  <c:v>-0.28601504879179895</c:v>
                </c:pt>
                <c:pt idx="2">
                  <c:v>2.3518243186668286</c:v>
                </c:pt>
                <c:pt idx="3">
                  <c:v>-1.3586611052580966</c:v>
                </c:pt>
                <c:pt idx="4">
                  <c:v>-0.91204861270658411</c:v>
                </c:pt>
                <c:pt idx="5">
                  <c:v>1.5647992001257771</c:v>
                </c:pt>
                <c:pt idx="6">
                  <c:v>0.27450683427359124</c:v>
                </c:pt>
                <c:pt idx="7">
                  <c:v>0.86113551278874656</c:v>
                </c:pt>
                <c:pt idx="8">
                  <c:v>1.6404002233005643</c:v>
                </c:pt>
                <c:pt idx="9">
                  <c:v>0.55086659928436088</c:v>
                </c:pt>
                <c:pt idx="10">
                  <c:v>0.33054075951113315</c:v>
                </c:pt>
                <c:pt idx="11">
                  <c:v>-8.6759216703678135</c:v>
                </c:pt>
                <c:pt idx="12">
                  <c:v>4.9379811522294537</c:v>
                </c:pt>
                <c:pt idx="13">
                  <c:v>4.665542460148564</c:v>
                </c:pt>
                <c:pt idx="14">
                  <c:v>2.7065640791087864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2104448"/>
        <c:axId val="330173248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89.104511434766096</c:v>
                </c:pt>
                <c:pt idx="1">
                  <c:v>101.32660435831792</c:v>
                </c:pt>
                <c:pt idx="2">
                  <c:v>106.17703982262945</c:v>
                </c:pt>
                <c:pt idx="3">
                  <c:v>101.80616632164337</c:v>
                </c:pt>
                <c:pt idx="4">
                  <c:v>103.11102808775432</c:v>
                </c:pt>
                <c:pt idx="5">
                  <c:v>104.73590406310866</c:v>
                </c:pt>
                <c:pt idx="6">
                  <c:v>107.10002817349978</c:v>
                </c:pt>
                <c:pt idx="7">
                  <c:v>110.88752648921445</c:v>
                </c:pt>
                <c:pt idx="8">
                  <c:v>116.07573771696659</c:v>
                </c:pt>
                <c:pt idx="9">
                  <c:v>120.30543748545391</c:v>
                </c:pt>
                <c:pt idx="10">
                  <c:v>119.85037421757292</c:v>
                </c:pt>
                <c:pt idx="11">
                  <c:v>106.40426522287689</c:v>
                </c:pt>
                <c:pt idx="12">
                  <c:v>117.94076947584327</c:v>
                </c:pt>
                <c:pt idx="13">
                  <c:v>120.81613969495233</c:v>
                </c:pt>
                <c:pt idx="14">
                  <c:v>124.50350707357909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118.62281218989546</c:v>
                </c:pt>
                <c:pt idx="1">
                  <c:v>106.85286123135776</c:v>
                </c:pt>
                <c:pt idx="2">
                  <c:v>100.3911811657774</c:v>
                </c:pt>
                <c:pt idx="3">
                  <c:v>90.792860943724563</c:v>
                </c:pt>
                <c:pt idx="4">
                  <c:v>86.455352134957494</c:v>
                </c:pt>
                <c:pt idx="5">
                  <c:v>77.481195978887726</c:v>
                </c:pt>
                <c:pt idx="6">
                  <c:v>74.895373419815044</c:v>
                </c:pt>
                <c:pt idx="7">
                  <c:v>77.23670775027685</c:v>
                </c:pt>
                <c:pt idx="8">
                  <c:v>78.161448520846221</c:v>
                </c:pt>
                <c:pt idx="9">
                  <c:v>80.410740224066274</c:v>
                </c:pt>
                <c:pt idx="10">
                  <c:v>80.445256209281922</c:v>
                </c:pt>
                <c:pt idx="11">
                  <c:v>76.404009606949217</c:v>
                </c:pt>
                <c:pt idx="12">
                  <c:v>91.665549737630315</c:v>
                </c:pt>
                <c:pt idx="13">
                  <c:v>98.757690857246061</c:v>
                </c:pt>
                <c:pt idx="14">
                  <c:v>105.57276608385862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  <c:pt idx="11">
                  <c:v>2020</c:v>
                </c:pt>
                <c:pt idx="12">
                  <c:v>2021</c:v>
                </c:pt>
                <c:pt idx="13">
                  <c:v>2022</c:v>
                </c:pt>
                <c:pt idx="14">
                  <c:v>2023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106.97360893525703</c:v>
                </c:pt>
                <c:pt idx="1">
                  <c:v>106.66764831546652</c:v>
                </c:pt>
                <c:pt idx="2">
                  <c:v>109.17628400869965</c:v>
                </c:pt>
                <c:pt idx="3">
                  <c:v>107.69294830170735</c:v>
                </c:pt>
                <c:pt idx="4">
                  <c:v>106.7107362607388</c:v>
                </c:pt>
                <c:pt idx="5">
                  <c:v>108.38054500819516</c:v>
                </c:pt>
                <c:pt idx="6">
                  <c:v>108.67805701126562</c:v>
                </c:pt>
                <c:pt idx="7">
                  <c:v>109.61392235479845</c:v>
                </c:pt>
                <c:pt idx="8">
                  <c:v>111.41202938187506</c:v>
                </c:pt>
                <c:pt idx="9">
                  <c:v>112.02576103932469</c:v>
                </c:pt>
                <c:pt idx="10">
                  <c:v>112.39605184071219</c:v>
                </c:pt>
                <c:pt idx="11">
                  <c:v>102.64465842242601</c:v>
                </c:pt>
                <c:pt idx="12">
                  <c:v>107.7132323090957</c:v>
                </c:pt>
                <c:pt idx="13">
                  <c:v>112.73863889767503</c:v>
                </c:pt>
                <c:pt idx="14">
                  <c:v>115.78998240135566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7952"/>
        <c:axId val="330172672"/>
      </c:lineChart>
      <c:catAx>
        <c:axId val="351677952"/>
        <c:scaling>
          <c:orientation val="minMax"/>
        </c:scaling>
        <c:delete val="0"/>
        <c:axPos val="b"/>
        <c:majorGridlines>
          <c:spPr>
            <a:ln w="3175"/>
          </c:spPr>
        </c:majorGridlines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30172672"/>
        <c:crossesAt val="100"/>
        <c:auto val="1"/>
        <c:lblAlgn val="ctr"/>
        <c:lblOffset val="100"/>
        <c:noMultiLvlLbl val="0"/>
      </c:catAx>
      <c:valAx>
        <c:axId val="330172672"/>
        <c:scaling>
          <c:orientation val="minMax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351677952"/>
        <c:crossesAt val="1"/>
        <c:crossBetween val="between"/>
        <c:majorUnit val="10"/>
      </c:valAx>
      <c:valAx>
        <c:axId val="330173248"/>
        <c:scaling>
          <c:orientation val="minMax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52104448"/>
        <c:crosses val="max"/>
        <c:crossBetween val="between"/>
      </c:valAx>
      <c:catAx>
        <c:axId val="352104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0173248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23127416430158226"/>
          <c:y val="4.5343219478840589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0.65089</cdr:x>
      <cdr:y>0.04805</cdr:y>
    </cdr:from>
    <cdr:to>
      <cdr:x>0.65089</cdr:x>
      <cdr:y>0.82756</cdr:y>
    </cdr:to>
    <cdr:cxnSp macro="">
      <cdr:nvCxnSpPr>
        <cdr:cNvPr id="4" name="Connettore diritto 3"/>
        <cdr:cNvCxnSpPr/>
      </cdr:nvCxnSpPr>
      <cdr:spPr>
        <a:xfrm xmlns:a="http://schemas.openxmlformats.org/drawingml/2006/main" flipV="1">
          <a:off x="3842594" y="95140"/>
          <a:ext cx="0" cy="1543380"/>
        </a:xfrm>
        <a:prstGeom xmlns:a="http://schemas.openxmlformats.org/drawingml/2006/main" prst="line">
          <a:avLst/>
        </a:prstGeom>
        <a:ln xmlns:a="http://schemas.openxmlformats.org/drawingml/2006/main" w="15875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56A4F-A835-4B1A-9492-137784BF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8</TotalTime>
  <Pages>10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8</cp:revision>
  <cp:lastPrinted>2012-03-30T09:15:00Z</cp:lastPrinted>
  <dcterms:created xsi:type="dcterms:W3CDTF">2022-02-15T14:46:00Z</dcterms:created>
  <dcterms:modified xsi:type="dcterms:W3CDTF">2022-02-23T10:46:00Z</dcterms:modified>
</cp:coreProperties>
</file>