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0E" w:rsidRDefault="007E5A0E" w:rsidP="007E5A0E">
      <w:pPr>
        <w:rPr>
          <w:b/>
          <w:bCs/>
        </w:rPr>
      </w:pPr>
    </w:p>
    <w:p w:rsidR="007E5A0E" w:rsidRDefault="007E5A0E" w:rsidP="007E5A0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Programma:</w:t>
      </w:r>
    </w:p>
    <w:p w:rsidR="007E5A0E" w:rsidRDefault="007E5A0E" w:rsidP="007E5A0E">
      <w:pPr>
        <w:jc w:val="both"/>
        <w:rPr>
          <w:sz w:val="16"/>
          <w:szCs w:val="20"/>
        </w:rPr>
      </w:pPr>
    </w:p>
    <w:p w:rsidR="007E5A0E" w:rsidRDefault="007E5A0E" w:rsidP="007E5A0E">
      <w:pPr>
        <w:rPr>
          <w:lang w:eastAsia="it-IT"/>
        </w:rPr>
      </w:pPr>
    </w:p>
    <w:p w:rsidR="007E5A0E" w:rsidRDefault="007E5A0E" w:rsidP="00B07A4C">
      <w:pPr>
        <w:rPr>
          <w:lang w:eastAsia="it-IT"/>
        </w:rPr>
      </w:pPr>
      <w:r>
        <w:rPr>
          <w:lang w:eastAsia="it-IT"/>
        </w:rPr>
        <w:t>1.Profili oggettivi :</w:t>
      </w:r>
      <w:r>
        <w:rPr>
          <w:lang w:eastAsia="it-IT"/>
        </w:rPr>
        <w:tab/>
        <w:t>cosa sono i servizi pubblici</w:t>
      </w:r>
    </w:p>
    <w:p w:rsidR="00B07A4C" w:rsidRDefault="007E5A0E" w:rsidP="00D07F5F">
      <w:pPr>
        <w:rPr>
          <w:lang w:eastAsia="it-IT"/>
        </w:rPr>
      </w:pPr>
      <w:r>
        <w:rPr>
          <w:lang w:eastAsia="it-IT"/>
        </w:rPr>
        <w:t>2.profili soggettivi :</w:t>
      </w:r>
      <w:r>
        <w:rPr>
          <w:lang w:eastAsia="it-IT"/>
        </w:rPr>
        <w:tab/>
        <w:t>a chi  si affidano</w:t>
      </w:r>
      <w:r w:rsidR="00B07A4C" w:rsidRPr="00B07A4C">
        <w:t xml:space="preserve"> </w:t>
      </w:r>
      <w:r w:rsidR="00D07F5F">
        <w:t>.</w:t>
      </w:r>
      <w:r w:rsidR="00D07F5F" w:rsidRPr="00D07F5F">
        <w:rPr>
          <w:lang w:eastAsia="it-IT"/>
        </w:rPr>
        <w:t xml:space="preserve"> </w:t>
      </w:r>
      <w:r w:rsidR="00D07F5F">
        <w:rPr>
          <w:lang w:eastAsia="it-IT"/>
        </w:rPr>
        <w:t xml:space="preserve">Le articolazioni basate sulla struttura della </w:t>
      </w:r>
      <w:proofErr w:type="spellStart"/>
      <w:r w:rsidR="00D07F5F">
        <w:rPr>
          <w:lang w:eastAsia="it-IT"/>
        </w:rPr>
        <w:t>societa’</w:t>
      </w:r>
      <w:proofErr w:type="spellEnd"/>
      <w:r w:rsidR="00D07F5F">
        <w:rPr>
          <w:lang w:eastAsia="it-IT"/>
        </w:rPr>
        <w:t xml:space="preserve"> .Modelli monistico e </w:t>
      </w:r>
      <w:proofErr w:type="spellStart"/>
      <w:r w:rsidR="00D07F5F">
        <w:rPr>
          <w:lang w:eastAsia="it-IT"/>
        </w:rPr>
        <w:t>pluralistico</w:t>
      </w:r>
      <w:r w:rsidR="00D07F5F">
        <w:rPr>
          <w:lang w:eastAsia="it-IT"/>
        </w:rPr>
        <w:t>.</w:t>
      </w:r>
      <w:r w:rsidR="00B07A4C">
        <w:rPr>
          <w:lang w:eastAsia="it-IT"/>
        </w:rPr>
        <w:t>La</w:t>
      </w:r>
      <w:proofErr w:type="spellEnd"/>
      <w:r w:rsidR="00B07A4C">
        <w:rPr>
          <w:lang w:eastAsia="it-IT"/>
        </w:rPr>
        <w:t xml:space="preserve"> configurazione dell'Ente Locale "holding"</w:t>
      </w:r>
    </w:p>
    <w:p w:rsidR="007E5A0E" w:rsidRDefault="007E5A0E" w:rsidP="00B07A4C">
      <w:pPr>
        <w:rPr>
          <w:lang w:eastAsia="it-IT"/>
        </w:rPr>
      </w:pPr>
      <w:r>
        <w:rPr>
          <w:lang w:eastAsia="it-IT"/>
        </w:rPr>
        <w:t>3.profili procedimentali :</w:t>
      </w:r>
      <w:r>
        <w:rPr>
          <w:lang w:eastAsia="it-IT"/>
        </w:rPr>
        <w:tab/>
        <w:t>come  si affidano</w:t>
      </w:r>
      <w:r w:rsidR="00D07F5F" w:rsidRPr="00D07F5F">
        <w:t xml:space="preserve"> </w:t>
      </w:r>
      <w:r w:rsidR="00D07F5F" w:rsidRPr="00D07F5F">
        <w:rPr>
          <w:lang w:eastAsia="it-IT"/>
        </w:rPr>
        <w:t>i servizi pubblici</w:t>
      </w:r>
    </w:p>
    <w:p w:rsidR="007E5A0E" w:rsidRDefault="007E5A0E" w:rsidP="00D07F5F">
      <w:pPr>
        <w:rPr>
          <w:lang w:eastAsia="it-IT"/>
        </w:rPr>
      </w:pPr>
      <w:r>
        <w:rPr>
          <w:lang w:eastAsia="it-IT"/>
        </w:rPr>
        <w:t xml:space="preserve">4.lo </w:t>
      </w:r>
      <w:proofErr w:type="spellStart"/>
      <w:r>
        <w:rPr>
          <w:lang w:eastAsia="it-IT"/>
        </w:rPr>
        <w:t>sfavor</w:t>
      </w:r>
      <w:proofErr w:type="spellEnd"/>
      <w:r>
        <w:rPr>
          <w:lang w:eastAsia="it-IT"/>
        </w:rPr>
        <w:t xml:space="preserve"> per le </w:t>
      </w:r>
      <w:proofErr w:type="spellStart"/>
      <w:r>
        <w:rPr>
          <w:lang w:eastAsia="it-IT"/>
        </w:rPr>
        <w:t>societa’</w:t>
      </w:r>
      <w:proofErr w:type="spellEnd"/>
      <w:r>
        <w:rPr>
          <w:lang w:eastAsia="it-IT"/>
        </w:rPr>
        <w:t xml:space="preserve"> pubbliche e le limitazioni per le </w:t>
      </w:r>
      <w:proofErr w:type="spellStart"/>
      <w:r>
        <w:rPr>
          <w:lang w:eastAsia="it-IT"/>
        </w:rPr>
        <w:t>societa’</w:t>
      </w:r>
      <w:proofErr w:type="spellEnd"/>
      <w:r w:rsidR="00846FD1">
        <w:rPr>
          <w:lang w:eastAsia="it-IT"/>
        </w:rPr>
        <w:t>(</w:t>
      </w:r>
      <w:r>
        <w:rPr>
          <w:lang w:eastAsia="it-IT"/>
        </w:rPr>
        <w:t xml:space="preserve">intra </w:t>
      </w:r>
      <w:r w:rsidR="00846FD1">
        <w:rPr>
          <w:lang w:eastAsia="it-IT"/>
        </w:rPr>
        <w:t xml:space="preserve">ed extra </w:t>
      </w:r>
      <w:proofErr w:type="spellStart"/>
      <w:r>
        <w:rPr>
          <w:lang w:eastAsia="it-IT"/>
        </w:rPr>
        <w:t>moenia</w:t>
      </w:r>
      <w:proofErr w:type="spellEnd"/>
      <w:r w:rsidR="00846FD1">
        <w:rPr>
          <w:lang w:eastAsia="it-IT"/>
        </w:rPr>
        <w:t>)</w:t>
      </w:r>
      <w:bookmarkStart w:id="0" w:name="_GoBack"/>
      <w:bookmarkEnd w:id="0"/>
    </w:p>
    <w:p w:rsidR="007E5A0E" w:rsidRDefault="007E5A0E" w:rsidP="00B07A4C">
      <w:pPr>
        <w:rPr>
          <w:lang w:eastAsia="it-IT"/>
        </w:rPr>
      </w:pPr>
      <w:r>
        <w:rPr>
          <w:lang w:eastAsia="it-IT"/>
        </w:rPr>
        <w:t>5.</w:t>
      </w:r>
      <w:r w:rsidRPr="007E5A0E">
        <w:t xml:space="preserve"> </w:t>
      </w:r>
      <w:r w:rsidRPr="007E5A0E">
        <w:rPr>
          <w:lang w:eastAsia="it-IT"/>
        </w:rPr>
        <w:t xml:space="preserve">lo </w:t>
      </w:r>
      <w:proofErr w:type="spellStart"/>
      <w:r w:rsidRPr="007E5A0E">
        <w:rPr>
          <w:lang w:eastAsia="it-IT"/>
        </w:rPr>
        <w:t>sfavor</w:t>
      </w:r>
      <w:proofErr w:type="spellEnd"/>
      <w:r w:rsidRPr="007E5A0E">
        <w:rPr>
          <w:lang w:eastAsia="it-IT"/>
        </w:rPr>
        <w:t xml:space="preserve"> per le </w:t>
      </w:r>
      <w:proofErr w:type="spellStart"/>
      <w:r w:rsidRPr="007E5A0E">
        <w:rPr>
          <w:lang w:eastAsia="it-IT"/>
        </w:rPr>
        <w:t>societa’</w:t>
      </w:r>
      <w:proofErr w:type="spellEnd"/>
      <w:r w:rsidRPr="007E5A0E">
        <w:rPr>
          <w:lang w:eastAsia="it-IT"/>
        </w:rPr>
        <w:t xml:space="preserve"> pubbliche </w:t>
      </w:r>
      <w:r>
        <w:rPr>
          <w:lang w:eastAsia="it-IT"/>
        </w:rPr>
        <w:t xml:space="preserve">e le limitazioni  alla costituzione e mantenimento :le </w:t>
      </w:r>
      <w:r>
        <w:rPr>
          <w:lang w:eastAsia="it-IT"/>
        </w:rPr>
        <w:tab/>
        <w:t>dismissioni</w:t>
      </w:r>
      <w:r w:rsidR="00B07A4C" w:rsidRPr="00B07A4C">
        <w:t xml:space="preserve"> </w:t>
      </w:r>
      <w:r w:rsidR="00B07A4C">
        <w:t>.</w:t>
      </w:r>
      <w:r w:rsidR="00B07A4C" w:rsidRPr="00B07A4C">
        <w:rPr>
          <w:lang w:eastAsia="it-IT"/>
        </w:rPr>
        <w:tab/>
        <w:t>La ricognizione delle finalità istituzionali dell'Ente Locale socio (</w:t>
      </w:r>
      <w:r w:rsidR="00D07F5F">
        <w:rPr>
          <w:lang w:eastAsia="it-IT"/>
        </w:rPr>
        <w:t xml:space="preserve">art.13 </w:t>
      </w:r>
      <w:proofErr w:type="spellStart"/>
      <w:r w:rsidR="00D07F5F">
        <w:rPr>
          <w:lang w:eastAsia="it-IT"/>
        </w:rPr>
        <w:t>D.l.</w:t>
      </w:r>
      <w:proofErr w:type="spellEnd"/>
      <w:r w:rsidR="00D07F5F">
        <w:rPr>
          <w:lang w:eastAsia="it-IT"/>
        </w:rPr>
        <w:t xml:space="preserve"> 223/2006 ,</w:t>
      </w:r>
      <w:r w:rsidR="00B07A4C" w:rsidRPr="00B07A4C">
        <w:rPr>
          <w:lang w:eastAsia="it-IT"/>
        </w:rPr>
        <w:t xml:space="preserve">art. 3, commi 27-31 della legge n. 244/2007) e successive modifiche .Scadenze e obblighi sanciti dalla giurisprudenza della Corte dei conti  </w:t>
      </w:r>
    </w:p>
    <w:p w:rsidR="007E5A0E" w:rsidRDefault="007E5A0E" w:rsidP="00D07F5F">
      <w:pPr>
        <w:rPr>
          <w:lang w:eastAsia="it-IT"/>
        </w:rPr>
      </w:pPr>
      <w:r>
        <w:rPr>
          <w:lang w:eastAsia="it-IT"/>
        </w:rPr>
        <w:t>6.</w:t>
      </w:r>
      <w:r w:rsidRPr="007E5A0E">
        <w:t xml:space="preserve"> </w:t>
      </w:r>
      <w:r w:rsidRPr="007E5A0E">
        <w:rPr>
          <w:lang w:eastAsia="it-IT"/>
        </w:rPr>
        <w:t xml:space="preserve">lo </w:t>
      </w:r>
      <w:proofErr w:type="spellStart"/>
      <w:r w:rsidRPr="007E5A0E">
        <w:rPr>
          <w:lang w:eastAsia="it-IT"/>
        </w:rPr>
        <w:t>sfavor</w:t>
      </w:r>
      <w:proofErr w:type="spellEnd"/>
      <w:r w:rsidRPr="007E5A0E">
        <w:rPr>
          <w:lang w:eastAsia="it-IT"/>
        </w:rPr>
        <w:t xml:space="preserve"> per le </w:t>
      </w:r>
      <w:proofErr w:type="spellStart"/>
      <w:r w:rsidRPr="007E5A0E">
        <w:rPr>
          <w:lang w:eastAsia="it-IT"/>
        </w:rPr>
        <w:t>societa’</w:t>
      </w:r>
      <w:proofErr w:type="spellEnd"/>
      <w:r w:rsidRPr="007E5A0E">
        <w:rPr>
          <w:lang w:eastAsia="it-IT"/>
        </w:rPr>
        <w:t xml:space="preserve"> pubbliche </w:t>
      </w:r>
      <w:r>
        <w:rPr>
          <w:lang w:eastAsia="it-IT"/>
        </w:rPr>
        <w:t xml:space="preserve">:l’ estensione </w:t>
      </w:r>
      <w:r w:rsidR="00D07F5F">
        <w:rPr>
          <w:lang w:eastAsia="it-IT"/>
        </w:rPr>
        <w:t xml:space="preserve">dei </w:t>
      </w:r>
      <w:r>
        <w:rPr>
          <w:lang w:eastAsia="it-IT"/>
        </w:rPr>
        <w:t xml:space="preserve">vincoli </w:t>
      </w:r>
      <w:r w:rsidR="00D07F5F">
        <w:rPr>
          <w:lang w:eastAsia="it-IT"/>
        </w:rPr>
        <w:t xml:space="preserve">di </w:t>
      </w:r>
      <w:r>
        <w:rPr>
          <w:lang w:eastAsia="it-IT"/>
        </w:rPr>
        <w:t>finanza pubblica</w:t>
      </w:r>
    </w:p>
    <w:p w:rsidR="007E5A0E" w:rsidRDefault="007E5A0E" w:rsidP="00D07F5F">
      <w:pPr>
        <w:rPr>
          <w:lang w:eastAsia="it-IT"/>
        </w:rPr>
      </w:pPr>
      <w:r>
        <w:rPr>
          <w:lang w:eastAsia="it-IT"/>
        </w:rPr>
        <w:t>7.</w:t>
      </w:r>
      <w:r w:rsidRPr="007E5A0E">
        <w:rPr>
          <w:lang w:eastAsia="it-IT"/>
        </w:rPr>
        <w:t xml:space="preserve"> lo </w:t>
      </w:r>
      <w:proofErr w:type="spellStart"/>
      <w:r w:rsidRPr="007E5A0E">
        <w:rPr>
          <w:lang w:eastAsia="it-IT"/>
        </w:rPr>
        <w:t>sfavor</w:t>
      </w:r>
      <w:proofErr w:type="spellEnd"/>
      <w:r w:rsidRPr="007E5A0E">
        <w:rPr>
          <w:lang w:eastAsia="it-IT"/>
        </w:rPr>
        <w:t xml:space="preserve"> per le </w:t>
      </w:r>
      <w:proofErr w:type="spellStart"/>
      <w:r w:rsidRPr="007E5A0E">
        <w:rPr>
          <w:lang w:eastAsia="it-IT"/>
        </w:rPr>
        <w:t>societa’</w:t>
      </w:r>
      <w:proofErr w:type="spellEnd"/>
      <w:r w:rsidRPr="007E5A0E">
        <w:rPr>
          <w:lang w:eastAsia="it-IT"/>
        </w:rPr>
        <w:t xml:space="preserve"> </w:t>
      </w:r>
      <w:proofErr w:type="spellStart"/>
      <w:r w:rsidRPr="007E5A0E">
        <w:rPr>
          <w:lang w:eastAsia="it-IT"/>
        </w:rPr>
        <w:t>pubbliche</w:t>
      </w:r>
      <w:r>
        <w:rPr>
          <w:lang w:eastAsia="it-IT"/>
        </w:rPr>
        <w:t>:la</w:t>
      </w:r>
      <w:proofErr w:type="spellEnd"/>
      <w:r>
        <w:rPr>
          <w:lang w:eastAsia="it-IT"/>
        </w:rPr>
        <w:t xml:space="preserve"> disciplina dello </w:t>
      </w:r>
      <w:r>
        <w:rPr>
          <w:lang w:eastAsia="it-IT"/>
        </w:rPr>
        <w:tab/>
        <w:t>status degli amministratori</w:t>
      </w:r>
      <w:r w:rsidR="00D07F5F" w:rsidRPr="00D07F5F">
        <w:t xml:space="preserve"> </w:t>
      </w:r>
      <w:r w:rsidR="00D07F5F">
        <w:rPr>
          <w:lang w:eastAsia="it-IT"/>
        </w:rPr>
        <w:t>Nomine ,requisiti soggettivi e  compensi</w:t>
      </w:r>
      <w:r w:rsidR="00D07F5F" w:rsidRPr="00D07F5F">
        <w:rPr>
          <w:lang w:eastAsia="it-IT"/>
        </w:rPr>
        <w:t xml:space="preserve"> </w:t>
      </w:r>
      <w:r w:rsidR="00D07F5F">
        <w:rPr>
          <w:lang w:eastAsia="it-IT"/>
        </w:rPr>
        <w:t>.</w:t>
      </w:r>
      <w:r w:rsidR="00D07F5F">
        <w:rPr>
          <w:lang w:eastAsia="it-IT"/>
        </w:rPr>
        <w:t>Organizzazione amministrativa e politica.</w:t>
      </w:r>
    </w:p>
    <w:p w:rsidR="007E5A0E" w:rsidRDefault="00B07A4C" w:rsidP="00D07F5F">
      <w:pPr>
        <w:rPr>
          <w:lang w:eastAsia="it-IT"/>
        </w:rPr>
      </w:pPr>
      <w:r>
        <w:rPr>
          <w:lang w:eastAsia="it-IT"/>
        </w:rPr>
        <w:t>8.governance e controlli.</w:t>
      </w:r>
    </w:p>
    <w:p w:rsidR="00B07A4C" w:rsidRDefault="00B07A4C" w:rsidP="00B07A4C">
      <w:pPr>
        <w:rPr>
          <w:lang w:eastAsia="it-IT"/>
        </w:rPr>
      </w:pPr>
      <w:r>
        <w:rPr>
          <w:lang w:eastAsia="it-IT"/>
        </w:rPr>
        <w:t>I controlli nella fase di affidamento di servizi pubblici locali e a rilevanza economica</w:t>
      </w:r>
      <w:r>
        <w:rPr>
          <w:lang w:eastAsia="it-IT"/>
        </w:rPr>
        <w:tab/>
      </w:r>
    </w:p>
    <w:p w:rsidR="00B07A4C" w:rsidRDefault="00B07A4C" w:rsidP="00B07A4C">
      <w:pPr>
        <w:ind w:left="1080"/>
        <w:rPr>
          <w:lang w:eastAsia="it-IT"/>
        </w:rPr>
      </w:pPr>
      <w:r>
        <w:rPr>
          <w:lang w:eastAsia="it-IT"/>
        </w:rPr>
        <w:t xml:space="preserve">Le valutazioni preliminari </w:t>
      </w:r>
    </w:p>
    <w:p w:rsidR="00B07A4C" w:rsidRDefault="00B07A4C" w:rsidP="00B07A4C">
      <w:pPr>
        <w:ind w:left="1080"/>
        <w:rPr>
          <w:lang w:eastAsia="it-IT"/>
        </w:rPr>
      </w:pPr>
      <w:r>
        <w:rPr>
          <w:lang w:eastAsia="it-IT"/>
        </w:rPr>
        <w:t xml:space="preserve">L’analisi di </w:t>
      </w:r>
      <w:proofErr w:type="spellStart"/>
      <w:r>
        <w:rPr>
          <w:lang w:eastAsia="it-IT"/>
        </w:rPr>
        <w:t>fattibilita’</w:t>
      </w:r>
      <w:proofErr w:type="spellEnd"/>
      <w:r>
        <w:rPr>
          <w:lang w:eastAsia="it-IT"/>
        </w:rPr>
        <w:t xml:space="preserve"> e la valutazione della situazione economico finanziaria e quella del personale</w:t>
      </w:r>
    </w:p>
    <w:p w:rsidR="00B07A4C" w:rsidRDefault="00B07A4C" w:rsidP="00B07A4C">
      <w:pPr>
        <w:rPr>
          <w:lang w:eastAsia="it-IT"/>
        </w:rPr>
      </w:pPr>
      <w:r>
        <w:rPr>
          <w:lang w:eastAsia="it-IT"/>
        </w:rPr>
        <w:t>I controlli  nella gestione delle partecipate</w:t>
      </w:r>
      <w:r>
        <w:rPr>
          <w:lang w:eastAsia="it-IT"/>
        </w:rPr>
        <w:tab/>
      </w:r>
    </w:p>
    <w:p w:rsidR="00B07A4C" w:rsidRDefault="00B07A4C" w:rsidP="00B07A4C">
      <w:pPr>
        <w:rPr>
          <w:lang w:eastAsia="it-IT"/>
        </w:rPr>
      </w:pPr>
      <w:r>
        <w:rPr>
          <w:lang w:eastAsia="it-IT"/>
        </w:rPr>
        <w:t></w:t>
      </w:r>
      <w:r>
        <w:rPr>
          <w:lang w:eastAsia="it-IT"/>
        </w:rPr>
        <w:tab/>
      </w:r>
      <w:proofErr w:type="spellStart"/>
      <w:r>
        <w:rPr>
          <w:lang w:eastAsia="it-IT"/>
        </w:rPr>
        <w:t>Attivita’</w:t>
      </w:r>
      <w:proofErr w:type="spellEnd"/>
      <w:r>
        <w:rPr>
          <w:lang w:eastAsia="it-IT"/>
        </w:rPr>
        <w:t xml:space="preserve"> di indirizzo e direttive</w:t>
      </w:r>
      <w:r>
        <w:rPr>
          <w:lang w:eastAsia="it-IT"/>
        </w:rPr>
        <w:tab/>
      </w:r>
    </w:p>
    <w:p w:rsidR="00B07A4C" w:rsidRDefault="00B07A4C" w:rsidP="00B07A4C">
      <w:pPr>
        <w:rPr>
          <w:lang w:eastAsia="it-IT"/>
        </w:rPr>
      </w:pPr>
      <w:r>
        <w:rPr>
          <w:lang w:eastAsia="it-IT"/>
        </w:rPr>
        <w:t></w:t>
      </w:r>
      <w:r>
        <w:rPr>
          <w:lang w:eastAsia="it-IT"/>
        </w:rPr>
        <w:tab/>
        <w:t>Organizzazione dell’esercizio dei diritti/doveri dell’ente locale quale socio pubblico.</w:t>
      </w:r>
    </w:p>
    <w:p w:rsidR="00B07A4C" w:rsidRDefault="00B07A4C" w:rsidP="00B07A4C">
      <w:pPr>
        <w:rPr>
          <w:lang w:eastAsia="it-IT"/>
        </w:rPr>
      </w:pPr>
      <w:r>
        <w:rPr>
          <w:lang w:eastAsia="it-IT"/>
        </w:rPr>
        <w:t></w:t>
      </w:r>
      <w:r>
        <w:rPr>
          <w:lang w:eastAsia="it-IT"/>
        </w:rPr>
        <w:tab/>
        <w:t>Rapporti finanziari con l’ente</w:t>
      </w:r>
    </w:p>
    <w:p w:rsidR="00B07A4C" w:rsidRDefault="00B07A4C" w:rsidP="00B07A4C">
      <w:pPr>
        <w:rPr>
          <w:lang w:eastAsia="it-IT"/>
        </w:rPr>
      </w:pPr>
      <w:r>
        <w:rPr>
          <w:lang w:eastAsia="it-IT"/>
        </w:rPr>
        <w:t></w:t>
      </w:r>
      <w:r>
        <w:rPr>
          <w:lang w:eastAsia="it-IT"/>
        </w:rPr>
        <w:tab/>
        <w:t>Acquisizione della documentazione</w:t>
      </w:r>
      <w:r>
        <w:rPr>
          <w:lang w:eastAsia="it-IT"/>
        </w:rPr>
        <w:tab/>
      </w:r>
    </w:p>
    <w:p w:rsidR="00B07A4C" w:rsidRDefault="00B07A4C" w:rsidP="00B07A4C">
      <w:pPr>
        <w:rPr>
          <w:lang w:eastAsia="it-IT"/>
        </w:rPr>
      </w:pPr>
      <w:r>
        <w:rPr>
          <w:lang w:eastAsia="it-IT"/>
        </w:rPr>
        <w:t></w:t>
      </w:r>
      <w:r>
        <w:rPr>
          <w:lang w:eastAsia="it-IT"/>
        </w:rPr>
        <w:tab/>
        <w:t xml:space="preserve">Contratti di servizio e </w:t>
      </w:r>
      <w:proofErr w:type="spellStart"/>
      <w:r>
        <w:rPr>
          <w:lang w:eastAsia="it-IT"/>
        </w:rPr>
        <w:t>customer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satisfaction</w:t>
      </w:r>
      <w:proofErr w:type="spellEnd"/>
      <w:r>
        <w:rPr>
          <w:lang w:eastAsia="it-IT"/>
        </w:rPr>
        <w:tab/>
      </w:r>
    </w:p>
    <w:p w:rsidR="00B07A4C" w:rsidRDefault="00B07A4C" w:rsidP="00B07A4C">
      <w:pPr>
        <w:rPr>
          <w:lang w:eastAsia="it-IT"/>
        </w:rPr>
      </w:pPr>
      <w:r>
        <w:rPr>
          <w:lang w:eastAsia="it-IT"/>
        </w:rPr>
        <w:t></w:t>
      </w:r>
      <w:r>
        <w:rPr>
          <w:lang w:eastAsia="it-IT"/>
        </w:rPr>
        <w:tab/>
        <w:t>Analisi della gestione delle partecipate</w:t>
      </w:r>
      <w:r>
        <w:rPr>
          <w:lang w:eastAsia="it-IT"/>
        </w:rPr>
        <w:tab/>
      </w:r>
    </w:p>
    <w:p w:rsidR="00B07A4C" w:rsidRDefault="00B07A4C" w:rsidP="00B07A4C">
      <w:pPr>
        <w:rPr>
          <w:lang w:eastAsia="it-IT"/>
        </w:rPr>
      </w:pPr>
      <w:r>
        <w:rPr>
          <w:lang w:eastAsia="it-IT"/>
        </w:rPr>
        <w:t></w:t>
      </w:r>
      <w:r>
        <w:rPr>
          <w:lang w:eastAsia="it-IT"/>
        </w:rPr>
        <w:tab/>
        <w:t xml:space="preserve">Referto ad organi politici , amministrativi </w:t>
      </w:r>
      <w:proofErr w:type="spellStart"/>
      <w:r>
        <w:rPr>
          <w:lang w:eastAsia="it-IT"/>
        </w:rPr>
        <w:t>ecc</w:t>
      </w:r>
      <w:proofErr w:type="spellEnd"/>
      <w:r>
        <w:rPr>
          <w:lang w:eastAsia="it-IT"/>
        </w:rPr>
        <w:tab/>
      </w:r>
    </w:p>
    <w:p w:rsidR="00B07A4C" w:rsidRDefault="00B07A4C" w:rsidP="00B07A4C">
      <w:pPr>
        <w:rPr>
          <w:lang w:eastAsia="it-IT"/>
        </w:rPr>
      </w:pPr>
      <w:r>
        <w:rPr>
          <w:lang w:eastAsia="it-IT"/>
        </w:rPr>
        <w:t>I controlli  in sede di chiusura dell’esercizio</w:t>
      </w:r>
      <w:r>
        <w:rPr>
          <w:lang w:eastAsia="it-IT"/>
        </w:rPr>
        <w:tab/>
      </w:r>
    </w:p>
    <w:p w:rsidR="00B07A4C" w:rsidRDefault="00B07A4C" w:rsidP="00B07A4C">
      <w:pPr>
        <w:rPr>
          <w:lang w:eastAsia="it-IT"/>
        </w:rPr>
      </w:pPr>
      <w:r>
        <w:rPr>
          <w:lang w:eastAsia="it-IT"/>
        </w:rPr>
        <w:t></w:t>
      </w:r>
      <w:r>
        <w:rPr>
          <w:lang w:eastAsia="it-IT"/>
        </w:rPr>
        <w:tab/>
        <w:t>I controlli sulle relazioni finanziarie e sulla concessione di crediti</w:t>
      </w:r>
      <w:r>
        <w:rPr>
          <w:lang w:eastAsia="it-IT"/>
        </w:rPr>
        <w:tab/>
      </w:r>
    </w:p>
    <w:p w:rsidR="00B07A4C" w:rsidRDefault="00B07A4C" w:rsidP="00B07A4C">
      <w:pPr>
        <w:rPr>
          <w:lang w:eastAsia="it-IT"/>
        </w:rPr>
      </w:pPr>
      <w:r>
        <w:rPr>
          <w:lang w:eastAsia="it-IT"/>
        </w:rPr>
        <w:lastRenderedPageBreak/>
        <w:t>I controlli sulle modalità di ripiano delle perdite</w:t>
      </w:r>
    </w:p>
    <w:p w:rsidR="00B07A4C" w:rsidRDefault="00B07A4C" w:rsidP="00B07A4C">
      <w:pPr>
        <w:rPr>
          <w:lang w:eastAsia="it-IT"/>
        </w:rPr>
      </w:pPr>
      <w:r>
        <w:rPr>
          <w:lang w:eastAsia="it-IT"/>
        </w:rPr>
        <w:t>l’evoluzione normativa verso un "bilancio consolidato"</w:t>
      </w:r>
    </w:p>
    <w:p w:rsidR="00D07F5F" w:rsidRPr="004B60AE" w:rsidRDefault="00D07F5F" w:rsidP="00D07F5F">
      <w:pPr>
        <w:jc w:val="both"/>
        <w:rPr>
          <w:szCs w:val="20"/>
        </w:rPr>
      </w:pPr>
      <w:r w:rsidRPr="004B60AE">
        <w:rPr>
          <w:szCs w:val="20"/>
        </w:rPr>
        <w:t>Organizzazione dell’ente locale ai fini della gestione delle partecipazioni</w:t>
      </w:r>
      <w:r w:rsidRPr="004B60AE">
        <w:rPr>
          <w:szCs w:val="20"/>
        </w:rPr>
        <w:tab/>
      </w:r>
    </w:p>
    <w:p w:rsidR="00D07F5F" w:rsidRDefault="00D07F5F" w:rsidP="00D07F5F">
      <w:pPr>
        <w:jc w:val="both"/>
        <w:rPr>
          <w:szCs w:val="20"/>
        </w:rPr>
      </w:pPr>
      <w:r w:rsidRPr="004B60AE">
        <w:rPr>
          <w:szCs w:val="20"/>
        </w:rPr>
        <w:t></w:t>
      </w:r>
      <w:r w:rsidRPr="004B60AE">
        <w:rPr>
          <w:szCs w:val="20"/>
        </w:rPr>
        <w:tab/>
      </w:r>
      <w:r>
        <w:rPr>
          <w:szCs w:val="20"/>
        </w:rPr>
        <w:t>I</w:t>
      </w:r>
      <w:r w:rsidRPr="004B60AE">
        <w:rPr>
          <w:szCs w:val="20"/>
        </w:rPr>
        <w:t>l flusso delle informazioni</w:t>
      </w:r>
      <w:r w:rsidRPr="004B60AE">
        <w:rPr>
          <w:szCs w:val="20"/>
        </w:rPr>
        <w:tab/>
      </w:r>
    </w:p>
    <w:p w:rsidR="00B07A4C" w:rsidRDefault="00D07F5F" w:rsidP="00B07A4C">
      <w:pPr>
        <w:rPr>
          <w:lang w:eastAsia="it-IT"/>
        </w:rPr>
      </w:pPr>
      <w:r>
        <w:rPr>
          <w:lang w:eastAsia="it-IT"/>
        </w:rPr>
        <w:t xml:space="preserve">9. </w:t>
      </w:r>
      <w:r w:rsidR="00B07A4C">
        <w:rPr>
          <w:lang w:eastAsia="it-IT"/>
        </w:rPr>
        <w:t xml:space="preserve">Le </w:t>
      </w:r>
      <w:proofErr w:type="spellStart"/>
      <w:r w:rsidR="00B07A4C">
        <w:rPr>
          <w:lang w:eastAsia="it-IT"/>
        </w:rPr>
        <w:t>novita’</w:t>
      </w:r>
      <w:proofErr w:type="spellEnd"/>
      <w:r w:rsidR="00B07A4C">
        <w:rPr>
          <w:lang w:eastAsia="it-IT"/>
        </w:rPr>
        <w:t xml:space="preserve"> introdotte </w:t>
      </w:r>
    </w:p>
    <w:p w:rsidR="00B07A4C" w:rsidRDefault="00B07A4C" w:rsidP="00B07A4C">
      <w:pPr>
        <w:ind w:left="1080"/>
        <w:rPr>
          <w:lang w:eastAsia="it-IT"/>
        </w:rPr>
      </w:pPr>
      <w:r>
        <w:rPr>
          <w:lang w:eastAsia="it-IT"/>
        </w:rPr>
        <w:t xml:space="preserve">dal dl.78/2010 convertito con  legge 122/2010, </w:t>
      </w:r>
    </w:p>
    <w:p w:rsidR="00B07A4C" w:rsidRDefault="00B07A4C" w:rsidP="00B07A4C">
      <w:pPr>
        <w:ind w:left="1080"/>
        <w:rPr>
          <w:lang w:eastAsia="it-IT"/>
        </w:rPr>
      </w:pPr>
      <w:r>
        <w:rPr>
          <w:lang w:eastAsia="it-IT"/>
        </w:rPr>
        <w:t xml:space="preserve">dal D.L. 138/2011 convertito con legge  148/2011 , </w:t>
      </w:r>
    </w:p>
    <w:p w:rsidR="00B07A4C" w:rsidRDefault="00B07A4C" w:rsidP="00B07A4C">
      <w:pPr>
        <w:ind w:left="1080"/>
        <w:rPr>
          <w:lang w:eastAsia="it-IT"/>
        </w:rPr>
      </w:pPr>
      <w:r>
        <w:rPr>
          <w:lang w:eastAsia="it-IT"/>
        </w:rPr>
        <w:t xml:space="preserve">dalle leggi di stabilità e dai recenti decreti del governo Monti. </w:t>
      </w:r>
    </w:p>
    <w:p w:rsidR="00D07F5F" w:rsidRDefault="00D07F5F" w:rsidP="004B60AE">
      <w:pPr>
        <w:jc w:val="both"/>
        <w:rPr>
          <w:szCs w:val="20"/>
        </w:rPr>
      </w:pPr>
    </w:p>
    <w:p w:rsidR="007E5A0E" w:rsidRDefault="007E5A0E" w:rsidP="004B60AE">
      <w:pPr>
        <w:jc w:val="both"/>
      </w:pPr>
      <w:r>
        <w:rPr>
          <w:szCs w:val="20"/>
        </w:rPr>
        <w:t>Docente:</w:t>
      </w:r>
    </w:p>
    <w:p w:rsidR="00D60977" w:rsidRDefault="007E5A0E" w:rsidP="007E5A0E">
      <w:pPr>
        <w:pStyle w:val="Testodelblocco"/>
      </w:pPr>
      <w:r>
        <w:t xml:space="preserve"> </w:t>
      </w:r>
    </w:p>
    <w:p w:rsidR="007E5A0E" w:rsidRDefault="007E5A0E" w:rsidP="007E5A0E">
      <w:pPr>
        <w:pStyle w:val="Testodelblocco"/>
      </w:pPr>
      <w:r>
        <w:t xml:space="preserve">dott. </w:t>
      </w:r>
      <w:smartTag w:uri="urn:schemas-microsoft-com:office:smarttags" w:element="PersonName">
        <w:smartTagPr>
          <w:attr w:name="ProductID" w:val="Tiziano Tessaro"/>
        </w:smartTagPr>
        <w:r>
          <w:rPr>
            <w:b/>
            <w:bCs/>
            <w:u w:val="single"/>
          </w:rPr>
          <w:t>Tiziano Tessaro</w:t>
        </w:r>
      </w:smartTag>
      <w:r>
        <w:t>, Magistrato presso la Corte dei Conti del Veneto, docente universitario e per alcune agenzie formative, autore di pubblicazioni.</w:t>
      </w:r>
    </w:p>
    <w:p w:rsidR="007E5A0E" w:rsidRPr="007E5A0E" w:rsidRDefault="007E5A0E" w:rsidP="00D60977">
      <w:pPr>
        <w:ind w:left="720"/>
      </w:pPr>
    </w:p>
    <w:p w:rsidR="009E4912" w:rsidRDefault="009E4912"/>
    <w:sectPr w:rsidR="009E49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4F45"/>
    <w:multiLevelType w:val="hybridMultilevel"/>
    <w:tmpl w:val="B8D2DED0"/>
    <w:lvl w:ilvl="0" w:tplc="57108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F41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C67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4C4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7A4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EEB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026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3C2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78F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254964"/>
    <w:multiLevelType w:val="hybridMultilevel"/>
    <w:tmpl w:val="87A2D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906316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00D6D"/>
    <w:multiLevelType w:val="hybridMultilevel"/>
    <w:tmpl w:val="9DD80152"/>
    <w:lvl w:ilvl="0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27F93A2F"/>
    <w:multiLevelType w:val="hybridMultilevel"/>
    <w:tmpl w:val="C5B42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C5B5F"/>
    <w:multiLevelType w:val="hybridMultilevel"/>
    <w:tmpl w:val="4704DE18"/>
    <w:lvl w:ilvl="0" w:tplc="0410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5">
    <w:nsid w:val="4534132F"/>
    <w:multiLevelType w:val="hybridMultilevel"/>
    <w:tmpl w:val="36061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C5670"/>
    <w:multiLevelType w:val="hybridMultilevel"/>
    <w:tmpl w:val="A6382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D6BD8"/>
    <w:multiLevelType w:val="hybridMultilevel"/>
    <w:tmpl w:val="3D6E0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0E"/>
    <w:rsid w:val="00216510"/>
    <w:rsid w:val="004B60AE"/>
    <w:rsid w:val="007E5A0E"/>
    <w:rsid w:val="00846FD1"/>
    <w:rsid w:val="009E4912"/>
    <w:rsid w:val="00B07A4C"/>
    <w:rsid w:val="00D07F5F"/>
    <w:rsid w:val="00D6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E5A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E5A0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delblocco">
    <w:name w:val="Block Text"/>
    <w:basedOn w:val="Normale"/>
    <w:rsid w:val="007E5A0E"/>
    <w:pPr>
      <w:autoSpaceDE w:val="0"/>
      <w:autoSpaceDN w:val="0"/>
      <w:adjustRightInd w:val="0"/>
      <w:spacing w:after="0" w:line="240" w:lineRule="auto"/>
      <w:ind w:left="-180" w:right="-109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8">
    <w:name w:val="Style8"/>
    <w:basedOn w:val="Normale"/>
    <w:rsid w:val="007E5A0E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it-IT"/>
    </w:rPr>
  </w:style>
  <w:style w:type="paragraph" w:customStyle="1" w:styleId="Style10">
    <w:name w:val="Style10"/>
    <w:basedOn w:val="Normale"/>
    <w:rsid w:val="007E5A0E"/>
    <w:pPr>
      <w:widowControl w:val="0"/>
      <w:autoSpaceDE w:val="0"/>
      <w:autoSpaceDN w:val="0"/>
      <w:adjustRightInd w:val="0"/>
      <w:spacing w:after="0" w:line="264" w:lineRule="exact"/>
    </w:pPr>
    <w:rPr>
      <w:rFonts w:ascii="Lucida Sans Unicode" w:eastAsia="Times New Roman" w:hAnsi="Lucida Sans Unicode" w:cs="Times New Roman"/>
      <w:sz w:val="24"/>
      <w:szCs w:val="24"/>
      <w:lang w:eastAsia="it-IT"/>
    </w:rPr>
  </w:style>
  <w:style w:type="character" w:customStyle="1" w:styleId="FontStyle18">
    <w:name w:val="Font Style18"/>
    <w:basedOn w:val="Carpredefinitoparagrafo"/>
    <w:rsid w:val="007E5A0E"/>
    <w:rPr>
      <w:rFonts w:ascii="Lucida Sans Unicode" w:hAnsi="Lucida Sans Unicode" w:cs="Lucida Sans Unicode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07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E5A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E5A0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delblocco">
    <w:name w:val="Block Text"/>
    <w:basedOn w:val="Normale"/>
    <w:rsid w:val="007E5A0E"/>
    <w:pPr>
      <w:autoSpaceDE w:val="0"/>
      <w:autoSpaceDN w:val="0"/>
      <w:adjustRightInd w:val="0"/>
      <w:spacing w:after="0" w:line="240" w:lineRule="auto"/>
      <w:ind w:left="-180" w:right="-109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8">
    <w:name w:val="Style8"/>
    <w:basedOn w:val="Normale"/>
    <w:rsid w:val="007E5A0E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it-IT"/>
    </w:rPr>
  </w:style>
  <w:style w:type="paragraph" w:customStyle="1" w:styleId="Style10">
    <w:name w:val="Style10"/>
    <w:basedOn w:val="Normale"/>
    <w:rsid w:val="007E5A0E"/>
    <w:pPr>
      <w:widowControl w:val="0"/>
      <w:autoSpaceDE w:val="0"/>
      <w:autoSpaceDN w:val="0"/>
      <w:adjustRightInd w:val="0"/>
      <w:spacing w:after="0" w:line="264" w:lineRule="exact"/>
    </w:pPr>
    <w:rPr>
      <w:rFonts w:ascii="Lucida Sans Unicode" w:eastAsia="Times New Roman" w:hAnsi="Lucida Sans Unicode" w:cs="Times New Roman"/>
      <w:sz w:val="24"/>
      <w:szCs w:val="24"/>
      <w:lang w:eastAsia="it-IT"/>
    </w:rPr>
  </w:style>
  <w:style w:type="character" w:customStyle="1" w:styleId="FontStyle18">
    <w:name w:val="Font Style18"/>
    <w:basedOn w:val="Carpredefinitoparagrafo"/>
    <w:rsid w:val="007E5A0E"/>
    <w:rPr>
      <w:rFonts w:ascii="Lucida Sans Unicode" w:hAnsi="Lucida Sans Unicode" w:cs="Lucida Sans Unicode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07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6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8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7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4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1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Corte dei Conti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Tessaro Tiziano</dc:creator>
  <cp:lastModifiedBy>Tessaro Tiziano</cp:lastModifiedBy>
  <cp:revision>6</cp:revision>
  <dcterms:created xsi:type="dcterms:W3CDTF">2012-03-05T10:21:00Z</dcterms:created>
  <dcterms:modified xsi:type="dcterms:W3CDTF">2012-03-05T10:38:00Z</dcterms:modified>
</cp:coreProperties>
</file>