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DA" w:rsidRPr="00EF76DA" w:rsidRDefault="00EF76DA" w:rsidP="00EF76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76D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Osservatorio sulle aziende e gli operai agricoli dipendenti</w:t>
      </w:r>
    </w:p>
    <w:p w:rsidR="00EF76DA" w:rsidRPr="00EF76DA" w:rsidRDefault="00EF76DA" w:rsidP="00EF76D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F76DA" w:rsidRPr="00EF76DA" w:rsidRDefault="00EF76DA" w:rsidP="00EF76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76D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Nota metodologica</w:t>
      </w:r>
    </w:p>
    <w:p w:rsidR="00EF76DA" w:rsidRPr="00EF76DA" w:rsidRDefault="00EF76DA" w:rsidP="00EF76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Definizione del fenomeno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presente osservatorio riporta indicazioni statistiche sul lavoro dipendente in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agricoltura derivanti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dall’elaborazione delle informazioni contenute negli archivi dell’INPS. I dati sono, pertanto, suscettibili di modifiche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ampliamenti in relazione all’implementazione degli archivi.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Fonte dei dati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 dati statistici riportati nelle tabelle sono stati ottenuti dalle informazioni contenute nei modelli DMAG che i datori di lavori operanti in agricoltura sono tenuti a presentare trimestralmente all’INPS al fine di dichiarare gli operai, a tempo determinato e/o a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tempo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indeterminato, che hanno lavorato nei singoli mesi del trimestre.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Nella terza sezione sono rilevati anche i lavoratori dell'agricoltura con qualifica diversa di "operaio agricolo", che le aziende sono tenute a dichiarare con le denunce retributive mensili (</w:t>
      </w:r>
      <w:proofErr w:type="spell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UniEmens</w:t>
      </w:r>
      <w:proofErr w:type="spell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sesta sezione si utilizzano altre informazioni riguardanti il pagamento diretto della </w:t>
      </w:r>
      <w:proofErr w:type="spell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Cisoa</w:t>
      </w:r>
      <w:proofErr w:type="spell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sono contenute in specifici archivi INPS.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Periodicità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L'estrazione delle informazioni è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effettuata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dagli archivi di competenza di ogni anno e il periodo preso in considerazione è la serie storica degli ultimi 10 anni disponibili, salvo la sesta sezione che copre gli ultimi 8 anni </w:t>
      </w:r>
      <w:proofErr w:type="spell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disponibili.L'aggiornamento</w:t>
      </w:r>
      <w:proofErr w:type="spell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dell'Osservatorio avviene con cadenza annuale, con l'inserimento di un nuovo anno.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Caratteristiche dell’elaborazione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L'Osservatorio è caratterizzato da un processo di elaborazione che prevede una serie di controlli allo scopo di individuare e superare incompatibilità, anomalie ed errori sistematici o casuali che possono manifestarsi negli archivi amministrativi.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Le tabelle statistiche riportano dati a livello provinciale e riguardano: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 - le tipologie di aziende che operano in agricoltura;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 - gli operai a tempo indeterminato e determinato.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F76DA" w:rsidRPr="00EF76DA" w:rsidRDefault="00EF76DA" w:rsidP="00EF76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76D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Le aziende agricole</w:t>
      </w:r>
    </w:p>
    <w:p w:rsidR="00EF76DA" w:rsidRPr="00EF76DA" w:rsidRDefault="00EF76DA" w:rsidP="00EF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Unità statistica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L'unità statistica oggetto di rilevazione è l'azienda identificata dal "codice fiscale" valido nell'ambito provinciale; viceversa un'azienda che opera in più province con lo stesso codice fiscale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è considerata tante volte quante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sono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province in cui è presente.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Variabili d'analisi e di classificazione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prima sezione di tabelle “Numero aziende attive secondo la tipologia” le variabili di classificazione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sono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- anno;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- territorio (zona, regione e provincia);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- tipologia di attività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Ditte in economia, Coltivatori diretti, ecc.);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variabile di analisi è: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aziende.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seconda sezione di tabelle “Numero aziende attive per classe dimensionale e categoria di contratto adottato” le variabili di classificazione sono: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anno;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mese (gennaio - dicembre; media annua);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territorio (zona, regione e provincia);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categoria (OTI, OTD);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classe dimensionale (riferita al numero di lavoratori agricoli utilizzati);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le variabili di analisi sono: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aziende;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numero rapporti di lavoro.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terza sezione di tabelle "Numero aziende attive e rapporti di lavoro attivati nell'anno per settore di attività economica - </w:t>
      </w:r>
      <w:proofErr w:type="spell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Ateco</w:t>
      </w:r>
      <w:proofErr w:type="spell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2002 Istat" le variabili di classificazione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sono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anno;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territorio (zona, regione);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ramo ATECO 2002;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le variabili di analisi sono: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numero aziende;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rapporti di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lavoro operai agricoli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rapporti di lavoro operai non agricoli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apprendisti;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rapporti di lavoro dirigenti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impiegati;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questa sezione si è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provveduto ad incrociare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codice fiscale dell'azienda valido nell'ambito provinciale con l'archivio delle denunce mensili dei datori di lavoro operanti nel settore privato (</w:t>
      </w:r>
      <w:proofErr w:type="spell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UniEmens</w:t>
      </w:r>
      <w:proofErr w:type="spell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in modo da evidenziare i settori di attività delle aziende che occupano manodopera agricola. Si precisa che il numero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impiegati, dirigenti, operai ed apprendisti presente in questa sezione sono quelli che comunque non vengono </w:t>
      </w:r>
      <w:proofErr w:type="spell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statisticati</w:t>
      </w:r>
      <w:proofErr w:type="spell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nell' 'Osservatorio sui lavoratori dipendenti'. </w:t>
      </w:r>
    </w:p>
    <w:p w:rsidR="00EF76DA" w:rsidRPr="00EF76DA" w:rsidRDefault="00EF76DA" w:rsidP="00EF76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76D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 lavoratori agricoli dipendenti</w:t>
      </w:r>
    </w:p>
    <w:p w:rsidR="00747896" w:rsidRDefault="00EF76DA" w:rsidP="00EF76DA"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Unità statistica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Con riferimento ai lavoratori agricoli dipendenti, nella quarta e quinta </w:t>
      </w:r>
      <w:proofErr w:type="spell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sezione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l’unità</w:t>
      </w:r>
      <w:proofErr w:type="spell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statistica oggetto di rilevazione è il lavoratore nella provincia di lavoro prevalente identificato dal "codice fiscale".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lavoratore presente in più province è rilevato soltanto nella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cui è stato riscontrato il maggior numero di giornate lavorate. Il numero di lavoratori è ottenuto dalla somma delle unità statistiche (indica le "teste"), quindi nel caso in cui un singolo lavoratore abbia avuto più di un rapporto di lavoro nello stesso mese,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viene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contato una sola volta.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sesta sezione che riguarda solo i lavoratori agricoli dipendenti a tempo indeterminato l’unità statistica oggetto di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rilevazione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il lavoratore nella provincia di residenza identificato dal “codice fiscale”. Il numero di lavoratori beneficiari della prestazione è ottenuto dalla somma delle unità statistiche (indica le "teste"), quindi nel caso in cui un singolo lavoratore abbia avuto sia un pagamento diretto e/o a conguaglio della CISOA nello stesso anno, </w:t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viene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contato una sola volta.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Variabili d'analisi e di classificazione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quarta sezione di tabelle "Operai agricoli dipendenti nel mese" le variabili di classificazione sono: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anno;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sesso;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territorio (zona, regione e provincia);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categoria (OTI, OTD);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mese;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variabile di analisi è: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lavoratori.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quinta sezione di tabelle "Numero operai agricoli per classe di età, sesso, categoria di contratto e classi di giornate lavorate" le variabili di classificazione sono: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anno;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sesso;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territorio (zona, regione e provincia);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categoria (OTI, OTD);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classe di età (riferita al numero di lavoratori agricoli utilizzati);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classe di giornate lavorate.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e variabili di analisi sono: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lavoratori;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numero complessivo giornate lavorate;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medio di giornate lavorate per lavoratore.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  <w:t xml:space="preserve">Nella sesta sezione di tabelle "Cassa Integrazione Salariale Operai dell'Agricoltura - CISOA" le variabili di classificazione sono: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anno, si riferisce alla competenza della prestazione;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sesso;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territorio (zona, regione e provincia);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classi di età.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e variabili di analisi sono: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dei lavoratori beneficiari della prestazione;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numero delle giornate indennizzate;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importo totale indennizzato;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numero medio delle giornate indennizzate;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importo medio indennizzato. </w:t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EF76DA">
        <w:rPr>
          <w:rFonts w:ascii="Times New Roman" w:eastAsia="Times New Roman" w:hAnsi="Times New Roman" w:cs="Times New Roman"/>
          <w:sz w:val="24"/>
          <w:szCs w:val="24"/>
          <w:lang w:eastAsia="it-IT"/>
        </w:rPr>
        <w:t>Osservatorio realizzato dal Coordinamento Generale Statistico Attuariale.</w:t>
      </w:r>
      <w:bookmarkStart w:id="0" w:name="_GoBack"/>
      <w:bookmarkEnd w:id="0"/>
      <w:proofErr w:type="gramEnd"/>
    </w:p>
    <w:sectPr w:rsidR="00747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DA"/>
    <w:rsid w:val="002F1D67"/>
    <w:rsid w:val="00747896"/>
    <w:rsid w:val="00E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F7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F76D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F76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F7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F76D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F7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Pasqualini</dc:creator>
  <cp:lastModifiedBy>Federico Pasqualini</cp:lastModifiedBy>
  <cp:revision>1</cp:revision>
  <dcterms:created xsi:type="dcterms:W3CDTF">2016-01-21T10:39:00Z</dcterms:created>
  <dcterms:modified xsi:type="dcterms:W3CDTF">2016-01-21T10:40:00Z</dcterms:modified>
</cp:coreProperties>
</file>